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EFC" w:rsidRPr="00DD4EFC" w:rsidRDefault="00DD4EFC" w:rsidP="00B03203">
      <w:pPr>
        <w:widowControl/>
        <w:spacing w:before="100" w:beforeAutospacing="1" w:after="100" w:afterAutospacing="1" w:line="432" w:lineRule="auto"/>
        <w:jc w:val="center"/>
        <w:rPr>
          <w:rFonts w:ascii="Arial" w:eastAsia="宋体" w:hAnsi="Arial" w:cs="Arial"/>
          <w:kern w:val="0"/>
          <w:sz w:val="24"/>
          <w:szCs w:val="24"/>
        </w:rPr>
      </w:pPr>
      <w:r w:rsidRPr="00DD4EFC">
        <w:rPr>
          <w:rFonts w:ascii="SimHei" w:eastAsia="黑体" w:hAnsi="SimHei" w:cs="Arial"/>
          <w:b/>
          <w:bCs/>
          <w:kern w:val="0"/>
          <w:sz w:val="24"/>
          <w:szCs w:val="24"/>
        </w:rPr>
        <w:t>金融企业绩效评价办法</w:t>
      </w:r>
    </w:p>
    <w:p w:rsidR="00DD4EFC" w:rsidRPr="00DD4EFC" w:rsidRDefault="00DD4EFC" w:rsidP="00B03203">
      <w:pPr>
        <w:widowControl/>
        <w:spacing w:before="100" w:beforeAutospacing="1" w:after="100" w:afterAutospacing="1" w:line="432" w:lineRule="auto"/>
        <w:jc w:val="center"/>
        <w:rPr>
          <w:rFonts w:ascii="Arial" w:eastAsia="宋体" w:hAnsi="Arial" w:cs="Arial"/>
          <w:kern w:val="0"/>
          <w:sz w:val="24"/>
          <w:szCs w:val="24"/>
        </w:rPr>
      </w:pPr>
      <w:r w:rsidRPr="00DD4EFC">
        <w:rPr>
          <w:rFonts w:ascii="SimHei" w:eastAsia="黑体" w:hAnsi="SimHei" w:cs="Arial"/>
          <w:b/>
          <w:bCs/>
          <w:kern w:val="0"/>
          <w:sz w:val="24"/>
          <w:szCs w:val="24"/>
        </w:rPr>
        <w:t>第一章　总　则</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第一条</w:t>
      </w:r>
      <w:r w:rsidRPr="00DD4EFC">
        <w:rPr>
          <w:rFonts w:ascii="SimHei" w:eastAsia="黑体" w:hAnsi="SimHei" w:cs="Arial"/>
          <w:kern w:val="0"/>
          <w:sz w:val="24"/>
          <w:szCs w:val="24"/>
        </w:rPr>
        <w:t xml:space="preserve"> </w:t>
      </w:r>
      <w:r w:rsidRPr="00DD4EFC">
        <w:rPr>
          <w:rFonts w:ascii="SimHei" w:eastAsia="黑体" w:hAnsi="SimHei" w:cs="Arial"/>
          <w:kern w:val="0"/>
          <w:sz w:val="24"/>
          <w:szCs w:val="24"/>
        </w:rPr>
        <w:t>为了加强对金融企业的财务监管，进一步规范金融企业绩效评价工作，综合反映金融企业资产营运质量，推动金融企业提升经营管理水平，促进金融企业健康发展，根据《金融企业财务规则》（财政部令第</w:t>
      </w:r>
      <w:r w:rsidRPr="00DD4EFC">
        <w:rPr>
          <w:rFonts w:ascii="SimHei" w:eastAsia="黑体" w:hAnsi="SimHei" w:cs="Arial"/>
          <w:kern w:val="0"/>
          <w:sz w:val="24"/>
          <w:szCs w:val="24"/>
        </w:rPr>
        <w:t>42</w:t>
      </w:r>
      <w:r w:rsidRPr="00DD4EFC">
        <w:rPr>
          <w:rFonts w:ascii="SimHei" w:eastAsia="黑体" w:hAnsi="SimHei" w:cs="Arial"/>
          <w:kern w:val="0"/>
          <w:sz w:val="24"/>
          <w:szCs w:val="24"/>
        </w:rPr>
        <w:t>号）等有关法律法规，制定本办法。</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第二条</w:t>
      </w:r>
      <w:r w:rsidRPr="00DD4EFC">
        <w:rPr>
          <w:rFonts w:ascii="SimHei" w:eastAsia="黑体" w:hAnsi="SimHei" w:cs="Arial"/>
          <w:kern w:val="0"/>
          <w:sz w:val="24"/>
          <w:szCs w:val="24"/>
        </w:rPr>
        <w:t xml:space="preserve">  </w:t>
      </w:r>
      <w:r w:rsidRPr="00DD4EFC">
        <w:rPr>
          <w:rFonts w:ascii="SimHei" w:eastAsia="黑体" w:hAnsi="SimHei" w:cs="Arial"/>
          <w:kern w:val="0"/>
          <w:sz w:val="24"/>
          <w:szCs w:val="24"/>
        </w:rPr>
        <w:t>在中华人民共和国境内依法设立金融企业的绩效评价工作，适用本办法，金融企业具体包括：</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一）执业需取得银行业务许可证的除政策性银行以外的国有银行、股份制商业银行、邮政储蓄银行、城市商业银行、农村商业银行、农村合作银行、信用社、新型农村金融机构、信托公司、金融租赁公司、金融资产管理公司和财务公司等；</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（二）执业需取得保险业务许可证的各类商业保险企业等；</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（三）执业需取得证券业务许可证的证券公司、期货公司和基金管理公司等；</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某集团）公司、融资担保公司、金融投资管理公司以及金融监管部门所属的从事相关金融业务的企业等。</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第三条</w:t>
      </w:r>
      <w:r w:rsidRPr="00DD4EFC">
        <w:rPr>
          <w:rFonts w:ascii="SimHei" w:eastAsia="黑体" w:hAnsi="SimHei" w:cs="Arial"/>
          <w:kern w:val="0"/>
          <w:sz w:val="24"/>
          <w:szCs w:val="24"/>
        </w:rPr>
        <w:t xml:space="preserve"> </w:t>
      </w:r>
      <w:r w:rsidRPr="00DD4EFC">
        <w:rPr>
          <w:rFonts w:ascii="SimHei" w:eastAsia="黑体" w:hAnsi="SimHei" w:cs="Arial"/>
          <w:kern w:val="0"/>
          <w:sz w:val="24"/>
          <w:szCs w:val="24"/>
        </w:rPr>
        <w:t>本办法所称绩效评价，是指通过建立评价财务指标体系，对照相应行业评价标准，对金融企业一个会计年度的盈利能力、经营增长、资产质量以及偿付能力等进行的综合评判。</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第四条</w:t>
      </w:r>
      <w:r w:rsidRPr="00DD4EFC">
        <w:rPr>
          <w:rFonts w:ascii="SimHei" w:eastAsia="黑体" w:hAnsi="SimHei" w:cs="Arial"/>
          <w:kern w:val="0"/>
          <w:sz w:val="24"/>
          <w:szCs w:val="24"/>
        </w:rPr>
        <w:t xml:space="preserve"> </w:t>
      </w:r>
      <w:r w:rsidRPr="00DD4EFC">
        <w:rPr>
          <w:rFonts w:ascii="SimHei" w:eastAsia="黑体" w:hAnsi="SimHei" w:cs="Arial"/>
          <w:kern w:val="0"/>
          <w:sz w:val="24"/>
          <w:szCs w:val="24"/>
        </w:rPr>
        <w:t>财政部依据本办法组织实施中央管理金融企业的绩效评价工作；省级人民政府财政部门（以下简称财政部门）依据本办法组织实施本地区金融企业的绩效评价工作。</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第五条</w:t>
      </w:r>
      <w:r w:rsidRPr="00DD4EFC">
        <w:rPr>
          <w:rFonts w:ascii="SimHei" w:eastAsia="黑体" w:hAnsi="SimHei" w:cs="Arial"/>
          <w:kern w:val="0"/>
          <w:sz w:val="24"/>
          <w:szCs w:val="24"/>
        </w:rPr>
        <w:t xml:space="preserve"> </w:t>
      </w:r>
      <w:r w:rsidRPr="00DD4EFC">
        <w:rPr>
          <w:rFonts w:ascii="SimHei" w:eastAsia="黑体" w:hAnsi="SimHei" w:cs="Arial"/>
          <w:kern w:val="0"/>
          <w:sz w:val="24"/>
          <w:szCs w:val="24"/>
        </w:rPr>
        <w:t>金融企业绩效评价工作应当遵循以下原则：</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（一）综合性原则。金融企业绩效评价应当通过建立综合的指标体系，对金融企业特定会计期间的财务状况和经营成果进行多角度的分析和综合评判；</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（二）客观性原则。金融企业绩效评价应当充分考虑市场竞争环境，依据统一测算的、同一期间的国内行业标准值，客观公正地评判金融企业的经营成果；</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（三）发展性原则。金融企业绩效评价应当在综合反映金融企业年度财务状况和经营成果的基础上，客观分析金融企业年度之间的增长状况及发展水平。</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第六条</w:t>
      </w:r>
      <w:r w:rsidRPr="00DD4EFC">
        <w:rPr>
          <w:rFonts w:ascii="SimHei" w:eastAsia="黑体" w:hAnsi="SimHei" w:cs="Arial"/>
          <w:kern w:val="0"/>
          <w:sz w:val="24"/>
          <w:szCs w:val="24"/>
        </w:rPr>
        <w:t xml:space="preserve"> </w:t>
      </w:r>
      <w:r w:rsidRPr="00DD4EFC">
        <w:rPr>
          <w:rFonts w:ascii="SimHei" w:eastAsia="黑体" w:hAnsi="SimHei" w:cs="Arial"/>
          <w:kern w:val="0"/>
          <w:sz w:val="24"/>
          <w:szCs w:val="24"/>
        </w:rPr>
        <w:t>为确保绩效评价工作的客观、公正与公平，绩效评价工作原则上应当以社会中介机构按中国审计准则审计后的财务会计报告为基础，其中，财务报表应当是按中国会计准则编制的合并财务报表。</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第七条</w:t>
      </w:r>
      <w:r w:rsidRPr="00DD4EFC">
        <w:rPr>
          <w:rFonts w:ascii="SimHei" w:eastAsia="黑体" w:hAnsi="SimHei" w:cs="Arial"/>
          <w:kern w:val="0"/>
          <w:sz w:val="24"/>
          <w:szCs w:val="24"/>
        </w:rPr>
        <w:t xml:space="preserve"> </w:t>
      </w:r>
      <w:r w:rsidRPr="00DD4EFC">
        <w:rPr>
          <w:rFonts w:ascii="SimHei" w:eastAsia="黑体" w:hAnsi="SimHei" w:cs="Arial"/>
          <w:kern w:val="0"/>
          <w:sz w:val="24"/>
          <w:szCs w:val="24"/>
        </w:rPr>
        <w:t>金融企业绩效评价标准</w:t>
      </w:r>
      <w:proofErr w:type="gramStart"/>
      <w:r w:rsidRPr="00DD4EFC">
        <w:rPr>
          <w:rFonts w:ascii="SimHei" w:eastAsia="黑体" w:hAnsi="SimHei" w:cs="Arial"/>
          <w:kern w:val="0"/>
          <w:sz w:val="24"/>
          <w:szCs w:val="24"/>
        </w:rPr>
        <w:t>值根据</w:t>
      </w:r>
      <w:proofErr w:type="gramEnd"/>
      <w:r w:rsidRPr="00DD4EFC">
        <w:rPr>
          <w:rFonts w:ascii="SimHei" w:eastAsia="黑体" w:hAnsi="SimHei" w:cs="Arial"/>
          <w:kern w:val="0"/>
          <w:sz w:val="24"/>
          <w:szCs w:val="24"/>
        </w:rPr>
        <w:t>金融企业年度财务会计报告数据，运用数理统计方法，分年度、分行业统一测算并公布。根据金融企业的实际情况，本办法划分为银行业、保险业、证券业和其他金融业</w:t>
      </w:r>
      <w:r w:rsidRPr="00DD4EFC">
        <w:rPr>
          <w:rFonts w:ascii="SimHei" w:eastAsia="黑体" w:hAnsi="SimHei" w:cs="Arial"/>
          <w:kern w:val="0"/>
          <w:sz w:val="24"/>
          <w:szCs w:val="24"/>
        </w:rPr>
        <w:t>4</w:t>
      </w:r>
      <w:r w:rsidRPr="00DD4EFC">
        <w:rPr>
          <w:rFonts w:ascii="SimHei" w:eastAsia="黑体" w:hAnsi="SimHei" w:cs="Arial"/>
          <w:kern w:val="0"/>
          <w:sz w:val="24"/>
          <w:szCs w:val="24"/>
        </w:rPr>
        <w:t>大类金融企业进行绩效评价。</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第八条</w:t>
      </w:r>
      <w:r w:rsidRPr="00DD4EFC">
        <w:rPr>
          <w:rFonts w:ascii="SimHei" w:eastAsia="黑体" w:hAnsi="SimHei" w:cs="Arial"/>
          <w:kern w:val="0"/>
          <w:sz w:val="24"/>
          <w:szCs w:val="24"/>
        </w:rPr>
        <w:t xml:space="preserve"> </w:t>
      </w:r>
      <w:r w:rsidRPr="00DD4EFC">
        <w:rPr>
          <w:rFonts w:ascii="SimHei" w:eastAsia="黑体" w:hAnsi="SimHei" w:cs="Arial"/>
          <w:kern w:val="0"/>
          <w:sz w:val="24"/>
          <w:szCs w:val="24"/>
        </w:rPr>
        <w:t>金融企业绩效评价结果作为评价金融企业绩效、确定金融企业负责人薪酬、加强金融企业经营管理的重要依据，应当反馈给金融企业及相关部门，并以适当形式予以公开。</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jc w:val="center"/>
        <w:rPr>
          <w:rFonts w:ascii="Arial" w:eastAsia="宋体" w:hAnsi="Arial" w:cs="Arial"/>
          <w:kern w:val="0"/>
          <w:sz w:val="24"/>
          <w:szCs w:val="24"/>
        </w:rPr>
      </w:pPr>
      <w:r w:rsidRPr="00DD4EFC">
        <w:rPr>
          <w:rFonts w:ascii="SimHei" w:eastAsia="黑体" w:hAnsi="SimHei" w:cs="Arial"/>
          <w:b/>
          <w:bCs/>
          <w:kern w:val="0"/>
          <w:sz w:val="24"/>
          <w:szCs w:val="24"/>
        </w:rPr>
        <w:t>第二章　评价指标与权重</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第九条</w:t>
      </w:r>
      <w:r w:rsidRPr="00DD4EFC">
        <w:rPr>
          <w:rFonts w:ascii="SimHei" w:eastAsia="黑体" w:hAnsi="SimHei" w:cs="Arial"/>
          <w:kern w:val="0"/>
          <w:sz w:val="24"/>
          <w:szCs w:val="24"/>
        </w:rPr>
        <w:t xml:space="preserve"> </w:t>
      </w:r>
      <w:r w:rsidRPr="00DD4EFC">
        <w:rPr>
          <w:rFonts w:ascii="SimHei" w:eastAsia="黑体" w:hAnsi="SimHei" w:cs="Arial"/>
          <w:kern w:val="0"/>
          <w:sz w:val="24"/>
          <w:szCs w:val="24"/>
        </w:rPr>
        <w:t>金融企业的绩效评价指标具体包括：</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（一）盈利能力指标：包括资本利润率（净资产收益率）、资产利润率（总资产报酬率）、成本收入比、收入利润率、支出利润率、加权平均净资产收益率</w:t>
      </w:r>
      <w:r w:rsidRPr="00DD4EFC">
        <w:rPr>
          <w:rFonts w:ascii="SimHei" w:eastAsia="黑体" w:hAnsi="SimHei" w:cs="Arial"/>
          <w:kern w:val="0"/>
          <w:sz w:val="24"/>
          <w:szCs w:val="24"/>
        </w:rPr>
        <w:t>6</w:t>
      </w:r>
      <w:r w:rsidRPr="00DD4EFC">
        <w:rPr>
          <w:rFonts w:ascii="SimHei" w:eastAsia="黑体" w:hAnsi="SimHei" w:cs="Arial"/>
          <w:kern w:val="0"/>
          <w:sz w:val="24"/>
          <w:szCs w:val="24"/>
        </w:rPr>
        <w:t>个指标，主要反映金融企业一定经营期间的投入产出水平和盈利质量；</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（二）经营增长指标：包括（国有）资本保值增值率、利润增长率、经济利润率</w:t>
      </w:r>
      <w:r w:rsidRPr="00DD4EFC">
        <w:rPr>
          <w:rFonts w:ascii="SimHei" w:eastAsia="黑体" w:hAnsi="SimHei" w:cs="Arial"/>
          <w:kern w:val="0"/>
          <w:sz w:val="24"/>
          <w:szCs w:val="24"/>
        </w:rPr>
        <w:t>3</w:t>
      </w:r>
      <w:r w:rsidRPr="00DD4EFC">
        <w:rPr>
          <w:rFonts w:ascii="SimHei" w:eastAsia="黑体" w:hAnsi="SimHei" w:cs="Arial"/>
          <w:kern w:val="0"/>
          <w:sz w:val="24"/>
          <w:szCs w:val="24"/>
        </w:rPr>
        <w:t>个指标，主要反映金融企业的资本增值状况和经营增长水平；</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（三）资产质量指标：包括不良贷款率、拨备覆盖率、流动性比例、杠杆率、资产减值准备与总资产比例、综合流动比率、综合投资收益率、应收账款比率、净资本与净资产比率、净资本与风险准备比率</w:t>
      </w:r>
      <w:r w:rsidRPr="00DD4EFC">
        <w:rPr>
          <w:rFonts w:ascii="SimHei" w:eastAsia="黑体" w:hAnsi="SimHei" w:cs="Arial"/>
          <w:kern w:val="0"/>
          <w:sz w:val="24"/>
          <w:szCs w:val="24"/>
        </w:rPr>
        <w:t>10</w:t>
      </w:r>
      <w:r w:rsidRPr="00DD4EFC">
        <w:rPr>
          <w:rFonts w:ascii="SimHei" w:eastAsia="黑体" w:hAnsi="SimHei" w:cs="Arial"/>
          <w:kern w:val="0"/>
          <w:sz w:val="24"/>
          <w:szCs w:val="24"/>
        </w:rPr>
        <w:t>个指标，主要反映金融企业所占用经济资源的利用效率、资产管理水平与资产的安全性；</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（四）偿付能力指标：包括资本充足率、一级资本充足率、核心一级资本充足率、综合偿付能力充足率、核心偿付能力充足率、净资本负债率、资产负债率</w:t>
      </w:r>
      <w:r w:rsidRPr="00DD4EFC">
        <w:rPr>
          <w:rFonts w:ascii="SimHei" w:eastAsia="黑体" w:hAnsi="SimHei" w:cs="Arial"/>
          <w:kern w:val="0"/>
          <w:sz w:val="24"/>
          <w:szCs w:val="24"/>
        </w:rPr>
        <w:t>7</w:t>
      </w:r>
      <w:r w:rsidRPr="00DD4EFC">
        <w:rPr>
          <w:rFonts w:ascii="SimHei" w:eastAsia="黑体" w:hAnsi="SimHei" w:cs="Arial"/>
          <w:kern w:val="0"/>
          <w:sz w:val="24"/>
          <w:szCs w:val="24"/>
        </w:rPr>
        <w:t>个指标，主要反映金融企业的债务负担水平、偿债能力及其面临的债务风险。</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第十条</w:t>
      </w:r>
      <w:r w:rsidRPr="00DD4EFC">
        <w:rPr>
          <w:rFonts w:ascii="SimHei" w:eastAsia="黑体" w:hAnsi="SimHei" w:cs="Arial"/>
          <w:kern w:val="0"/>
          <w:sz w:val="24"/>
          <w:szCs w:val="24"/>
        </w:rPr>
        <w:t xml:space="preserve"> </w:t>
      </w:r>
      <w:r w:rsidRPr="00DD4EFC">
        <w:rPr>
          <w:rFonts w:ascii="SimHei" w:eastAsia="黑体" w:hAnsi="SimHei" w:cs="Arial"/>
          <w:kern w:val="0"/>
          <w:sz w:val="24"/>
          <w:szCs w:val="24"/>
        </w:rPr>
        <w:t>金融企业绩效评价各单项指标的权重，依据指标的重要性和引导功能确定。</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（一）银行类金融企业盈利能力状况指标包括资本利润率、资产利润率、成本收入比，权重共为</w:t>
      </w:r>
      <w:r w:rsidRPr="00DD4EFC">
        <w:rPr>
          <w:rFonts w:ascii="SimHei" w:eastAsia="黑体" w:hAnsi="SimHei" w:cs="Arial"/>
          <w:kern w:val="0"/>
          <w:sz w:val="24"/>
          <w:szCs w:val="24"/>
        </w:rPr>
        <w:t>25%</w:t>
      </w:r>
      <w:r w:rsidRPr="00DD4EFC">
        <w:rPr>
          <w:rFonts w:ascii="SimHei" w:eastAsia="黑体" w:hAnsi="SimHei" w:cs="Arial"/>
          <w:kern w:val="0"/>
          <w:sz w:val="24"/>
          <w:szCs w:val="24"/>
        </w:rPr>
        <w:t>；经营增长状况指标包括（国有）资本保值增值率、利润增长率、经济利润率，权重共为</w:t>
      </w:r>
      <w:r w:rsidRPr="00DD4EFC">
        <w:rPr>
          <w:rFonts w:ascii="SimHei" w:eastAsia="黑体" w:hAnsi="SimHei" w:cs="Arial"/>
          <w:kern w:val="0"/>
          <w:sz w:val="24"/>
          <w:szCs w:val="24"/>
        </w:rPr>
        <w:t>20%</w:t>
      </w:r>
      <w:r w:rsidRPr="00DD4EFC">
        <w:rPr>
          <w:rFonts w:ascii="SimHei" w:eastAsia="黑体" w:hAnsi="SimHei" w:cs="Arial"/>
          <w:kern w:val="0"/>
          <w:sz w:val="24"/>
          <w:szCs w:val="24"/>
        </w:rPr>
        <w:t>；资产质量状况指标包括不良贷款率、拨备覆盖率、流动性比例、杠杆率，权重共为</w:t>
      </w:r>
      <w:r w:rsidRPr="00DD4EFC">
        <w:rPr>
          <w:rFonts w:ascii="SimHei" w:eastAsia="黑体" w:hAnsi="SimHei" w:cs="Arial"/>
          <w:kern w:val="0"/>
          <w:sz w:val="24"/>
          <w:szCs w:val="24"/>
        </w:rPr>
        <w:t>25%</w:t>
      </w:r>
      <w:r w:rsidRPr="00DD4EFC">
        <w:rPr>
          <w:rFonts w:ascii="SimHei" w:eastAsia="黑体" w:hAnsi="SimHei" w:cs="Arial"/>
          <w:kern w:val="0"/>
          <w:sz w:val="24"/>
          <w:szCs w:val="24"/>
        </w:rPr>
        <w:t>；偿付能力状况指标包括资本充足率、一级资本充足率、核心一级资本充足率，权重共为</w:t>
      </w:r>
      <w:r w:rsidRPr="00DD4EFC">
        <w:rPr>
          <w:rFonts w:ascii="SimHei" w:eastAsia="黑体" w:hAnsi="SimHei" w:cs="Arial"/>
          <w:kern w:val="0"/>
          <w:sz w:val="24"/>
          <w:szCs w:val="24"/>
        </w:rPr>
        <w:t>30%</w:t>
      </w:r>
      <w:r w:rsidRPr="00DD4EFC">
        <w:rPr>
          <w:rFonts w:ascii="SimHei" w:eastAsia="黑体" w:hAnsi="SimHei" w:cs="Arial"/>
          <w:kern w:val="0"/>
          <w:sz w:val="24"/>
          <w:szCs w:val="24"/>
        </w:rPr>
        <w:t>。</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（二）保险类金融企业盈利能力状况指标包括净资产收益率、总资产报酬率、收入利润率、支出利润率，权重共为</w:t>
      </w:r>
      <w:r w:rsidRPr="00DD4EFC">
        <w:rPr>
          <w:rFonts w:ascii="SimHei" w:eastAsia="黑体" w:hAnsi="SimHei" w:cs="Arial"/>
          <w:kern w:val="0"/>
          <w:sz w:val="24"/>
          <w:szCs w:val="24"/>
        </w:rPr>
        <w:t>30%</w:t>
      </w:r>
      <w:r w:rsidRPr="00DD4EFC">
        <w:rPr>
          <w:rFonts w:ascii="SimHei" w:eastAsia="黑体" w:hAnsi="SimHei" w:cs="Arial"/>
          <w:kern w:val="0"/>
          <w:sz w:val="24"/>
          <w:szCs w:val="24"/>
        </w:rPr>
        <w:t>；经营增长状况指标包括（国有）资本保值增值率、利润增长率、经济利润率，权重共为</w:t>
      </w:r>
      <w:r w:rsidRPr="00DD4EFC">
        <w:rPr>
          <w:rFonts w:ascii="SimHei" w:eastAsia="黑体" w:hAnsi="SimHei" w:cs="Arial"/>
          <w:kern w:val="0"/>
          <w:sz w:val="24"/>
          <w:szCs w:val="24"/>
        </w:rPr>
        <w:t>25%</w:t>
      </w:r>
      <w:r w:rsidRPr="00DD4EFC">
        <w:rPr>
          <w:rFonts w:ascii="SimHei" w:eastAsia="黑体" w:hAnsi="SimHei" w:cs="Arial"/>
          <w:kern w:val="0"/>
          <w:sz w:val="24"/>
          <w:szCs w:val="24"/>
        </w:rPr>
        <w:t>；资产质量状况指标包括资产减值准备与总资产比例、综合流动比率、综合投资收益率、应收账款比率，权重共为</w:t>
      </w:r>
      <w:r w:rsidRPr="00DD4EFC">
        <w:rPr>
          <w:rFonts w:ascii="SimHei" w:eastAsia="黑体" w:hAnsi="SimHei" w:cs="Arial"/>
          <w:kern w:val="0"/>
          <w:sz w:val="24"/>
          <w:szCs w:val="24"/>
        </w:rPr>
        <w:t>20%</w:t>
      </w:r>
      <w:r w:rsidRPr="00DD4EFC">
        <w:rPr>
          <w:rFonts w:ascii="SimHei" w:eastAsia="黑体" w:hAnsi="SimHei" w:cs="Arial"/>
          <w:kern w:val="0"/>
          <w:sz w:val="24"/>
          <w:szCs w:val="24"/>
        </w:rPr>
        <w:t>；偿付能力状况指标包括综合偿付能力充足率、核心偿付能力充足率，权重为</w:t>
      </w:r>
      <w:r w:rsidRPr="00DD4EFC">
        <w:rPr>
          <w:rFonts w:ascii="SimHei" w:eastAsia="黑体" w:hAnsi="SimHei" w:cs="Arial"/>
          <w:kern w:val="0"/>
          <w:sz w:val="24"/>
          <w:szCs w:val="24"/>
        </w:rPr>
        <w:t>25%</w:t>
      </w:r>
      <w:r w:rsidRPr="00DD4EFC">
        <w:rPr>
          <w:rFonts w:ascii="SimHei" w:eastAsia="黑体" w:hAnsi="SimHei" w:cs="Arial"/>
          <w:kern w:val="0"/>
          <w:sz w:val="24"/>
          <w:szCs w:val="24"/>
        </w:rPr>
        <w:t>。</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（三）证券类金融企业盈利能力状况指标包括加权平均净资产收益率、资产利润率、收入利润率、支出利润率，权重共为</w:t>
      </w:r>
      <w:r w:rsidRPr="00DD4EFC">
        <w:rPr>
          <w:rFonts w:ascii="SimHei" w:eastAsia="黑体" w:hAnsi="SimHei" w:cs="Arial"/>
          <w:kern w:val="0"/>
          <w:sz w:val="24"/>
          <w:szCs w:val="24"/>
        </w:rPr>
        <w:t>30%</w:t>
      </w:r>
      <w:r w:rsidRPr="00DD4EFC">
        <w:rPr>
          <w:rFonts w:ascii="SimHei" w:eastAsia="黑体" w:hAnsi="SimHei" w:cs="Arial"/>
          <w:kern w:val="0"/>
          <w:sz w:val="24"/>
          <w:szCs w:val="24"/>
        </w:rPr>
        <w:t>；经营增长状况指标包括（国有）资本保值增值率、利润增长率、经济利润率，权重共为</w:t>
      </w:r>
      <w:r w:rsidRPr="00DD4EFC">
        <w:rPr>
          <w:rFonts w:ascii="SimHei" w:eastAsia="黑体" w:hAnsi="SimHei" w:cs="Arial"/>
          <w:kern w:val="0"/>
          <w:sz w:val="24"/>
          <w:szCs w:val="24"/>
        </w:rPr>
        <w:t>20%</w:t>
      </w:r>
      <w:r w:rsidRPr="00DD4EFC">
        <w:rPr>
          <w:rFonts w:ascii="SimHei" w:eastAsia="黑体" w:hAnsi="SimHei" w:cs="Arial"/>
          <w:kern w:val="0"/>
          <w:sz w:val="24"/>
          <w:szCs w:val="24"/>
        </w:rPr>
        <w:t>；资产质量状况指标包括净资本与净资产比率、净资本与风险准备比率，权重共为</w:t>
      </w:r>
      <w:r w:rsidRPr="00DD4EFC">
        <w:rPr>
          <w:rFonts w:ascii="SimHei" w:eastAsia="黑体" w:hAnsi="SimHei" w:cs="Arial"/>
          <w:kern w:val="0"/>
          <w:sz w:val="24"/>
          <w:szCs w:val="24"/>
        </w:rPr>
        <w:t>25%</w:t>
      </w:r>
      <w:r w:rsidRPr="00DD4EFC">
        <w:rPr>
          <w:rFonts w:ascii="SimHei" w:eastAsia="黑体" w:hAnsi="SimHei" w:cs="Arial"/>
          <w:kern w:val="0"/>
          <w:sz w:val="24"/>
          <w:szCs w:val="24"/>
        </w:rPr>
        <w:t>；偿付能力状况指标包括净资本负债率、资产负债率，权重共为</w:t>
      </w:r>
      <w:r w:rsidRPr="00DD4EFC">
        <w:rPr>
          <w:rFonts w:ascii="SimHei" w:eastAsia="黑体" w:hAnsi="SimHei" w:cs="Arial"/>
          <w:kern w:val="0"/>
          <w:sz w:val="24"/>
          <w:szCs w:val="24"/>
        </w:rPr>
        <w:t>25%</w:t>
      </w:r>
      <w:r w:rsidRPr="00DD4EFC">
        <w:rPr>
          <w:rFonts w:ascii="SimHei" w:eastAsia="黑体" w:hAnsi="SimHei" w:cs="Arial"/>
          <w:kern w:val="0"/>
          <w:sz w:val="24"/>
          <w:szCs w:val="24"/>
        </w:rPr>
        <w:t>。</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（四）其他类金融企业盈利能力状况指标包括资本利润率、资产利润率、成本收入比，权重共为</w:t>
      </w:r>
      <w:r w:rsidRPr="00DD4EFC">
        <w:rPr>
          <w:rFonts w:ascii="SimHei" w:eastAsia="黑体" w:hAnsi="SimHei" w:cs="Arial"/>
          <w:kern w:val="0"/>
          <w:sz w:val="24"/>
          <w:szCs w:val="24"/>
        </w:rPr>
        <w:t>45%</w:t>
      </w:r>
      <w:r w:rsidRPr="00DD4EFC">
        <w:rPr>
          <w:rFonts w:ascii="SimHei" w:eastAsia="黑体" w:hAnsi="SimHei" w:cs="Arial"/>
          <w:kern w:val="0"/>
          <w:sz w:val="24"/>
          <w:szCs w:val="24"/>
        </w:rPr>
        <w:t>；经营增长状况指标包括（国有）资本保值增值率、利润增长率、经济利润率，权重共为</w:t>
      </w:r>
      <w:r w:rsidRPr="00DD4EFC">
        <w:rPr>
          <w:rFonts w:ascii="SimHei" w:eastAsia="黑体" w:hAnsi="SimHei" w:cs="Arial"/>
          <w:kern w:val="0"/>
          <w:sz w:val="24"/>
          <w:szCs w:val="24"/>
        </w:rPr>
        <w:t>40%</w:t>
      </w:r>
      <w:r w:rsidRPr="00DD4EFC">
        <w:rPr>
          <w:rFonts w:ascii="SimHei" w:eastAsia="黑体" w:hAnsi="SimHei" w:cs="Arial"/>
          <w:kern w:val="0"/>
          <w:sz w:val="24"/>
          <w:szCs w:val="24"/>
        </w:rPr>
        <w:t>；偿付能力状况指标为资产负债率，权重为</w:t>
      </w:r>
      <w:r w:rsidRPr="00DD4EFC">
        <w:rPr>
          <w:rFonts w:ascii="SimHei" w:eastAsia="黑体" w:hAnsi="SimHei" w:cs="Arial"/>
          <w:kern w:val="0"/>
          <w:sz w:val="24"/>
          <w:szCs w:val="24"/>
        </w:rPr>
        <w:t>15%</w:t>
      </w:r>
      <w:r w:rsidRPr="00DD4EFC">
        <w:rPr>
          <w:rFonts w:ascii="SimHei" w:eastAsia="黑体" w:hAnsi="SimHei" w:cs="Arial"/>
          <w:kern w:val="0"/>
          <w:sz w:val="24"/>
          <w:szCs w:val="24"/>
        </w:rPr>
        <w:t>。</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各项指标具体权数见分行业金融企业绩效评价结果计分表。各单项指标计分加</w:t>
      </w:r>
      <w:proofErr w:type="gramStart"/>
      <w:r w:rsidRPr="00DD4EFC">
        <w:rPr>
          <w:rFonts w:ascii="SimHei" w:eastAsia="黑体" w:hAnsi="SimHei" w:cs="Arial"/>
          <w:kern w:val="0"/>
          <w:sz w:val="24"/>
          <w:szCs w:val="24"/>
        </w:rPr>
        <w:t>总形成</w:t>
      </w:r>
      <w:proofErr w:type="gramEnd"/>
      <w:r w:rsidRPr="00DD4EFC">
        <w:rPr>
          <w:rFonts w:ascii="SimHei" w:eastAsia="黑体" w:hAnsi="SimHei" w:cs="Arial"/>
          <w:kern w:val="0"/>
          <w:sz w:val="24"/>
          <w:szCs w:val="24"/>
        </w:rPr>
        <w:t>金融企业绩效评价综合指标得分。</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第十一条</w:t>
      </w:r>
      <w:r w:rsidRPr="00DD4EFC">
        <w:rPr>
          <w:rFonts w:ascii="SimHei" w:eastAsia="黑体" w:hAnsi="SimHei" w:cs="Arial"/>
          <w:kern w:val="0"/>
          <w:sz w:val="24"/>
          <w:szCs w:val="24"/>
        </w:rPr>
        <w:t xml:space="preserve"> </w:t>
      </w:r>
      <w:r w:rsidRPr="00DD4EFC">
        <w:rPr>
          <w:rFonts w:ascii="SimHei" w:eastAsia="黑体" w:hAnsi="SimHei" w:cs="Arial"/>
          <w:kern w:val="0"/>
          <w:sz w:val="24"/>
          <w:szCs w:val="24"/>
        </w:rPr>
        <w:t>金融企业</w:t>
      </w:r>
      <w:r w:rsidRPr="00DD4EFC">
        <w:rPr>
          <w:rFonts w:ascii="SimHei" w:eastAsia="黑体" w:hAnsi="SimHei" w:cs="Arial"/>
          <w:kern w:val="0"/>
          <w:sz w:val="24"/>
          <w:szCs w:val="24"/>
        </w:rPr>
        <w:t>“</w:t>
      </w:r>
      <w:r w:rsidRPr="00DD4EFC">
        <w:rPr>
          <w:rFonts w:ascii="SimHei" w:eastAsia="黑体" w:hAnsi="SimHei" w:cs="Arial"/>
          <w:kern w:val="0"/>
          <w:sz w:val="24"/>
          <w:szCs w:val="24"/>
        </w:rPr>
        <w:t>上年利润总额</w:t>
      </w:r>
      <w:r w:rsidRPr="00DD4EFC">
        <w:rPr>
          <w:rFonts w:ascii="SimHei" w:eastAsia="黑体" w:hAnsi="SimHei" w:cs="Arial"/>
          <w:kern w:val="0"/>
          <w:sz w:val="24"/>
          <w:szCs w:val="24"/>
        </w:rPr>
        <w:t>”</w:t>
      </w:r>
      <w:r w:rsidRPr="00DD4EFC">
        <w:rPr>
          <w:rFonts w:ascii="SimHei" w:eastAsia="黑体" w:hAnsi="SimHei" w:cs="Arial"/>
          <w:kern w:val="0"/>
          <w:sz w:val="24"/>
          <w:szCs w:val="24"/>
        </w:rPr>
        <w:t>为负数时，利润增长率指标按该指标在本行业中所占权数的一定比例取分。具体为：如果（本年利润总额</w:t>
      </w:r>
      <w:r w:rsidRPr="00DD4EFC">
        <w:rPr>
          <w:rFonts w:ascii="SimHei" w:eastAsia="黑体" w:hAnsi="SimHei" w:cs="Arial"/>
          <w:kern w:val="0"/>
          <w:sz w:val="24"/>
          <w:szCs w:val="24"/>
        </w:rPr>
        <w:t>-</w:t>
      </w:r>
      <w:r w:rsidRPr="00DD4EFC">
        <w:rPr>
          <w:rFonts w:ascii="SimHei" w:eastAsia="黑体" w:hAnsi="SimHei" w:cs="Arial"/>
          <w:kern w:val="0"/>
          <w:sz w:val="24"/>
          <w:szCs w:val="24"/>
        </w:rPr>
        <w:t>上年利润总额）为正数，且本年利润总额不为负数，得分取利润增长率指标权数的</w:t>
      </w:r>
      <w:r w:rsidRPr="00DD4EFC">
        <w:rPr>
          <w:rFonts w:ascii="SimHei" w:eastAsia="黑体" w:hAnsi="SimHei" w:cs="Arial"/>
          <w:kern w:val="0"/>
          <w:sz w:val="24"/>
          <w:szCs w:val="24"/>
        </w:rPr>
        <w:t>10%</w:t>
      </w:r>
      <w:r w:rsidRPr="00DD4EFC">
        <w:rPr>
          <w:rFonts w:ascii="SimHei" w:eastAsia="黑体" w:hAnsi="SimHei" w:cs="Arial"/>
          <w:kern w:val="0"/>
          <w:sz w:val="24"/>
          <w:szCs w:val="24"/>
        </w:rPr>
        <w:t>；如果（本年利润总额</w:t>
      </w:r>
      <w:r w:rsidRPr="00DD4EFC">
        <w:rPr>
          <w:rFonts w:ascii="SimHei" w:eastAsia="黑体" w:hAnsi="SimHei" w:cs="Arial"/>
          <w:kern w:val="0"/>
          <w:sz w:val="24"/>
          <w:szCs w:val="24"/>
        </w:rPr>
        <w:t>-</w:t>
      </w:r>
      <w:r w:rsidRPr="00DD4EFC">
        <w:rPr>
          <w:rFonts w:ascii="SimHei" w:eastAsia="黑体" w:hAnsi="SimHei" w:cs="Arial"/>
          <w:kern w:val="0"/>
          <w:sz w:val="24"/>
          <w:szCs w:val="24"/>
        </w:rPr>
        <w:t>上年利润总额）为正数，且本年利润总额为负数，得分取利润增长率指标权数的</w:t>
      </w:r>
      <w:r w:rsidRPr="00DD4EFC">
        <w:rPr>
          <w:rFonts w:ascii="SimHei" w:eastAsia="黑体" w:hAnsi="SimHei" w:cs="Arial"/>
          <w:kern w:val="0"/>
          <w:sz w:val="24"/>
          <w:szCs w:val="24"/>
        </w:rPr>
        <w:t>5%</w:t>
      </w:r>
      <w:r w:rsidRPr="00DD4EFC">
        <w:rPr>
          <w:rFonts w:ascii="SimHei" w:eastAsia="黑体" w:hAnsi="SimHei" w:cs="Arial"/>
          <w:kern w:val="0"/>
          <w:sz w:val="24"/>
          <w:szCs w:val="24"/>
        </w:rPr>
        <w:t>。否则，该指标得分为零。</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jc w:val="center"/>
        <w:rPr>
          <w:rFonts w:ascii="Arial" w:eastAsia="宋体" w:hAnsi="Arial" w:cs="Arial"/>
          <w:kern w:val="0"/>
          <w:sz w:val="24"/>
          <w:szCs w:val="24"/>
        </w:rPr>
      </w:pPr>
      <w:r w:rsidRPr="00DD4EFC">
        <w:rPr>
          <w:rFonts w:ascii="SimHei" w:eastAsia="黑体" w:hAnsi="SimHei" w:cs="Arial"/>
          <w:b/>
          <w:bCs/>
          <w:kern w:val="0"/>
          <w:sz w:val="24"/>
          <w:szCs w:val="24"/>
        </w:rPr>
        <w:t>第三章　评价基础数据与调整</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第十二条</w:t>
      </w:r>
      <w:r w:rsidRPr="00DD4EFC">
        <w:rPr>
          <w:rFonts w:ascii="SimHei" w:eastAsia="黑体" w:hAnsi="SimHei" w:cs="Arial"/>
          <w:kern w:val="0"/>
          <w:sz w:val="24"/>
          <w:szCs w:val="24"/>
        </w:rPr>
        <w:t xml:space="preserve"> </w:t>
      </w:r>
      <w:r w:rsidRPr="00DD4EFC">
        <w:rPr>
          <w:rFonts w:ascii="SimHei" w:eastAsia="黑体" w:hAnsi="SimHei" w:cs="Arial"/>
          <w:kern w:val="0"/>
          <w:sz w:val="24"/>
          <w:szCs w:val="24"/>
        </w:rPr>
        <w:t>金融企业绩效评价基础数据资料具体包括：</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（一）金融企业的年度财务会计报告，其中，金融资产管理公司政策性业务尚未清算前，使用商业化数据进行考核；</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二）会计师事务所出具的审计报告，其中，金融企业不能提供会计师事务所出具的审计报告的，以该金融企业提供的、经财政部门认可的年度会计报表为依据进行考核，若以后发现所提供的财务数据不实，财政部门将追溯调整金融企业的绩效评价结果；</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（三）关于金融企业经营情况的说明或财务分析报告。</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第十三条</w:t>
      </w:r>
      <w:r w:rsidRPr="00DD4EFC">
        <w:rPr>
          <w:rFonts w:ascii="SimHei" w:eastAsia="黑体" w:hAnsi="SimHei" w:cs="Arial"/>
          <w:kern w:val="0"/>
          <w:sz w:val="24"/>
          <w:szCs w:val="24"/>
        </w:rPr>
        <w:t xml:space="preserve"> </w:t>
      </w:r>
      <w:r w:rsidRPr="00DD4EFC">
        <w:rPr>
          <w:rFonts w:ascii="SimHei" w:eastAsia="黑体" w:hAnsi="SimHei" w:cs="Arial"/>
          <w:kern w:val="0"/>
          <w:sz w:val="24"/>
          <w:szCs w:val="24"/>
        </w:rPr>
        <w:t>为了确保绩效评价工作的真实、完整、合理，金融企业可以按照重要性和可比性原则对评价期间的基础数据申请进行适当调整，有关财务指标相应加上客观减少因素、减去客观增加因素。可以进行调整的事项主要包括：</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（一）金融企业在评价期间损益中消化处理以前年度资产或业务损失的，可把损失金额作为当年利润的客观减少因素；</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（二）金融企业承担政策性业务对经营成果或资产质量产生重大影响的，可把影响金额作为当年利润或资产的客观减少因素；</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（三）金融企业会计政策与会计估计变更对经营成果产生重大影响的，可把影响金额作为当年资产或利润的客观影响因素；</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（四）金融企业被出具非标准无保留意见审计报告的，应当根据审计报告披露影响经营成果的重大事项，调整评价基础数据；</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金融企业申请调整事项对绩效评价指标的影响超过</w:t>
      </w:r>
      <w:r w:rsidRPr="00DD4EFC">
        <w:rPr>
          <w:rFonts w:ascii="SimHei" w:eastAsia="黑体" w:hAnsi="SimHei" w:cs="Arial"/>
          <w:kern w:val="0"/>
          <w:sz w:val="24"/>
          <w:szCs w:val="24"/>
        </w:rPr>
        <w:t>1</w:t>
      </w:r>
      <w:r w:rsidRPr="00DD4EFC">
        <w:rPr>
          <w:rFonts w:ascii="SimHei" w:eastAsia="黑体" w:hAnsi="SimHei" w:cs="Arial"/>
          <w:kern w:val="0"/>
          <w:sz w:val="24"/>
          <w:szCs w:val="24"/>
        </w:rPr>
        <w:t>％的，作为重大影响。</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第十四条　金融企业发生客观调整因素，相应调整以下绩效评价指标：</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一）收入、成本发生变动时，相应调整资本利润率、净资产收益率、资产利润率、总资产报酬率、成本收入比、收入利润率、支出利润率、加权平均净资产收益率、（国有）资本保值增值率、利润增长率、经济利润率等；</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（二）利润发生变动时，相应调整资本利润率、净资产收益率、资产利润率、总资产报酬率、收入利润率、支出利润率、加权平均净资产收益率、（国有）资本保值增值率、利润增长率、经济利润率等；</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三）资产发生变动时，相应调整资产利润率、总资产报酬率、（国有）资本保值增值率、不良贷款率、拨备覆盖率、流动性比例、杠杆率、资产减值准备与总资产比例、综合流动比率、综合投资收益率、应收账款比率、净资本与净资产比率、资本充足率、一级资本充足率、核心一级资本充足率、资产负债率等。</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第十五条　金融企业对基础数据进行调整的说明材料包括：</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（一）《金融企业绩效评价基础数据调整表》（附</w:t>
      </w:r>
      <w:r w:rsidRPr="00DD4EFC">
        <w:rPr>
          <w:rFonts w:ascii="SimHei" w:eastAsia="黑体" w:hAnsi="SimHei" w:cs="Arial"/>
          <w:kern w:val="0"/>
          <w:sz w:val="24"/>
          <w:szCs w:val="24"/>
        </w:rPr>
        <w:t>1</w:t>
      </w:r>
      <w:r w:rsidRPr="00DD4EFC">
        <w:rPr>
          <w:rFonts w:ascii="SimHei" w:eastAsia="黑体" w:hAnsi="SimHei" w:cs="Arial"/>
          <w:kern w:val="0"/>
          <w:sz w:val="24"/>
          <w:szCs w:val="24"/>
        </w:rPr>
        <w:t>）；</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（二）调整事项有关证明材料。</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调整事项主要适用于当年基础数据资料的调整，必要时也可调整以前年度事项，由金融企业申报。</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组织实施单位根据被评价金融企业提供的绩效评价基础数据资料和调整说明材料分别进行审查、复核和确认。</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jc w:val="center"/>
        <w:rPr>
          <w:rFonts w:ascii="Arial" w:eastAsia="宋体" w:hAnsi="Arial" w:cs="Arial"/>
          <w:kern w:val="0"/>
          <w:sz w:val="24"/>
          <w:szCs w:val="24"/>
        </w:rPr>
      </w:pPr>
      <w:r w:rsidRPr="00DD4EFC">
        <w:rPr>
          <w:rFonts w:ascii="SimHei" w:eastAsia="黑体" w:hAnsi="SimHei" w:cs="Arial"/>
          <w:b/>
          <w:bCs/>
          <w:kern w:val="0"/>
          <w:sz w:val="24"/>
          <w:szCs w:val="24"/>
        </w:rPr>
        <w:t>第四章　评价标准与评价计分</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第十六条　财政部根据中央管理金融企业和省级财政部门报送的快报资料，对金融企业数据进行筛选，剔除不适合参与测算的金融企业数据，保留符合测算要求的数据，建立样本库。</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被剔除的金融企业数据主要包括：</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（一）根据评价指标的经济特性，不符合计算模型需要的数据，如计算相对值时分母和分子同时为负数的数据；</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（二）相关指标与正常金融企业相差很大，如正处于停业、托管或业务清算状态的金融企业数据。</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（三）期初数或上年数不完整的金融企业数据。</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第十七条　财政部根据金融企业绩效评价基础数据，分行业统一测算金融企业绩效评价标准值。</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金融企业经营多种业务的，以其主营业务为基础，确定评价指标适用的行业。标准值适用情况如下：</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（一）除政策性银行以外的国有银行、股份制商业银行、邮政储蓄银行、城市商业银行、农村商业银行、农村合作银行、信用社等适用银行业标准值；</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（二）各类商业保险企业适用保险业标准值；</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（三）证券公司、期货公司和基金管理公司等适用证券业标准值；</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（四）各类融资担保公司、新型农村金融机构、信托公司、金融租赁公司、财务公司以及金融监管部门所属的从事相关金融业务的企业等适用其他金融业标准值；</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某集团）公司、金融资产管理公司、金融投资管理公司等金融企业先按控股子公司（企业）持有金融业务许可证的类型分别确定所适用的行业标准值（</w:t>
      </w:r>
      <w:proofErr w:type="gramStart"/>
      <w:r w:rsidRPr="00DD4EFC">
        <w:rPr>
          <w:rFonts w:ascii="SimHei" w:eastAsia="黑体" w:hAnsi="SimHei" w:cs="Arial"/>
          <w:kern w:val="0"/>
          <w:sz w:val="24"/>
          <w:szCs w:val="24"/>
        </w:rPr>
        <w:t>无金融</w:t>
      </w:r>
      <w:proofErr w:type="gramEnd"/>
      <w:r w:rsidRPr="00DD4EFC">
        <w:rPr>
          <w:rFonts w:ascii="SimHei" w:eastAsia="黑体" w:hAnsi="SimHei" w:cs="Arial"/>
          <w:kern w:val="0"/>
          <w:sz w:val="24"/>
          <w:szCs w:val="24"/>
        </w:rPr>
        <w:t>业务许可证的控股子公司（企业）适用其他金融业标准值），再按控股子公司（企业）各自得分及其平均净资产权重综合计算绩效评价得分。对阶段性持股子公司（企业）不进行单独评价。</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第十八条　依据所建样本库中金融企业的数据，财政部采用分段平均法测算每项财务指标的标准值。具体步骤包括：</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（一）对测算样本的财务指标按照实际值从大到小</w:t>
      </w:r>
      <w:r w:rsidRPr="00DD4EFC">
        <w:rPr>
          <w:rFonts w:ascii="SimHei" w:eastAsia="黑体" w:hAnsi="SimHei" w:cs="Arial"/>
          <w:kern w:val="0"/>
          <w:sz w:val="24"/>
          <w:szCs w:val="24"/>
        </w:rPr>
        <w:t>(</w:t>
      </w:r>
      <w:r w:rsidRPr="00DD4EFC">
        <w:rPr>
          <w:rFonts w:ascii="SimHei" w:eastAsia="黑体" w:hAnsi="SimHei" w:cs="Arial"/>
          <w:kern w:val="0"/>
          <w:sz w:val="24"/>
          <w:szCs w:val="24"/>
        </w:rPr>
        <w:t>对于逆向指标，从小到大</w:t>
      </w:r>
      <w:r w:rsidRPr="00DD4EFC">
        <w:rPr>
          <w:rFonts w:ascii="SimHei" w:eastAsia="黑体" w:hAnsi="SimHei" w:cs="Arial"/>
          <w:kern w:val="0"/>
          <w:sz w:val="24"/>
          <w:szCs w:val="24"/>
        </w:rPr>
        <w:t>)</w:t>
      </w:r>
      <w:r w:rsidRPr="00DD4EFC">
        <w:rPr>
          <w:rFonts w:ascii="SimHei" w:eastAsia="黑体" w:hAnsi="SimHei" w:cs="Arial"/>
          <w:kern w:val="0"/>
          <w:sz w:val="24"/>
          <w:szCs w:val="24"/>
        </w:rPr>
        <w:t>进行排序；</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（二）将排好序的样本，平均划分为</w:t>
      </w:r>
      <w:r w:rsidRPr="00DD4EFC">
        <w:rPr>
          <w:rFonts w:ascii="SimHei" w:eastAsia="黑体" w:hAnsi="SimHei" w:cs="Arial"/>
          <w:kern w:val="0"/>
          <w:sz w:val="24"/>
          <w:szCs w:val="24"/>
        </w:rPr>
        <w:t>4</w:t>
      </w:r>
      <w:r w:rsidRPr="00DD4EFC">
        <w:rPr>
          <w:rFonts w:ascii="SimHei" w:eastAsia="黑体" w:hAnsi="SimHei" w:cs="Arial"/>
          <w:kern w:val="0"/>
          <w:sz w:val="24"/>
          <w:szCs w:val="24"/>
        </w:rPr>
        <w:t>部分，前</w:t>
      </w:r>
      <w:r w:rsidRPr="00DD4EFC">
        <w:rPr>
          <w:rFonts w:ascii="SimHei" w:eastAsia="黑体" w:hAnsi="SimHei" w:cs="Arial"/>
          <w:kern w:val="0"/>
          <w:sz w:val="24"/>
          <w:szCs w:val="24"/>
        </w:rPr>
        <w:t>25%</w:t>
      </w:r>
      <w:r w:rsidRPr="00DD4EFC">
        <w:rPr>
          <w:rFonts w:ascii="SimHei" w:eastAsia="黑体" w:hAnsi="SimHei" w:cs="Arial"/>
          <w:kern w:val="0"/>
          <w:sz w:val="24"/>
          <w:szCs w:val="24"/>
        </w:rPr>
        <w:t>的样本数据为第一段，前</w:t>
      </w:r>
      <w:r w:rsidRPr="00DD4EFC">
        <w:rPr>
          <w:rFonts w:ascii="SimHei" w:eastAsia="黑体" w:hAnsi="SimHei" w:cs="Arial"/>
          <w:kern w:val="0"/>
          <w:sz w:val="24"/>
          <w:szCs w:val="24"/>
        </w:rPr>
        <w:t>50%</w:t>
      </w:r>
      <w:r w:rsidRPr="00DD4EFC">
        <w:rPr>
          <w:rFonts w:ascii="SimHei" w:eastAsia="黑体" w:hAnsi="SimHei" w:cs="Arial"/>
          <w:kern w:val="0"/>
          <w:sz w:val="24"/>
          <w:szCs w:val="24"/>
        </w:rPr>
        <w:t>的样本数据为第二段，全部样本数据作为第三段，后</w:t>
      </w:r>
      <w:r w:rsidRPr="00DD4EFC">
        <w:rPr>
          <w:rFonts w:ascii="SimHei" w:eastAsia="黑体" w:hAnsi="SimHei" w:cs="Arial"/>
          <w:kern w:val="0"/>
          <w:sz w:val="24"/>
          <w:szCs w:val="24"/>
        </w:rPr>
        <w:t>50%</w:t>
      </w:r>
      <w:r w:rsidRPr="00DD4EFC">
        <w:rPr>
          <w:rFonts w:ascii="SimHei" w:eastAsia="黑体" w:hAnsi="SimHei" w:cs="Arial"/>
          <w:kern w:val="0"/>
          <w:sz w:val="24"/>
          <w:szCs w:val="24"/>
        </w:rPr>
        <w:t>的样本数据为第四段，后</w:t>
      </w:r>
      <w:r w:rsidRPr="00DD4EFC">
        <w:rPr>
          <w:rFonts w:ascii="SimHei" w:eastAsia="黑体" w:hAnsi="SimHei" w:cs="Arial"/>
          <w:kern w:val="0"/>
          <w:sz w:val="24"/>
          <w:szCs w:val="24"/>
        </w:rPr>
        <w:t>25%</w:t>
      </w:r>
      <w:r w:rsidRPr="00DD4EFC">
        <w:rPr>
          <w:rFonts w:ascii="SimHei" w:eastAsia="黑体" w:hAnsi="SimHei" w:cs="Arial"/>
          <w:kern w:val="0"/>
          <w:sz w:val="24"/>
          <w:szCs w:val="24"/>
        </w:rPr>
        <w:t>的样本为第五段；</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（三）计算每一段样本财务指标的平均值，并将五段财务指标的平均值分别作为该财务指标的</w:t>
      </w:r>
      <w:r w:rsidRPr="00DD4EFC">
        <w:rPr>
          <w:rFonts w:ascii="SimHei" w:eastAsia="黑体" w:hAnsi="SimHei" w:cs="Arial"/>
          <w:kern w:val="0"/>
          <w:sz w:val="24"/>
          <w:szCs w:val="24"/>
        </w:rPr>
        <w:t>“</w:t>
      </w:r>
      <w:r w:rsidRPr="00DD4EFC">
        <w:rPr>
          <w:rFonts w:ascii="SimHei" w:eastAsia="黑体" w:hAnsi="SimHei" w:cs="Arial"/>
          <w:kern w:val="0"/>
          <w:sz w:val="24"/>
          <w:szCs w:val="24"/>
        </w:rPr>
        <w:t>优秀值</w:t>
      </w:r>
      <w:r w:rsidRPr="00DD4EFC">
        <w:rPr>
          <w:rFonts w:ascii="SimHei" w:eastAsia="黑体" w:hAnsi="SimHei" w:cs="Arial"/>
          <w:kern w:val="0"/>
          <w:sz w:val="24"/>
          <w:szCs w:val="24"/>
        </w:rPr>
        <w:t>”</w:t>
      </w:r>
      <w:r w:rsidRPr="00DD4EFC">
        <w:rPr>
          <w:rFonts w:ascii="SimHei" w:eastAsia="黑体" w:hAnsi="SimHei" w:cs="Arial"/>
          <w:kern w:val="0"/>
          <w:sz w:val="24"/>
          <w:szCs w:val="24"/>
        </w:rPr>
        <w:t>、</w:t>
      </w:r>
      <w:r w:rsidRPr="00DD4EFC">
        <w:rPr>
          <w:rFonts w:ascii="SimHei" w:eastAsia="黑体" w:hAnsi="SimHei" w:cs="Arial"/>
          <w:kern w:val="0"/>
          <w:sz w:val="24"/>
          <w:szCs w:val="24"/>
        </w:rPr>
        <w:t>“</w:t>
      </w:r>
      <w:r w:rsidRPr="00DD4EFC">
        <w:rPr>
          <w:rFonts w:ascii="SimHei" w:eastAsia="黑体" w:hAnsi="SimHei" w:cs="Arial"/>
          <w:kern w:val="0"/>
          <w:sz w:val="24"/>
          <w:szCs w:val="24"/>
        </w:rPr>
        <w:t>良好值</w:t>
      </w:r>
      <w:r w:rsidRPr="00DD4EFC">
        <w:rPr>
          <w:rFonts w:ascii="SimHei" w:eastAsia="黑体" w:hAnsi="SimHei" w:cs="Arial"/>
          <w:kern w:val="0"/>
          <w:sz w:val="24"/>
          <w:szCs w:val="24"/>
        </w:rPr>
        <w:t>”</w:t>
      </w:r>
      <w:r w:rsidRPr="00DD4EFC">
        <w:rPr>
          <w:rFonts w:ascii="SimHei" w:eastAsia="黑体" w:hAnsi="SimHei" w:cs="Arial"/>
          <w:kern w:val="0"/>
          <w:sz w:val="24"/>
          <w:szCs w:val="24"/>
        </w:rPr>
        <w:t>、</w:t>
      </w:r>
      <w:r w:rsidRPr="00DD4EFC">
        <w:rPr>
          <w:rFonts w:ascii="SimHei" w:eastAsia="黑体" w:hAnsi="SimHei" w:cs="Arial"/>
          <w:kern w:val="0"/>
          <w:sz w:val="24"/>
          <w:szCs w:val="24"/>
        </w:rPr>
        <w:t>“</w:t>
      </w:r>
      <w:r w:rsidRPr="00DD4EFC">
        <w:rPr>
          <w:rFonts w:ascii="SimHei" w:eastAsia="黑体" w:hAnsi="SimHei" w:cs="Arial"/>
          <w:kern w:val="0"/>
          <w:sz w:val="24"/>
          <w:szCs w:val="24"/>
        </w:rPr>
        <w:t>平均值</w:t>
      </w:r>
      <w:r w:rsidRPr="00DD4EFC">
        <w:rPr>
          <w:rFonts w:ascii="SimHei" w:eastAsia="黑体" w:hAnsi="SimHei" w:cs="Arial"/>
          <w:kern w:val="0"/>
          <w:sz w:val="24"/>
          <w:szCs w:val="24"/>
        </w:rPr>
        <w:t>”</w:t>
      </w:r>
      <w:r w:rsidRPr="00DD4EFC">
        <w:rPr>
          <w:rFonts w:ascii="SimHei" w:eastAsia="黑体" w:hAnsi="SimHei" w:cs="Arial"/>
          <w:kern w:val="0"/>
          <w:sz w:val="24"/>
          <w:szCs w:val="24"/>
        </w:rPr>
        <w:t>、</w:t>
      </w:r>
      <w:r w:rsidRPr="00DD4EFC">
        <w:rPr>
          <w:rFonts w:ascii="SimHei" w:eastAsia="黑体" w:hAnsi="SimHei" w:cs="Arial"/>
          <w:kern w:val="0"/>
          <w:sz w:val="24"/>
          <w:szCs w:val="24"/>
        </w:rPr>
        <w:t>“</w:t>
      </w:r>
      <w:r w:rsidRPr="00DD4EFC">
        <w:rPr>
          <w:rFonts w:ascii="SimHei" w:eastAsia="黑体" w:hAnsi="SimHei" w:cs="Arial"/>
          <w:kern w:val="0"/>
          <w:sz w:val="24"/>
          <w:szCs w:val="24"/>
        </w:rPr>
        <w:t>较低值</w:t>
      </w:r>
      <w:r w:rsidRPr="00DD4EFC">
        <w:rPr>
          <w:rFonts w:ascii="SimHei" w:eastAsia="黑体" w:hAnsi="SimHei" w:cs="Arial"/>
          <w:kern w:val="0"/>
          <w:sz w:val="24"/>
          <w:szCs w:val="24"/>
        </w:rPr>
        <w:t>”</w:t>
      </w:r>
      <w:r w:rsidRPr="00DD4EFC">
        <w:rPr>
          <w:rFonts w:ascii="SimHei" w:eastAsia="黑体" w:hAnsi="SimHei" w:cs="Arial"/>
          <w:kern w:val="0"/>
          <w:sz w:val="24"/>
          <w:szCs w:val="24"/>
        </w:rPr>
        <w:t>、</w:t>
      </w:r>
      <w:r w:rsidRPr="00DD4EFC">
        <w:rPr>
          <w:rFonts w:ascii="SimHei" w:eastAsia="黑体" w:hAnsi="SimHei" w:cs="Arial"/>
          <w:kern w:val="0"/>
          <w:sz w:val="24"/>
          <w:szCs w:val="24"/>
        </w:rPr>
        <w:t>“</w:t>
      </w:r>
      <w:r w:rsidRPr="00DD4EFC">
        <w:rPr>
          <w:rFonts w:ascii="SimHei" w:eastAsia="黑体" w:hAnsi="SimHei" w:cs="Arial"/>
          <w:kern w:val="0"/>
          <w:sz w:val="24"/>
          <w:szCs w:val="24"/>
        </w:rPr>
        <w:t>较差值</w:t>
      </w:r>
      <w:r w:rsidRPr="00DD4EFC">
        <w:rPr>
          <w:rFonts w:ascii="SimHei" w:eastAsia="黑体" w:hAnsi="SimHei" w:cs="Arial"/>
          <w:kern w:val="0"/>
          <w:sz w:val="24"/>
          <w:szCs w:val="24"/>
        </w:rPr>
        <w:t>”</w:t>
      </w:r>
      <w:r w:rsidRPr="00DD4EFC">
        <w:rPr>
          <w:rFonts w:ascii="SimHei" w:eastAsia="黑体" w:hAnsi="SimHei" w:cs="Arial"/>
          <w:kern w:val="0"/>
          <w:sz w:val="24"/>
          <w:szCs w:val="24"/>
        </w:rPr>
        <w:t>，对应五</w:t>
      </w:r>
      <w:proofErr w:type="gramStart"/>
      <w:r w:rsidRPr="00DD4EFC">
        <w:rPr>
          <w:rFonts w:ascii="SimHei" w:eastAsia="黑体" w:hAnsi="SimHei" w:cs="Arial"/>
          <w:kern w:val="0"/>
          <w:sz w:val="24"/>
          <w:szCs w:val="24"/>
        </w:rPr>
        <w:t>档评价</w:t>
      </w:r>
      <w:proofErr w:type="gramEnd"/>
      <w:r w:rsidRPr="00DD4EFC">
        <w:rPr>
          <w:rFonts w:ascii="SimHei" w:eastAsia="黑体" w:hAnsi="SimHei" w:cs="Arial"/>
          <w:kern w:val="0"/>
          <w:sz w:val="24"/>
          <w:szCs w:val="24"/>
        </w:rPr>
        <w:t>标准的标准系数分别为</w:t>
      </w:r>
      <w:r w:rsidRPr="00DD4EFC">
        <w:rPr>
          <w:rFonts w:ascii="SimHei" w:eastAsia="黑体" w:hAnsi="SimHei" w:cs="Arial"/>
          <w:kern w:val="0"/>
          <w:sz w:val="24"/>
          <w:szCs w:val="24"/>
        </w:rPr>
        <w:t>1.0</w:t>
      </w:r>
      <w:r w:rsidRPr="00DD4EFC">
        <w:rPr>
          <w:rFonts w:ascii="SimHei" w:eastAsia="黑体" w:hAnsi="SimHei" w:cs="Arial"/>
          <w:kern w:val="0"/>
          <w:sz w:val="24"/>
          <w:szCs w:val="24"/>
        </w:rPr>
        <w:t>、</w:t>
      </w:r>
      <w:r w:rsidRPr="00DD4EFC">
        <w:rPr>
          <w:rFonts w:ascii="SimHei" w:eastAsia="黑体" w:hAnsi="SimHei" w:cs="Arial"/>
          <w:kern w:val="0"/>
          <w:sz w:val="24"/>
          <w:szCs w:val="24"/>
        </w:rPr>
        <w:t>0.8</w:t>
      </w:r>
      <w:r w:rsidRPr="00DD4EFC">
        <w:rPr>
          <w:rFonts w:ascii="SimHei" w:eastAsia="黑体" w:hAnsi="SimHei" w:cs="Arial"/>
          <w:kern w:val="0"/>
          <w:sz w:val="24"/>
          <w:szCs w:val="24"/>
        </w:rPr>
        <w:t>、</w:t>
      </w:r>
      <w:r w:rsidRPr="00DD4EFC">
        <w:rPr>
          <w:rFonts w:ascii="SimHei" w:eastAsia="黑体" w:hAnsi="SimHei" w:cs="Arial"/>
          <w:kern w:val="0"/>
          <w:sz w:val="24"/>
          <w:szCs w:val="24"/>
        </w:rPr>
        <w:t>0.6</w:t>
      </w:r>
      <w:r w:rsidRPr="00DD4EFC">
        <w:rPr>
          <w:rFonts w:ascii="SimHei" w:eastAsia="黑体" w:hAnsi="SimHei" w:cs="Arial"/>
          <w:kern w:val="0"/>
          <w:sz w:val="24"/>
          <w:szCs w:val="24"/>
        </w:rPr>
        <w:t>、</w:t>
      </w:r>
      <w:r w:rsidRPr="00DD4EFC">
        <w:rPr>
          <w:rFonts w:ascii="SimHei" w:eastAsia="黑体" w:hAnsi="SimHei" w:cs="Arial"/>
          <w:kern w:val="0"/>
          <w:sz w:val="24"/>
          <w:szCs w:val="24"/>
        </w:rPr>
        <w:t>0.4</w:t>
      </w:r>
      <w:r w:rsidRPr="00DD4EFC">
        <w:rPr>
          <w:rFonts w:ascii="SimHei" w:eastAsia="黑体" w:hAnsi="SimHei" w:cs="Arial"/>
          <w:kern w:val="0"/>
          <w:sz w:val="24"/>
          <w:szCs w:val="24"/>
        </w:rPr>
        <w:t>、</w:t>
      </w:r>
      <w:r w:rsidRPr="00DD4EFC">
        <w:rPr>
          <w:rFonts w:ascii="SimHei" w:eastAsia="黑体" w:hAnsi="SimHei" w:cs="Arial"/>
          <w:kern w:val="0"/>
          <w:sz w:val="24"/>
          <w:szCs w:val="24"/>
        </w:rPr>
        <w:t>0.2</w:t>
      </w:r>
      <w:r w:rsidRPr="00DD4EFC">
        <w:rPr>
          <w:rFonts w:ascii="SimHei" w:eastAsia="黑体" w:hAnsi="SimHei" w:cs="Arial"/>
          <w:kern w:val="0"/>
          <w:sz w:val="24"/>
          <w:szCs w:val="24"/>
        </w:rPr>
        <w:t>。</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第十九条　评价计分是将金融企业调整后的评价指标实际值对照金融企业所处行业标准值，按照以下计算公式，利用绩效评价软件计算各项基本指标得分：</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绩效评价指标总得分</w:t>
      </w:r>
      <w:r w:rsidRPr="00DD4EFC">
        <w:rPr>
          <w:rFonts w:ascii="SimHei" w:eastAsia="黑体" w:hAnsi="SimHei" w:cs="Arial"/>
          <w:kern w:val="0"/>
          <w:sz w:val="24"/>
          <w:szCs w:val="24"/>
        </w:rPr>
        <w:t>=∑</w:t>
      </w:r>
      <w:r w:rsidRPr="00DD4EFC">
        <w:rPr>
          <w:rFonts w:ascii="SimHei" w:eastAsia="黑体" w:hAnsi="SimHei" w:cs="Arial"/>
          <w:kern w:val="0"/>
          <w:sz w:val="24"/>
          <w:szCs w:val="24"/>
        </w:rPr>
        <w:t>单项指标得分</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单项指标得分</w:t>
      </w:r>
      <w:r w:rsidRPr="00DD4EFC">
        <w:rPr>
          <w:rFonts w:ascii="SimHei" w:eastAsia="黑体" w:hAnsi="SimHei" w:cs="Arial"/>
          <w:kern w:val="0"/>
          <w:sz w:val="24"/>
          <w:szCs w:val="24"/>
        </w:rPr>
        <w:t>=</w:t>
      </w:r>
      <w:r w:rsidRPr="00DD4EFC">
        <w:rPr>
          <w:rFonts w:ascii="SimHei" w:eastAsia="黑体" w:hAnsi="SimHei" w:cs="Arial"/>
          <w:kern w:val="0"/>
          <w:sz w:val="24"/>
          <w:szCs w:val="24"/>
        </w:rPr>
        <w:t>本</w:t>
      </w:r>
      <w:proofErr w:type="gramStart"/>
      <w:r w:rsidRPr="00DD4EFC">
        <w:rPr>
          <w:rFonts w:ascii="SimHei" w:eastAsia="黑体" w:hAnsi="SimHei" w:cs="Arial"/>
          <w:kern w:val="0"/>
          <w:sz w:val="24"/>
          <w:szCs w:val="24"/>
        </w:rPr>
        <w:t>档基础分</w:t>
      </w:r>
      <w:proofErr w:type="gramEnd"/>
      <w:r w:rsidRPr="00DD4EFC">
        <w:rPr>
          <w:rFonts w:ascii="SimHei" w:eastAsia="黑体" w:hAnsi="SimHei" w:cs="Arial"/>
          <w:kern w:val="0"/>
          <w:sz w:val="24"/>
          <w:szCs w:val="24"/>
        </w:rPr>
        <w:t>+</w:t>
      </w:r>
      <w:r w:rsidRPr="00DD4EFC">
        <w:rPr>
          <w:rFonts w:ascii="SimHei" w:eastAsia="黑体" w:hAnsi="SimHei" w:cs="Arial"/>
          <w:kern w:val="0"/>
          <w:sz w:val="24"/>
          <w:szCs w:val="24"/>
        </w:rPr>
        <w:t>调整分</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本</w:t>
      </w:r>
      <w:proofErr w:type="gramStart"/>
      <w:r w:rsidRPr="00DD4EFC">
        <w:rPr>
          <w:rFonts w:ascii="SimHei" w:eastAsia="黑体" w:hAnsi="SimHei" w:cs="Arial"/>
          <w:kern w:val="0"/>
          <w:sz w:val="24"/>
          <w:szCs w:val="24"/>
        </w:rPr>
        <w:t>档基础分</w:t>
      </w:r>
      <w:proofErr w:type="gramEnd"/>
      <w:r w:rsidRPr="00DD4EFC">
        <w:rPr>
          <w:rFonts w:ascii="SimHei" w:eastAsia="黑体" w:hAnsi="SimHei" w:cs="Arial"/>
          <w:kern w:val="0"/>
          <w:sz w:val="24"/>
          <w:szCs w:val="24"/>
        </w:rPr>
        <w:t>=</w:t>
      </w:r>
      <w:r w:rsidRPr="00DD4EFC">
        <w:rPr>
          <w:rFonts w:ascii="SimHei" w:eastAsia="黑体" w:hAnsi="SimHei" w:cs="Arial"/>
          <w:kern w:val="0"/>
          <w:sz w:val="24"/>
          <w:szCs w:val="24"/>
        </w:rPr>
        <w:t>指标权数</w:t>
      </w:r>
      <w:r w:rsidRPr="00DD4EFC">
        <w:rPr>
          <w:rFonts w:ascii="SimHei" w:eastAsia="黑体" w:hAnsi="SimHei" w:cs="Arial"/>
          <w:kern w:val="0"/>
          <w:sz w:val="24"/>
          <w:szCs w:val="24"/>
        </w:rPr>
        <w:t>×</w:t>
      </w:r>
      <w:r w:rsidRPr="00DD4EFC">
        <w:rPr>
          <w:rFonts w:ascii="SimHei" w:eastAsia="黑体" w:hAnsi="SimHei" w:cs="Arial"/>
          <w:kern w:val="0"/>
          <w:sz w:val="24"/>
          <w:szCs w:val="24"/>
        </w:rPr>
        <w:t>本档标准系数</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w:t>
      </w:r>
      <w:proofErr w:type="gramStart"/>
      <w:r w:rsidRPr="00DD4EFC">
        <w:rPr>
          <w:rFonts w:ascii="SimHei" w:eastAsia="黑体" w:hAnsi="SimHei" w:cs="Arial"/>
          <w:kern w:val="0"/>
          <w:sz w:val="24"/>
          <w:szCs w:val="24"/>
        </w:rPr>
        <w:t>调整分</w:t>
      </w:r>
      <w:proofErr w:type="gramEnd"/>
      <w:r w:rsidRPr="00DD4EFC">
        <w:rPr>
          <w:rFonts w:ascii="SimHei" w:eastAsia="黑体" w:hAnsi="SimHei" w:cs="Arial"/>
          <w:kern w:val="0"/>
          <w:sz w:val="24"/>
          <w:szCs w:val="24"/>
        </w:rPr>
        <w:t>=</w:t>
      </w:r>
      <w:r w:rsidRPr="00DD4EFC">
        <w:rPr>
          <w:rFonts w:ascii="SimHei" w:eastAsia="黑体" w:hAnsi="SimHei" w:cs="Arial"/>
          <w:kern w:val="0"/>
          <w:sz w:val="24"/>
          <w:szCs w:val="24"/>
        </w:rPr>
        <w:t>功效系数</w:t>
      </w:r>
      <w:r w:rsidRPr="00DD4EFC">
        <w:rPr>
          <w:rFonts w:ascii="SimHei" w:eastAsia="黑体" w:hAnsi="SimHei" w:cs="Arial"/>
          <w:kern w:val="0"/>
          <w:sz w:val="24"/>
          <w:szCs w:val="24"/>
        </w:rPr>
        <w:t>×</w:t>
      </w:r>
      <w:r w:rsidRPr="00DD4EFC">
        <w:rPr>
          <w:rFonts w:ascii="SimHei" w:eastAsia="黑体" w:hAnsi="SimHei" w:cs="Arial"/>
          <w:kern w:val="0"/>
          <w:sz w:val="24"/>
          <w:szCs w:val="24"/>
        </w:rPr>
        <w:t>（上档基础分</w:t>
      </w:r>
      <w:r w:rsidRPr="00DD4EFC">
        <w:rPr>
          <w:rFonts w:ascii="SimHei" w:eastAsia="黑体" w:hAnsi="SimHei" w:cs="Arial"/>
          <w:kern w:val="0"/>
          <w:sz w:val="24"/>
          <w:szCs w:val="24"/>
        </w:rPr>
        <w:t>-</w:t>
      </w:r>
      <w:r w:rsidRPr="00DD4EFC">
        <w:rPr>
          <w:rFonts w:ascii="SimHei" w:eastAsia="黑体" w:hAnsi="SimHei" w:cs="Arial"/>
          <w:kern w:val="0"/>
          <w:sz w:val="24"/>
          <w:szCs w:val="24"/>
        </w:rPr>
        <w:t>本</w:t>
      </w:r>
      <w:proofErr w:type="gramStart"/>
      <w:r w:rsidRPr="00DD4EFC">
        <w:rPr>
          <w:rFonts w:ascii="SimHei" w:eastAsia="黑体" w:hAnsi="SimHei" w:cs="Arial"/>
          <w:kern w:val="0"/>
          <w:sz w:val="24"/>
          <w:szCs w:val="24"/>
        </w:rPr>
        <w:t>档基础分</w:t>
      </w:r>
      <w:proofErr w:type="gramEnd"/>
      <w:r w:rsidRPr="00DD4EFC">
        <w:rPr>
          <w:rFonts w:ascii="SimHei" w:eastAsia="黑体" w:hAnsi="SimHei" w:cs="Arial"/>
          <w:kern w:val="0"/>
          <w:sz w:val="24"/>
          <w:szCs w:val="24"/>
        </w:rPr>
        <w:t>）</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上档基础分</w:t>
      </w:r>
      <w:r w:rsidRPr="00DD4EFC">
        <w:rPr>
          <w:rFonts w:ascii="SimHei" w:eastAsia="黑体" w:hAnsi="SimHei" w:cs="Arial"/>
          <w:kern w:val="0"/>
          <w:sz w:val="24"/>
          <w:szCs w:val="24"/>
        </w:rPr>
        <w:t>=</w:t>
      </w:r>
      <w:r w:rsidRPr="00DD4EFC">
        <w:rPr>
          <w:rFonts w:ascii="SimHei" w:eastAsia="黑体" w:hAnsi="SimHei" w:cs="Arial"/>
          <w:kern w:val="0"/>
          <w:sz w:val="24"/>
          <w:szCs w:val="24"/>
        </w:rPr>
        <w:t>指标权数</w:t>
      </w:r>
      <w:r w:rsidRPr="00DD4EFC">
        <w:rPr>
          <w:rFonts w:ascii="SimHei" w:eastAsia="黑体" w:hAnsi="SimHei" w:cs="Arial"/>
          <w:kern w:val="0"/>
          <w:sz w:val="24"/>
          <w:szCs w:val="24"/>
        </w:rPr>
        <w:t>×</w:t>
      </w:r>
      <w:r w:rsidRPr="00DD4EFC">
        <w:rPr>
          <w:rFonts w:ascii="SimHei" w:eastAsia="黑体" w:hAnsi="SimHei" w:cs="Arial"/>
          <w:kern w:val="0"/>
          <w:sz w:val="24"/>
          <w:szCs w:val="24"/>
        </w:rPr>
        <w:t>上档标准系数</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功效系数＝（实际值</w:t>
      </w:r>
      <w:r w:rsidRPr="00DD4EFC">
        <w:rPr>
          <w:rFonts w:ascii="SimHei" w:eastAsia="黑体" w:hAnsi="SimHei" w:cs="Arial"/>
          <w:kern w:val="0"/>
          <w:sz w:val="24"/>
          <w:szCs w:val="24"/>
        </w:rPr>
        <w:t>-</w:t>
      </w:r>
      <w:r w:rsidRPr="00DD4EFC">
        <w:rPr>
          <w:rFonts w:ascii="SimHei" w:eastAsia="黑体" w:hAnsi="SimHei" w:cs="Arial"/>
          <w:kern w:val="0"/>
          <w:sz w:val="24"/>
          <w:szCs w:val="24"/>
        </w:rPr>
        <w:t>本档标准值）</w:t>
      </w:r>
      <w:r w:rsidRPr="00DD4EFC">
        <w:rPr>
          <w:rFonts w:ascii="SimHei" w:eastAsia="黑体" w:hAnsi="SimHei" w:cs="Arial"/>
          <w:kern w:val="0"/>
          <w:sz w:val="24"/>
          <w:szCs w:val="24"/>
        </w:rPr>
        <w:t>/</w:t>
      </w:r>
      <w:r w:rsidRPr="00DD4EFC">
        <w:rPr>
          <w:rFonts w:ascii="SimHei" w:eastAsia="黑体" w:hAnsi="SimHei" w:cs="Arial"/>
          <w:kern w:val="0"/>
          <w:sz w:val="24"/>
          <w:szCs w:val="24"/>
        </w:rPr>
        <w:t>（上档标准值</w:t>
      </w:r>
      <w:r w:rsidRPr="00DD4EFC">
        <w:rPr>
          <w:rFonts w:ascii="SimHei" w:eastAsia="黑体" w:hAnsi="SimHei" w:cs="Arial"/>
          <w:kern w:val="0"/>
          <w:sz w:val="24"/>
          <w:szCs w:val="24"/>
        </w:rPr>
        <w:t>-</w:t>
      </w:r>
      <w:r w:rsidRPr="00DD4EFC">
        <w:rPr>
          <w:rFonts w:ascii="SimHei" w:eastAsia="黑体" w:hAnsi="SimHei" w:cs="Arial"/>
          <w:kern w:val="0"/>
          <w:sz w:val="24"/>
          <w:szCs w:val="24"/>
        </w:rPr>
        <w:t>本档标准值）</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本档标准值是指上下两档标准值中居于较低的一档标准值。</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第二十条　考虑到金融企业的实际情况，金融基础设施企业的</w:t>
      </w:r>
      <w:r w:rsidRPr="00DD4EFC">
        <w:rPr>
          <w:rFonts w:ascii="SimHei" w:eastAsia="黑体" w:hAnsi="SimHei" w:cs="Arial"/>
          <w:kern w:val="0"/>
          <w:sz w:val="24"/>
          <w:szCs w:val="24"/>
        </w:rPr>
        <w:t>“</w:t>
      </w:r>
      <w:r w:rsidRPr="00DD4EFC">
        <w:rPr>
          <w:rFonts w:ascii="SimHei" w:eastAsia="黑体" w:hAnsi="SimHei" w:cs="Arial"/>
          <w:kern w:val="0"/>
          <w:sz w:val="24"/>
          <w:szCs w:val="24"/>
        </w:rPr>
        <w:t>资本利润率</w:t>
      </w:r>
      <w:r w:rsidRPr="00DD4EFC">
        <w:rPr>
          <w:rFonts w:ascii="SimHei" w:eastAsia="黑体" w:hAnsi="SimHei" w:cs="Arial"/>
          <w:kern w:val="0"/>
          <w:sz w:val="24"/>
          <w:szCs w:val="24"/>
        </w:rPr>
        <w:t>”</w:t>
      </w:r>
      <w:r w:rsidRPr="00DD4EFC">
        <w:rPr>
          <w:rFonts w:ascii="SimHei" w:eastAsia="黑体" w:hAnsi="SimHei" w:cs="Arial"/>
          <w:kern w:val="0"/>
          <w:sz w:val="24"/>
          <w:szCs w:val="24"/>
        </w:rPr>
        <w:t>和</w:t>
      </w:r>
      <w:r w:rsidRPr="00DD4EFC">
        <w:rPr>
          <w:rFonts w:ascii="SimHei" w:eastAsia="黑体" w:hAnsi="SimHei" w:cs="Arial"/>
          <w:kern w:val="0"/>
          <w:sz w:val="24"/>
          <w:szCs w:val="24"/>
        </w:rPr>
        <w:t>“</w:t>
      </w:r>
      <w:r w:rsidRPr="00DD4EFC">
        <w:rPr>
          <w:rFonts w:ascii="SimHei" w:eastAsia="黑体" w:hAnsi="SimHei" w:cs="Arial"/>
          <w:kern w:val="0"/>
          <w:sz w:val="24"/>
          <w:szCs w:val="24"/>
        </w:rPr>
        <w:t>资产负债率</w:t>
      </w:r>
      <w:r w:rsidRPr="00DD4EFC">
        <w:rPr>
          <w:rFonts w:ascii="SimHei" w:eastAsia="黑体" w:hAnsi="SimHei" w:cs="Arial"/>
          <w:kern w:val="0"/>
          <w:sz w:val="24"/>
          <w:szCs w:val="24"/>
        </w:rPr>
        <w:t>”</w:t>
      </w:r>
      <w:r w:rsidRPr="00DD4EFC">
        <w:rPr>
          <w:rFonts w:ascii="SimHei" w:eastAsia="黑体" w:hAnsi="SimHei" w:cs="Arial"/>
          <w:kern w:val="0"/>
          <w:sz w:val="24"/>
          <w:szCs w:val="24"/>
        </w:rPr>
        <w:t>指标按平均值取分，金融投资管理公司的</w:t>
      </w:r>
      <w:r w:rsidRPr="00DD4EFC">
        <w:rPr>
          <w:rFonts w:ascii="SimHei" w:eastAsia="黑体" w:hAnsi="SimHei" w:cs="Arial"/>
          <w:kern w:val="0"/>
          <w:sz w:val="24"/>
          <w:szCs w:val="24"/>
        </w:rPr>
        <w:t>“</w:t>
      </w:r>
      <w:r w:rsidRPr="00DD4EFC">
        <w:rPr>
          <w:rFonts w:ascii="SimHei" w:eastAsia="黑体" w:hAnsi="SimHei" w:cs="Arial"/>
          <w:kern w:val="0"/>
          <w:sz w:val="24"/>
          <w:szCs w:val="24"/>
        </w:rPr>
        <w:t>资产负债率</w:t>
      </w:r>
      <w:r w:rsidRPr="00DD4EFC">
        <w:rPr>
          <w:rFonts w:ascii="SimHei" w:eastAsia="黑体" w:hAnsi="SimHei" w:cs="Arial"/>
          <w:kern w:val="0"/>
          <w:sz w:val="24"/>
          <w:szCs w:val="24"/>
        </w:rPr>
        <w:t>”</w:t>
      </w:r>
      <w:r w:rsidRPr="00DD4EFC">
        <w:rPr>
          <w:rFonts w:ascii="SimHei" w:eastAsia="黑体" w:hAnsi="SimHei" w:cs="Arial"/>
          <w:kern w:val="0"/>
          <w:sz w:val="24"/>
          <w:szCs w:val="24"/>
        </w:rPr>
        <w:t>指标按平均值取分，政府性融资担保公司的</w:t>
      </w:r>
      <w:r w:rsidRPr="00DD4EFC">
        <w:rPr>
          <w:rFonts w:ascii="SimHei" w:eastAsia="黑体" w:hAnsi="SimHei" w:cs="Arial"/>
          <w:kern w:val="0"/>
          <w:sz w:val="24"/>
          <w:szCs w:val="24"/>
        </w:rPr>
        <w:t>“</w:t>
      </w:r>
      <w:r w:rsidRPr="00DD4EFC">
        <w:rPr>
          <w:rFonts w:ascii="SimHei" w:eastAsia="黑体" w:hAnsi="SimHei" w:cs="Arial"/>
          <w:kern w:val="0"/>
          <w:sz w:val="24"/>
          <w:szCs w:val="24"/>
        </w:rPr>
        <w:t>资本利润率</w:t>
      </w:r>
      <w:r w:rsidRPr="00DD4EFC">
        <w:rPr>
          <w:rFonts w:ascii="SimHei" w:eastAsia="黑体" w:hAnsi="SimHei" w:cs="Arial"/>
          <w:kern w:val="0"/>
          <w:sz w:val="24"/>
          <w:szCs w:val="24"/>
        </w:rPr>
        <w:t>”</w:t>
      </w:r>
      <w:r w:rsidRPr="00DD4EFC">
        <w:rPr>
          <w:rFonts w:ascii="SimHei" w:eastAsia="黑体" w:hAnsi="SimHei" w:cs="Arial"/>
          <w:kern w:val="0"/>
          <w:sz w:val="24"/>
          <w:szCs w:val="24"/>
        </w:rPr>
        <w:t>和</w:t>
      </w:r>
      <w:r w:rsidRPr="00DD4EFC">
        <w:rPr>
          <w:rFonts w:ascii="SimHei" w:eastAsia="黑体" w:hAnsi="SimHei" w:cs="Arial"/>
          <w:kern w:val="0"/>
          <w:sz w:val="24"/>
          <w:szCs w:val="24"/>
        </w:rPr>
        <w:t>“</w:t>
      </w:r>
      <w:r w:rsidRPr="00DD4EFC">
        <w:rPr>
          <w:rFonts w:ascii="SimHei" w:eastAsia="黑体" w:hAnsi="SimHei" w:cs="Arial"/>
          <w:kern w:val="0"/>
          <w:sz w:val="24"/>
          <w:szCs w:val="24"/>
        </w:rPr>
        <w:t>利润增长率</w:t>
      </w:r>
      <w:r w:rsidRPr="00DD4EFC">
        <w:rPr>
          <w:rFonts w:ascii="SimHei" w:eastAsia="黑体" w:hAnsi="SimHei" w:cs="Arial"/>
          <w:kern w:val="0"/>
          <w:sz w:val="24"/>
          <w:szCs w:val="24"/>
        </w:rPr>
        <w:t>”</w:t>
      </w:r>
      <w:r w:rsidRPr="00DD4EFC">
        <w:rPr>
          <w:rFonts w:ascii="SimHei" w:eastAsia="黑体" w:hAnsi="SimHei" w:cs="Arial"/>
          <w:kern w:val="0"/>
          <w:sz w:val="24"/>
          <w:szCs w:val="24"/>
        </w:rPr>
        <w:t>指标按平均值取分。</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第二十一条　金融企业发放较多涉农贷款、中小企业贷款，提供较多农业保险的，金融资产管理公司不良资产主业集中度较高的，给予适当加分，以充分反映不同金融企业社会贡献。具体的加分办法如下：</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（一）涉农贷款加分：金融企业提供的涉农贷款占比超过</w:t>
      </w:r>
      <w:r w:rsidRPr="00DD4EFC">
        <w:rPr>
          <w:rFonts w:ascii="SimHei" w:eastAsia="黑体" w:hAnsi="SimHei" w:cs="Arial"/>
          <w:kern w:val="0"/>
          <w:sz w:val="24"/>
          <w:szCs w:val="24"/>
        </w:rPr>
        <w:t>10</w:t>
      </w:r>
      <w:r w:rsidRPr="00DD4EFC">
        <w:rPr>
          <w:rFonts w:ascii="SimHei" w:eastAsia="黑体" w:hAnsi="SimHei" w:cs="Arial"/>
          <w:kern w:val="0"/>
          <w:sz w:val="24"/>
          <w:szCs w:val="24"/>
        </w:rPr>
        <w:t>％（不含，下同）加</w:t>
      </w:r>
      <w:r w:rsidRPr="00DD4EFC">
        <w:rPr>
          <w:rFonts w:ascii="SimHei" w:eastAsia="黑体" w:hAnsi="SimHei" w:cs="Arial"/>
          <w:kern w:val="0"/>
          <w:sz w:val="24"/>
          <w:szCs w:val="24"/>
        </w:rPr>
        <w:t>1</w:t>
      </w:r>
      <w:r w:rsidRPr="00DD4EFC">
        <w:rPr>
          <w:rFonts w:ascii="SimHei" w:eastAsia="黑体" w:hAnsi="SimHei" w:cs="Arial"/>
          <w:kern w:val="0"/>
          <w:sz w:val="24"/>
          <w:szCs w:val="24"/>
        </w:rPr>
        <w:t>分，超过</w:t>
      </w:r>
      <w:r w:rsidRPr="00DD4EFC">
        <w:rPr>
          <w:rFonts w:ascii="SimHei" w:eastAsia="黑体" w:hAnsi="SimHei" w:cs="Arial"/>
          <w:kern w:val="0"/>
          <w:sz w:val="24"/>
          <w:szCs w:val="24"/>
        </w:rPr>
        <w:t>15</w:t>
      </w:r>
      <w:r w:rsidRPr="00DD4EFC">
        <w:rPr>
          <w:rFonts w:ascii="SimHei" w:eastAsia="黑体" w:hAnsi="SimHei" w:cs="Arial"/>
          <w:kern w:val="0"/>
          <w:sz w:val="24"/>
          <w:szCs w:val="24"/>
        </w:rPr>
        <w:t>％加</w:t>
      </w:r>
      <w:r w:rsidRPr="00DD4EFC">
        <w:rPr>
          <w:rFonts w:ascii="SimHei" w:eastAsia="黑体" w:hAnsi="SimHei" w:cs="Arial"/>
          <w:kern w:val="0"/>
          <w:sz w:val="24"/>
          <w:szCs w:val="24"/>
        </w:rPr>
        <w:t>1.5</w:t>
      </w:r>
      <w:r w:rsidRPr="00DD4EFC">
        <w:rPr>
          <w:rFonts w:ascii="SimHei" w:eastAsia="黑体" w:hAnsi="SimHei" w:cs="Arial"/>
          <w:kern w:val="0"/>
          <w:sz w:val="24"/>
          <w:szCs w:val="24"/>
        </w:rPr>
        <w:t>分，超过</w:t>
      </w:r>
      <w:r w:rsidRPr="00DD4EFC">
        <w:rPr>
          <w:rFonts w:ascii="SimHei" w:eastAsia="黑体" w:hAnsi="SimHei" w:cs="Arial"/>
          <w:kern w:val="0"/>
          <w:sz w:val="24"/>
          <w:szCs w:val="24"/>
        </w:rPr>
        <w:t>20</w:t>
      </w:r>
      <w:r w:rsidRPr="00DD4EFC">
        <w:rPr>
          <w:rFonts w:ascii="SimHei" w:eastAsia="黑体" w:hAnsi="SimHei" w:cs="Arial"/>
          <w:kern w:val="0"/>
          <w:sz w:val="24"/>
          <w:szCs w:val="24"/>
        </w:rPr>
        <w:t>％加</w:t>
      </w:r>
      <w:r w:rsidRPr="00DD4EFC">
        <w:rPr>
          <w:rFonts w:ascii="SimHei" w:eastAsia="黑体" w:hAnsi="SimHei" w:cs="Arial"/>
          <w:kern w:val="0"/>
          <w:sz w:val="24"/>
          <w:szCs w:val="24"/>
        </w:rPr>
        <w:t>2</w:t>
      </w:r>
      <w:r w:rsidRPr="00DD4EFC">
        <w:rPr>
          <w:rFonts w:ascii="SimHei" w:eastAsia="黑体" w:hAnsi="SimHei" w:cs="Arial"/>
          <w:kern w:val="0"/>
          <w:sz w:val="24"/>
          <w:szCs w:val="24"/>
        </w:rPr>
        <w:t>分，超过</w:t>
      </w:r>
      <w:r w:rsidRPr="00DD4EFC">
        <w:rPr>
          <w:rFonts w:ascii="SimHei" w:eastAsia="黑体" w:hAnsi="SimHei" w:cs="Arial"/>
          <w:kern w:val="0"/>
          <w:sz w:val="24"/>
          <w:szCs w:val="24"/>
        </w:rPr>
        <w:t>25</w:t>
      </w:r>
      <w:r w:rsidRPr="00DD4EFC">
        <w:rPr>
          <w:rFonts w:ascii="SimHei" w:eastAsia="黑体" w:hAnsi="SimHei" w:cs="Arial"/>
          <w:kern w:val="0"/>
          <w:sz w:val="24"/>
          <w:szCs w:val="24"/>
        </w:rPr>
        <w:t>％加</w:t>
      </w:r>
      <w:r w:rsidRPr="00DD4EFC">
        <w:rPr>
          <w:rFonts w:ascii="SimHei" w:eastAsia="黑体" w:hAnsi="SimHei" w:cs="Arial"/>
          <w:kern w:val="0"/>
          <w:sz w:val="24"/>
          <w:szCs w:val="24"/>
        </w:rPr>
        <w:t>2.5</w:t>
      </w:r>
      <w:r w:rsidRPr="00DD4EFC">
        <w:rPr>
          <w:rFonts w:ascii="SimHei" w:eastAsia="黑体" w:hAnsi="SimHei" w:cs="Arial"/>
          <w:kern w:val="0"/>
          <w:sz w:val="24"/>
          <w:szCs w:val="24"/>
        </w:rPr>
        <w:t>分，超过</w:t>
      </w:r>
      <w:r w:rsidRPr="00DD4EFC">
        <w:rPr>
          <w:rFonts w:ascii="SimHei" w:eastAsia="黑体" w:hAnsi="SimHei" w:cs="Arial"/>
          <w:kern w:val="0"/>
          <w:sz w:val="24"/>
          <w:szCs w:val="24"/>
        </w:rPr>
        <w:t>30</w:t>
      </w:r>
      <w:r w:rsidRPr="00DD4EFC">
        <w:rPr>
          <w:rFonts w:ascii="SimHei" w:eastAsia="黑体" w:hAnsi="SimHei" w:cs="Arial"/>
          <w:kern w:val="0"/>
          <w:sz w:val="24"/>
          <w:szCs w:val="24"/>
        </w:rPr>
        <w:t>％加</w:t>
      </w:r>
      <w:r w:rsidRPr="00DD4EFC">
        <w:rPr>
          <w:rFonts w:ascii="SimHei" w:eastAsia="黑体" w:hAnsi="SimHei" w:cs="Arial"/>
          <w:kern w:val="0"/>
          <w:sz w:val="24"/>
          <w:szCs w:val="24"/>
        </w:rPr>
        <w:t>3</w:t>
      </w:r>
      <w:r w:rsidRPr="00DD4EFC">
        <w:rPr>
          <w:rFonts w:ascii="SimHei" w:eastAsia="黑体" w:hAnsi="SimHei" w:cs="Arial"/>
          <w:kern w:val="0"/>
          <w:sz w:val="24"/>
          <w:szCs w:val="24"/>
        </w:rPr>
        <w:t>分。其中，涉农贷款占比</w:t>
      </w:r>
      <w:r w:rsidRPr="00DD4EFC">
        <w:rPr>
          <w:rFonts w:ascii="SimHei" w:eastAsia="黑体" w:hAnsi="SimHei" w:cs="Arial"/>
          <w:kern w:val="0"/>
          <w:sz w:val="24"/>
          <w:szCs w:val="24"/>
        </w:rPr>
        <w:t>=</w:t>
      </w:r>
      <w:r w:rsidRPr="00DD4EFC">
        <w:rPr>
          <w:rFonts w:ascii="SimHei" w:eastAsia="黑体" w:hAnsi="SimHei" w:cs="Arial"/>
          <w:kern w:val="0"/>
          <w:sz w:val="24"/>
          <w:szCs w:val="24"/>
        </w:rPr>
        <w:t>年末涉农贷款余额</w:t>
      </w:r>
      <w:r w:rsidRPr="00DD4EFC">
        <w:rPr>
          <w:rFonts w:ascii="SimHei" w:eastAsia="黑体" w:hAnsi="SimHei" w:cs="Arial"/>
          <w:kern w:val="0"/>
          <w:sz w:val="24"/>
          <w:szCs w:val="24"/>
        </w:rPr>
        <w:t>/</w:t>
      </w:r>
      <w:r w:rsidRPr="00DD4EFC">
        <w:rPr>
          <w:rFonts w:ascii="SimHei" w:eastAsia="黑体" w:hAnsi="SimHei" w:cs="Arial"/>
          <w:kern w:val="0"/>
          <w:sz w:val="24"/>
          <w:szCs w:val="24"/>
        </w:rPr>
        <w:t>年末贷款余额</w:t>
      </w:r>
      <w:r w:rsidRPr="00DD4EFC">
        <w:rPr>
          <w:rFonts w:ascii="SimHei" w:eastAsia="黑体" w:hAnsi="SimHei" w:cs="Arial"/>
          <w:kern w:val="0"/>
          <w:sz w:val="24"/>
          <w:szCs w:val="24"/>
        </w:rPr>
        <w:t>×100%</w:t>
      </w:r>
      <w:r w:rsidRPr="00DD4EFC">
        <w:rPr>
          <w:rFonts w:ascii="SimHei" w:eastAsia="黑体" w:hAnsi="SimHei" w:cs="Arial"/>
          <w:kern w:val="0"/>
          <w:sz w:val="24"/>
          <w:szCs w:val="24"/>
        </w:rPr>
        <w:t>；</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（二）中小企业贷款加分：金融企业提供的中小企业贷款占比超过</w:t>
      </w:r>
      <w:r w:rsidRPr="00DD4EFC">
        <w:rPr>
          <w:rFonts w:ascii="SimHei" w:eastAsia="黑体" w:hAnsi="SimHei" w:cs="Arial"/>
          <w:kern w:val="0"/>
          <w:sz w:val="24"/>
          <w:szCs w:val="24"/>
        </w:rPr>
        <w:t>20</w:t>
      </w:r>
      <w:r w:rsidRPr="00DD4EFC">
        <w:rPr>
          <w:rFonts w:ascii="SimHei" w:eastAsia="黑体" w:hAnsi="SimHei" w:cs="Arial"/>
          <w:kern w:val="0"/>
          <w:sz w:val="24"/>
          <w:szCs w:val="24"/>
        </w:rPr>
        <w:t>％加</w:t>
      </w:r>
      <w:r w:rsidRPr="00DD4EFC">
        <w:rPr>
          <w:rFonts w:ascii="SimHei" w:eastAsia="黑体" w:hAnsi="SimHei" w:cs="Arial"/>
          <w:kern w:val="0"/>
          <w:sz w:val="24"/>
          <w:szCs w:val="24"/>
        </w:rPr>
        <w:t>1</w:t>
      </w:r>
      <w:r w:rsidRPr="00DD4EFC">
        <w:rPr>
          <w:rFonts w:ascii="SimHei" w:eastAsia="黑体" w:hAnsi="SimHei" w:cs="Arial"/>
          <w:kern w:val="0"/>
          <w:sz w:val="24"/>
          <w:szCs w:val="24"/>
        </w:rPr>
        <w:t>分，超过</w:t>
      </w:r>
      <w:r w:rsidRPr="00DD4EFC">
        <w:rPr>
          <w:rFonts w:ascii="SimHei" w:eastAsia="黑体" w:hAnsi="SimHei" w:cs="Arial"/>
          <w:kern w:val="0"/>
          <w:sz w:val="24"/>
          <w:szCs w:val="24"/>
        </w:rPr>
        <w:t>25</w:t>
      </w:r>
      <w:r w:rsidRPr="00DD4EFC">
        <w:rPr>
          <w:rFonts w:ascii="SimHei" w:eastAsia="黑体" w:hAnsi="SimHei" w:cs="Arial"/>
          <w:kern w:val="0"/>
          <w:sz w:val="24"/>
          <w:szCs w:val="24"/>
        </w:rPr>
        <w:t>％加</w:t>
      </w:r>
      <w:r w:rsidRPr="00DD4EFC">
        <w:rPr>
          <w:rFonts w:ascii="SimHei" w:eastAsia="黑体" w:hAnsi="SimHei" w:cs="Arial"/>
          <w:kern w:val="0"/>
          <w:sz w:val="24"/>
          <w:szCs w:val="24"/>
        </w:rPr>
        <w:t>1.5</w:t>
      </w:r>
      <w:r w:rsidRPr="00DD4EFC">
        <w:rPr>
          <w:rFonts w:ascii="SimHei" w:eastAsia="黑体" w:hAnsi="SimHei" w:cs="Arial"/>
          <w:kern w:val="0"/>
          <w:sz w:val="24"/>
          <w:szCs w:val="24"/>
        </w:rPr>
        <w:t>分，超过</w:t>
      </w:r>
      <w:r w:rsidRPr="00DD4EFC">
        <w:rPr>
          <w:rFonts w:ascii="SimHei" w:eastAsia="黑体" w:hAnsi="SimHei" w:cs="Arial"/>
          <w:kern w:val="0"/>
          <w:sz w:val="24"/>
          <w:szCs w:val="24"/>
        </w:rPr>
        <w:t>30</w:t>
      </w:r>
      <w:r w:rsidRPr="00DD4EFC">
        <w:rPr>
          <w:rFonts w:ascii="SimHei" w:eastAsia="黑体" w:hAnsi="SimHei" w:cs="Arial"/>
          <w:kern w:val="0"/>
          <w:sz w:val="24"/>
          <w:szCs w:val="24"/>
        </w:rPr>
        <w:t>％加</w:t>
      </w:r>
      <w:r w:rsidRPr="00DD4EFC">
        <w:rPr>
          <w:rFonts w:ascii="SimHei" w:eastAsia="黑体" w:hAnsi="SimHei" w:cs="Arial"/>
          <w:kern w:val="0"/>
          <w:sz w:val="24"/>
          <w:szCs w:val="24"/>
        </w:rPr>
        <w:t>2</w:t>
      </w:r>
      <w:r w:rsidRPr="00DD4EFC">
        <w:rPr>
          <w:rFonts w:ascii="SimHei" w:eastAsia="黑体" w:hAnsi="SimHei" w:cs="Arial"/>
          <w:kern w:val="0"/>
          <w:sz w:val="24"/>
          <w:szCs w:val="24"/>
        </w:rPr>
        <w:t>分，超过</w:t>
      </w:r>
      <w:r w:rsidRPr="00DD4EFC">
        <w:rPr>
          <w:rFonts w:ascii="SimHei" w:eastAsia="黑体" w:hAnsi="SimHei" w:cs="Arial"/>
          <w:kern w:val="0"/>
          <w:sz w:val="24"/>
          <w:szCs w:val="24"/>
        </w:rPr>
        <w:t>35</w:t>
      </w:r>
      <w:r w:rsidRPr="00DD4EFC">
        <w:rPr>
          <w:rFonts w:ascii="SimHei" w:eastAsia="黑体" w:hAnsi="SimHei" w:cs="Arial"/>
          <w:kern w:val="0"/>
          <w:sz w:val="24"/>
          <w:szCs w:val="24"/>
        </w:rPr>
        <w:t>％加</w:t>
      </w:r>
      <w:r w:rsidRPr="00DD4EFC">
        <w:rPr>
          <w:rFonts w:ascii="SimHei" w:eastAsia="黑体" w:hAnsi="SimHei" w:cs="Arial"/>
          <w:kern w:val="0"/>
          <w:sz w:val="24"/>
          <w:szCs w:val="24"/>
        </w:rPr>
        <w:t>2.5</w:t>
      </w:r>
      <w:r w:rsidRPr="00DD4EFC">
        <w:rPr>
          <w:rFonts w:ascii="SimHei" w:eastAsia="黑体" w:hAnsi="SimHei" w:cs="Arial"/>
          <w:kern w:val="0"/>
          <w:sz w:val="24"/>
          <w:szCs w:val="24"/>
        </w:rPr>
        <w:t>分，超过</w:t>
      </w:r>
      <w:r w:rsidRPr="00DD4EFC">
        <w:rPr>
          <w:rFonts w:ascii="SimHei" w:eastAsia="黑体" w:hAnsi="SimHei" w:cs="Arial"/>
          <w:kern w:val="0"/>
          <w:sz w:val="24"/>
          <w:szCs w:val="24"/>
        </w:rPr>
        <w:t>40</w:t>
      </w:r>
      <w:r w:rsidRPr="00DD4EFC">
        <w:rPr>
          <w:rFonts w:ascii="SimHei" w:eastAsia="黑体" w:hAnsi="SimHei" w:cs="Arial"/>
          <w:kern w:val="0"/>
          <w:sz w:val="24"/>
          <w:szCs w:val="24"/>
        </w:rPr>
        <w:t>％加</w:t>
      </w:r>
      <w:r w:rsidRPr="00DD4EFC">
        <w:rPr>
          <w:rFonts w:ascii="SimHei" w:eastAsia="黑体" w:hAnsi="SimHei" w:cs="Arial"/>
          <w:kern w:val="0"/>
          <w:sz w:val="24"/>
          <w:szCs w:val="24"/>
        </w:rPr>
        <w:t>3</w:t>
      </w:r>
      <w:r w:rsidRPr="00DD4EFC">
        <w:rPr>
          <w:rFonts w:ascii="SimHei" w:eastAsia="黑体" w:hAnsi="SimHei" w:cs="Arial"/>
          <w:kern w:val="0"/>
          <w:sz w:val="24"/>
          <w:szCs w:val="24"/>
        </w:rPr>
        <w:t>分，其中，中小企业贷款占比</w:t>
      </w:r>
      <w:r w:rsidRPr="00DD4EFC">
        <w:rPr>
          <w:rFonts w:ascii="SimHei" w:eastAsia="黑体" w:hAnsi="SimHei" w:cs="Arial"/>
          <w:kern w:val="0"/>
          <w:sz w:val="24"/>
          <w:szCs w:val="24"/>
        </w:rPr>
        <w:t>=</w:t>
      </w:r>
      <w:r w:rsidRPr="00DD4EFC">
        <w:rPr>
          <w:rFonts w:ascii="SimHei" w:eastAsia="黑体" w:hAnsi="SimHei" w:cs="Arial"/>
          <w:kern w:val="0"/>
          <w:sz w:val="24"/>
          <w:szCs w:val="24"/>
        </w:rPr>
        <w:t>年末中小企业贷款余额</w:t>
      </w:r>
      <w:r w:rsidRPr="00DD4EFC">
        <w:rPr>
          <w:rFonts w:ascii="SimHei" w:eastAsia="黑体" w:hAnsi="SimHei" w:cs="Arial"/>
          <w:kern w:val="0"/>
          <w:sz w:val="24"/>
          <w:szCs w:val="24"/>
        </w:rPr>
        <w:t>/</w:t>
      </w:r>
      <w:r w:rsidRPr="00DD4EFC">
        <w:rPr>
          <w:rFonts w:ascii="SimHei" w:eastAsia="黑体" w:hAnsi="SimHei" w:cs="Arial"/>
          <w:kern w:val="0"/>
          <w:sz w:val="24"/>
          <w:szCs w:val="24"/>
        </w:rPr>
        <w:t>年末贷款余额</w:t>
      </w:r>
      <w:r w:rsidRPr="00DD4EFC">
        <w:rPr>
          <w:rFonts w:ascii="SimHei" w:eastAsia="黑体" w:hAnsi="SimHei" w:cs="Arial"/>
          <w:kern w:val="0"/>
          <w:sz w:val="24"/>
          <w:szCs w:val="24"/>
        </w:rPr>
        <w:t>×100%</w:t>
      </w:r>
      <w:r w:rsidRPr="00DD4EFC">
        <w:rPr>
          <w:rFonts w:ascii="SimHei" w:eastAsia="黑体" w:hAnsi="SimHei" w:cs="Arial"/>
          <w:kern w:val="0"/>
          <w:sz w:val="24"/>
          <w:szCs w:val="24"/>
        </w:rPr>
        <w:t>；</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（三）农业保险加分：金融企业提供的农业保险市场占比超过</w:t>
      </w:r>
      <w:r w:rsidRPr="00DD4EFC">
        <w:rPr>
          <w:rFonts w:ascii="SimHei" w:eastAsia="黑体" w:hAnsi="SimHei" w:cs="Arial"/>
          <w:kern w:val="0"/>
          <w:sz w:val="24"/>
          <w:szCs w:val="24"/>
        </w:rPr>
        <w:t>10%</w:t>
      </w:r>
      <w:r w:rsidRPr="00DD4EFC">
        <w:rPr>
          <w:rFonts w:ascii="SimHei" w:eastAsia="黑体" w:hAnsi="SimHei" w:cs="Arial"/>
          <w:kern w:val="0"/>
          <w:sz w:val="24"/>
          <w:szCs w:val="24"/>
        </w:rPr>
        <w:t>加</w:t>
      </w:r>
      <w:r w:rsidRPr="00DD4EFC">
        <w:rPr>
          <w:rFonts w:ascii="SimHei" w:eastAsia="黑体" w:hAnsi="SimHei" w:cs="Arial"/>
          <w:kern w:val="0"/>
          <w:sz w:val="24"/>
          <w:szCs w:val="24"/>
        </w:rPr>
        <w:t>1</w:t>
      </w:r>
      <w:r w:rsidRPr="00DD4EFC">
        <w:rPr>
          <w:rFonts w:ascii="SimHei" w:eastAsia="黑体" w:hAnsi="SimHei" w:cs="Arial"/>
          <w:kern w:val="0"/>
          <w:sz w:val="24"/>
          <w:szCs w:val="24"/>
        </w:rPr>
        <w:t>分，超过</w:t>
      </w:r>
      <w:r w:rsidRPr="00DD4EFC">
        <w:rPr>
          <w:rFonts w:ascii="SimHei" w:eastAsia="黑体" w:hAnsi="SimHei" w:cs="Arial"/>
          <w:kern w:val="0"/>
          <w:sz w:val="24"/>
          <w:szCs w:val="24"/>
        </w:rPr>
        <w:t>15%</w:t>
      </w:r>
      <w:r w:rsidRPr="00DD4EFC">
        <w:rPr>
          <w:rFonts w:ascii="SimHei" w:eastAsia="黑体" w:hAnsi="SimHei" w:cs="Arial"/>
          <w:kern w:val="0"/>
          <w:sz w:val="24"/>
          <w:szCs w:val="24"/>
        </w:rPr>
        <w:t>加</w:t>
      </w:r>
      <w:r w:rsidRPr="00DD4EFC">
        <w:rPr>
          <w:rFonts w:ascii="SimHei" w:eastAsia="黑体" w:hAnsi="SimHei" w:cs="Arial"/>
          <w:kern w:val="0"/>
          <w:sz w:val="24"/>
          <w:szCs w:val="24"/>
        </w:rPr>
        <w:t>1.5</w:t>
      </w:r>
      <w:r w:rsidRPr="00DD4EFC">
        <w:rPr>
          <w:rFonts w:ascii="SimHei" w:eastAsia="黑体" w:hAnsi="SimHei" w:cs="Arial"/>
          <w:kern w:val="0"/>
          <w:sz w:val="24"/>
          <w:szCs w:val="24"/>
        </w:rPr>
        <w:t>分，超过</w:t>
      </w:r>
      <w:r w:rsidRPr="00DD4EFC">
        <w:rPr>
          <w:rFonts w:ascii="SimHei" w:eastAsia="黑体" w:hAnsi="SimHei" w:cs="Arial"/>
          <w:kern w:val="0"/>
          <w:sz w:val="24"/>
          <w:szCs w:val="24"/>
        </w:rPr>
        <w:t>20%</w:t>
      </w:r>
      <w:r w:rsidRPr="00DD4EFC">
        <w:rPr>
          <w:rFonts w:ascii="SimHei" w:eastAsia="黑体" w:hAnsi="SimHei" w:cs="Arial"/>
          <w:kern w:val="0"/>
          <w:sz w:val="24"/>
          <w:szCs w:val="24"/>
        </w:rPr>
        <w:t>加</w:t>
      </w:r>
      <w:r w:rsidRPr="00DD4EFC">
        <w:rPr>
          <w:rFonts w:ascii="SimHei" w:eastAsia="黑体" w:hAnsi="SimHei" w:cs="Arial"/>
          <w:kern w:val="0"/>
          <w:sz w:val="24"/>
          <w:szCs w:val="24"/>
        </w:rPr>
        <w:t>2</w:t>
      </w:r>
      <w:r w:rsidRPr="00DD4EFC">
        <w:rPr>
          <w:rFonts w:ascii="SimHei" w:eastAsia="黑体" w:hAnsi="SimHei" w:cs="Arial"/>
          <w:kern w:val="0"/>
          <w:sz w:val="24"/>
          <w:szCs w:val="24"/>
        </w:rPr>
        <w:t>分，超过</w:t>
      </w:r>
      <w:r w:rsidRPr="00DD4EFC">
        <w:rPr>
          <w:rFonts w:ascii="SimHei" w:eastAsia="黑体" w:hAnsi="SimHei" w:cs="Arial"/>
          <w:kern w:val="0"/>
          <w:sz w:val="24"/>
          <w:szCs w:val="24"/>
        </w:rPr>
        <w:t>25%</w:t>
      </w:r>
      <w:r w:rsidRPr="00DD4EFC">
        <w:rPr>
          <w:rFonts w:ascii="SimHei" w:eastAsia="黑体" w:hAnsi="SimHei" w:cs="Arial"/>
          <w:kern w:val="0"/>
          <w:sz w:val="24"/>
          <w:szCs w:val="24"/>
        </w:rPr>
        <w:t>加</w:t>
      </w:r>
      <w:r w:rsidRPr="00DD4EFC">
        <w:rPr>
          <w:rFonts w:ascii="SimHei" w:eastAsia="黑体" w:hAnsi="SimHei" w:cs="Arial"/>
          <w:kern w:val="0"/>
          <w:sz w:val="24"/>
          <w:szCs w:val="24"/>
        </w:rPr>
        <w:t>2.5</w:t>
      </w:r>
      <w:r w:rsidRPr="00DD4EFC">
        <w:rPr>
          <w:rFonts w:ascii="SimHei" w:eastAsia="黑体" w:hAnsi="SimHei" w:cs="Arial"/>
          <w:kern w:val="0"/>
          <w:sz w:val="24"/>
          <w:szCs w:val="24"/>
        </w:rPr>
        <w:t>分，超过</w:t>
      </w:r>
      <w:r w:rsidRPr="00DD4EFC">
        <w:rPr>
          <w:rFonts w:ascii="SimHei" w:eastAsia="黑体" w:hAnsi="SimHei" w:cs="Arial"/>
          <w:kern w:val="0"/>
          <w:sz w:val="24"/>
          <w:szCs w:val="24"/>
        </w:rPr>
        <w:t>30%</w:t>
      </w:r>
      <w:r w:rsidRPr="00DD4EFC">
        <w:rPr>
          <w:rFonts w:ascii="SimHei" w:eastAsia="黑体" w:hAnsi="SimHei" w:cs="Arial"/>
          <w:kern w:val="0"/>
          <w:sz w:val="24"/>
          <w:szCs w:val="24"/>
        </w:rPr>
        <w:t>加</w:t>
      </w:r>
      <w:r w:rsidRPr="00DD4EFC">
        <w:rPr>
          <w:rFonts w:ascii="SimHei" w:eastAsia="黑体" w:hAnsi="SimHei" w:cs="Arial"/>
          <w:kern w:val="0"/>
          <w:sz w:val="24"/>
          <w:szCs w:val="24"/>
        </w:rPr>
        <w:t>3</w:t>
      </w:r>
      <w:r w:rsidRPr="00DD4EFC">
        <w:rPr>
          <w:rFonts w:ascii="SimHei" w:eastAsia="黑体" w:hAnsi="SimHei" w:cs="Arial"/>
          <w:kern w:val="0"/>
          <w:sz w:val="24"/>
          <w:szCs w:val="24"/>
        </w:rPr>
        <w:t>分；金融企业提供的农业保险如市场占比在</w:t>
      </w:r>
      <w:r w:rsidRPr="00DD4EFC">
        <w:rPr>
          <w:rFonts w:ascii="SimHei" w:eastAsia="黑体" w:hAnsi="SimHei" w:cs="Arial"/>
          <w:kern w:val="0"/>
          <w:sz w:val="24"/>
          <w:szCs w:val="24"/>
        </w:rPr>
        <w:t>10%</w:t>
      </w:r>
      <w:r w:rsidRPr="00DD4EFC">
        <w:rPr>
          <w:rFonts w:ascii="SimHei" w:eastAsia="黑体" w:hAnsi="SimHei" w:cs="Arial"/>
          <w:kern w:val="0"/>
          <w:sz w:val="24"/>
          <w:szCs w:val="24"/>
        </w:rPr>
        <w:t>以下，但自身占比超过</w:t>
      </w:r>
      <w:r w:rsidRPr="00DD4EFC">
        <w:rPr>
          <w:rFonts w:ascii="SimHei" w:eastAsia="黑体" w:hAnsi="SimHei" w:cs="Arial"/>
          <w:kern w:val="0"/>
          <w:sz w:val="24"/>
          <w:szCs w:val="24"/>
        </w:rPr>
        <w:t>50%</w:t>
      </w:r>
      <w:r w:rsidRPr="00DD4EFC">
        <w:rPr>
          <w:rFonts w:ascii="SimHei" w:eastAsia="黑体" w:hAnsi="SimHei" w:cs="Arial"/>
          <w:kern w:val="0"/>
          <w:sz w:val="24"/>
          <w:szCs w:val="24"/>
        </w:rPr>
        <w:t>加</w:t>
      </w:r>
      <w:r w:rsidRPr="00DD4EFC">
        <w:rPr>
          <w:rFonts w:ascii="SimHei" w:eastAsia="黑体" w:hAnsi="SimHei" w:cs="Arial"/>
          <w:kern w:val="0"/>
          <w:sz w:val="24"/>
          <w:szCs w:val="24"/>
        </w:rPr>
        <w:t>1</w:t>
      </w:r>
      <w:r w:rsidRPr="00DD4EFC">
        <w:rPr>
          <w:rFonts w:ascii="SimHei" w:eastAsia="黑体" w:hAnsi="SimHei" w:cs="Arial"/>
          <w:kern w:val="0"/>
          <w:sz w:val="24"/>
          <w:szCs w:val="24"/>
        </w:rPr>
        <w:t>分，超过</w:t>
      </w:r>
      <w:r w:rsidRPr="00DD4EFC">
        <w:rPr>
          <w:rFonts w:ascii="SimHei" w:eastAsia="黑体" w:hAnsi="SimHei" w:cs="Arial"/>
          <w:kern w:val="0"/>
          <w:sz w:val="24"/>
          <w:szCs w:val="24"/>
        </w:rPr>
        <w:t>60%</w:t>
      </w:r>
      <w:r w:rsidRPr="00DD4EFC">
        <w:rPr>
          <w:rFonts w:ascii="SimHei" w:eastAsia="黑体" w:hAnsi="SimHei" w:cs="Arial"/>
          <w:kern w:val="0"/>
          <w:sz w:val="24"/>
          <w:szCs w:val="24"/>
        </w:rPr>
        <w:t>加</w:t>
      </w:r>
      <w:r w:rsidRPr="00DD4EFC">
        <w:rPr>
          <w:rFonts w:ascii="SimHei" w:eastAsia="黑体" w:hAnsi="SimHei" w:cs="Arial"/>
          <w:kern w:val="0"/>
          <w:sz w:val="24"/>
          <w:szCs w:val="24"/>
        </w:rPr>
        <w:t>1.5</w:t>
      </w:r>
      <w:r w:rsidRPr="00DD4EFC">
        <w:rPr>
          <w:rFonts w:ascii="SimHei" w:eastAsia="黑体" w:hAnsi="SimHei" w:cs="Arial"/>
          <w:kern w:val="0"/>
          <w:sz w:val="24"/>
          <w:szCs w:val="24"/>
        </w:rPr>
        <w:t>分，超过</w:t>
      </w:r>
      <w:r w:rsidRPr="00DD4EFC">
        <w:rPr>
          <w:rFonts w:ascii="SimHei" w:eastAsia="黑体" w:hAnsi="SimHei" w:cs="Arial"/>
          <w:kern w:val="0"/>
          <w:sz w:val="24"/>
          <w:szCs w:val="24"/>
        </w:rPr>
        <w:t>70%</w:t>
      </w:r>
      <w:r w:rsidRPr="00DD4EFC">
        <w:rPr>
          <w:rFonts w:ascii="SimHei" w:eastAsia="黑体" w:hAnsi="SimHei" w:cs="Arial"/>
          <w:kern w:val="0"/>
          <w:sz w:val="24"/>
          <w:szCs w:val="24"/>
        </w:rPr>
        <w:t>加</w:t>
      </w:r>
      <w:r w:rsidRPr="00DD4EFC">
        <w:rPr>
          <w:rFonts w:ascii="SimHei" w:eastAsia="黑体" w:hAnsi="SimHei" w:cs="Arial"/>
          <w:kern w:val="0"/>
          <w:sz w:val="24"/>
          <w:szCs w:val="24"/>
        </w:rPr>
        <w:t>2</w:t>
      </w:r>
      <w:r w:rsidRPr="00DD4EFC">
        <w:rPr>
          <w:rFonts w:ascii="SimHei" w:eastAsia="黑体" w:hAnsi="SimHei" w:cs="Arial"/>
          <w:kern w:val="0"/>
          <w:sz w:val="24"/>
          <w:szCs w:val="24"/>
        </w:rPr>
        <w:t>分，超过</w:t>
      </w:r>
      <w:r w:rsidRPr="00DD4EFC">
        <w:rPr>
          <w:rFonts w:ascii="SimHei" w:eastAsia="黑体" w:hAnsi="SimHei" w:cs="Arial"/>
          <w:kern w:val="0"/>
          <w:sz w:val="24"/>
          <w:szCs w:val="24"/>
        </w:rPr>
        <w:t>80%</w:t>
      </w:r>
      <w:r w:rsidRPr="00DD4EFC">
        <w:rPr>
          <w:rFonts w:ascii="SimHei" w:eastAsia="黑体" w:hAnsi="SimHei" w:cs="Arial"/>
          <w:kern w:val="0"/>
          <w:sz w:val="24"/>
          <w:szCs w:val="24"/>
        </w:rPr>
        <w:t>加</w:t>
      </w:r>
      <w:r w:rsidRPr="00DD4EFC">
        <w:rPr>
          <w:rFonts w:ascii="SimHei" w:eastAsia="黑体" w:hAnsi="SimHei" w:cs="Arial"/>
          <w:kern w:val="0"/>
          <w:sz w:val="24"/>
          <w:szCs w:val="24"/>
        </w:rPr>
        <w:t>2.5</w:t>
      </w:r>
      <w:r w:rsidRPr="00DD4EFC">
        <w:rPr>
          <w:rFonts w:ascii="SimHei" w:eastAsia="黑体" w:hAnsi="SimHei" w:cs="Arial"/>
          <w:kern w:val="0"/>
          <w:sz w:val="24"/>
          <w:szCs w:val="24"/>
        </w:rPr>
        <w:t>分，超过</w:t>
      </w:r>
      <w:r w:rsidRPr="00DD4EFC">
        <w:rPr>
          <w:rFonts w:ascii="SimHei" w:eastAsia="黑体" w:hAnsi="SimHei" w:cs="Arial"/>
          <w:kern w:val="0"/>
          <w:sz w:val="24"/>
          <w:szCs w:val="24"/>
        </w:rPr>
        <w:t>90%</w:t>
      </w:r>
      <w:r w:rsidRPr="00DD4EFC">
        <w:rPr>
          <w:rFonts w:ascii="SimHei" w:eastAsia="黑体" w:hAnsi="SimHei" w:cs="Arial"/>
          <w:kern w:val="0"/>
          <w:sz w:val="24"/>
          <w:szCs w:val="24"/>
        </w:rPr>
        <w:t>加</w:t>
      </w:r>
      <w:r w:rsidRPr="00DD4EFC">
        <w:rPr>
          <w:rFonts w:ascii="SimHei" w:eastAsia="黑体" w:hAnsi="SimHei" w:cs="Arial"/>
          <w:kern w:val="0"/>
          <w:sz w:val="24"/>
          <w:szCs w:val="24"/>
        </w:rPr>
        <w:t>3</w:t>
      </w:r>
      <w:r w:rsidRPr="00DD4EFC">
        <w:rPr>
          <w:rFonts w:ascii="SimHei" w:eastAsia="黑体" w:hAnsi="SimHei" w:cs="Arial"/>
          <w:kern w:val="0"/>
          <w:sz w:val="24"/>
          <w:szCs w:val="24"/>
        </w:rPr>
        <w:t>分。</w:t>
      </w:r>
      <w:r w:rsidRPr="00DD4EFC">
        <w:rPr>
          <w:rFonts w:ascii="SimHei" w:eastAsia="黑体" w:hAnsi="SimHei" w:cs="Arial"/>
          <w:kern w:val="0"/>
          <w:sz w:val="24"/>
          <w:szCs w:val="24"/>
        </w:rPr>
        <w:t>其中，农业保险市场占比</w:t>
      </w:r>
      <w:r w:rsidRPr="00DD4EFC">
        <w:rPr>
          <w:rFonts w:ascii="SimHei" w:eastAsia="黑体" w:hAnsi="SimHei" w:cs="Arial"/>
          <w:kern w:val="0"/>
          <w:sz w:val="24"/>
          <w:szCs w:val="24"/>
        </w:rPr>
        <w:t>=</w:t>
      </w:r>
      <w:r w:rsidRPr="00DD4EFC">
        <w:rPr>
          <w:rFonts w:ascii="SimHei" w:eastAsia="黑体" w:hAnsi="SimHei" w:cs="Arial"/>
          <w:kern w:val="0"/>
          <w:sz w:val="24"/>
          <w:szCs w:val="24"/>
        </w:rPr>
        <w:t>年度农业保险保费收入总额</w:t>
      </w:r>
      <w:r w:rsidRPr="00DD4EFC">
        <w:rPr>
          <w:rFonts w:ascii="SimHei" w:eastAsia="黑体" w:hAnsi="SimHei" w:cs="Arial"/>
          <w:kern w:val="0"/>
          <w:sz w:val="24"/>
          <w:szCs w:val="24"/>
        </w:rPr>
        <w:t>/</w:t>
      </w:r>
      <w:r w:rsidRPr="00DD4EFC">
        <w:rPr>
          <w:rFonts w:ascii="SimHei" w:eastAsia="黑体" w:hAnsi="SimHei" w:cs="Arial"/>
          <w:kern w:val="0"/>
          <w:sz w:val="24"/>
          <w:szCs w:val="24"/>
        </w:rPr>
        <w:t>全部财产保险公司年度农业保险保费收入总额</w:t>
      </w:r>
      <w:r w:rsidRPr="00DD4EFC">
        <w:rPr>
          <w:rFonts w:ascii="SimHei" w:eastAsia="黑体" w:hAnsi="SimHei" w:cs="Arial"/>
          <w:kern w:val="0"/>
          <w:sz w:val="24"/>
          <w:szCs w:val="24"/>
        </w:rPr>
        <w:t>×100%</w:t>
      </w:r>
      <w:r w:rsidRPr="00DD4EFC">
        <w:rPr>
          <w:rFonts w:ascii="SimHei" w:eastAsia="黑体" w:hAnsi="SimHei" w:cs="Arial"/>
          <w:kern w:val="0"/>
          <w:sz w:val="24"/>
          <w:szCs w:val="24"/>
        </w:rPr>
        <w:t>，农业保险自身占比</w:t>
      </w:r>
      <w:r w:rsidRPr="00DD4EFC">
        <w:rPr>
          <w:rFonts w:ascii="SimHei" w:eastAsia="黑体" w:hAnsi="SimHei" w:cs="Arial"/>
          <w:kern w:val="0"/>
          <w:sz w:val="24"/>
          <w:szCs w:val="24"/>
        </w:rPr>
        <w:t>=</w:t>
      </w:r>
      <w:r w:rsidRPr="00DD4EFC">
        <w:rPr>
          <w:rFonts w:ascii="SimHei" w:eastAsia="黑体" w:hAnsi="SimHei" w:cs="Arial"/>
          <w:kern w:val="0"/>
          <w:sz w:val="24"/>
          <w:szCs w:val="24"/>
        </w:rPr>
        <w:t>年度农业保险保费收入总额</w:t>
      </w:r>
      <w:r w:rsidRPr="00DD4EFC">
        <w:rPr>
          <w:rFonts w:ascii="SimHei" w:eastAsia="黑体" w:hAnsi="SimHei" w:cs="Arial"/>
          <w:kern w:val="0"/>
          <w:sz w:val="24"/>
          <w:szCs w:val="24"/>
        </w:rPr>
        <w:t>/</w:t>
      </w:r>
      <w:r w:rsidRPr="00DD4EFC">
        <w:rPr>
          <w:rFonts w:ascii="SimHei" w:eastAsia="黑体" w:hAnsi="SimHei" w:cs="Arial"/>
          <w:kern w:val="0"/>
          <w:sz w:val="24"/>
          <w:szCs w:val="24"/>
        </w:rPr>
        <w:t>年度全部财产保险保费收入总额</w:t>
      </w:r>
      <w:r w:rsidRPr="00DD4EFC">
        <w:rPr>
          <w:rFonts w:ascii="SimHei" w:eastAsia="黑体" w:hAnsi="SimHei" w:cs="Arial"/>
          <w:kern w:val="0"/>
          <w:sz w:val="24"/>
          <w:szCs w:val="24"/>
        </w:rPr>
        <w:t>×100%</w:t>
      </w:r>
      <w:r w:rsidRPr="00DD4EFC">
        <w:rPr>
          <w:rFonts w:ascii="SimHei" w:eastAsia="黑体" w:hAnsi="SimHei" w:cs="Arial"/>
          <w:kern w:val="0"/>
          <w:sz w:val="24"/>
          <w:szCs w:val="24"/>
        </w:rPr>
        <w:t>；</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（四）不良资产主业集中度加分：金融资产管理公司不良资产主业集中</w:t>
      </w:r>
      <w:proofErr w:type="gramStart"/>
      <w:r w:rsidRPr="00DD4EFC">
        <w:rPr>
          <w:rFonts w:ascii="SimHei" w:eastAsia="黑体" w:hAnsi="SimHei" w:cs="Arial"/>
          <w:kern w:val="0"/>
          <w:sz w:val="24"/>
          <w:szCs w:val="24"/>
        </w:rPr>
        <w:t>度包括</w:t>
      </w:r>
      <w:proofErr w:type="gramEnd"/>
      <w:r w:rsidRPr="00DD4EFC">
        <w:rPr>
          <w:rFonts w:ascii="SimHei" w:eastAsia="黑体" w:hAnsi="SimHei" w:cs="Arial"/>
          <w:kern w:val="0"/>
          <w:sz w:val="24"/>
          <w:szCs w:val="24"/>
        </w:rPr>
        <w:t>收入集中度和资本集中度，两项指标均超过</w:t>
      </w:r>
      <w:r w:rsidRPr="00DD4EFC">
        <w:rPr>
          <w:rFonts w:ascii="SimHei" w:eastAsia="黑体" w:hAnsi="SimHei" w:cs="Arial"/>
          <w:kern w:val="0"/>
          <w:sz w:val="24"/>
          <w:szCs w:val="24"/>
        </w:rPr>
        <w:t>60%</w:t>
      </w:r>
      <w:r w:rsidRPr="00DD4EFC">
        <w:rPr>
          <w:rFonts w:ascii="SimHei" w:eastAsia="黑体" w:hAnsi="SimHei" w:cs="Arial"/>
          <w:kern w:val="0"/>
          <w:sz w:val="24"/>
          <w:szCs w:val="24"/>
        </w:rPr>
        <w:t>加</w:t>
      </w:r>
      <w:r w:rsidRPr="00DD4EFC">
        <w:rPr>
          <w:rFonts w:ascii="SimHei" w:eastAsia="黑体" w:hAnsi="SimHei" w:cs="Arial"/>
          <w:kern w:val="0"/>
          <w:sz w:val="24"/>
          <w:szCs w:val="24"/>
        </w:rPr>
        <w:t>1</w:t>
      </w:r>
      <w:r w:rsidRPr="00DD4EFC">
        <w:rPr>
          <w:rFonts w:ascii="SimHei" w:eastAsia="黑体" w:hAnsi="SimHei" w:cs="Arial"/>
          <w:kern w:val="0"/>
          <w:sz w:val="24"/>
          <w:szCs w:val="24"/>
        </w:rPr>
        <w:t>分，均超过</w:t>
      </w:r>
      <w:r w:rsidRPr="00DD4EFC">
        <w:rPr>
          <w:rFonts w:ascii="SimHei" w:eastAsia="黑体" w:hAnsi="SimHei" w:cs="Arial"/>
          <w:kern w:val="0"/>
          <w:sz w:val="24"/>
          <w:szCs w:val="24"/>
        </w:rPr>
        <w:t>65%</w:t>
      </w:r>
      <w:r w:rsidRPr="00DD4EFC">
        <w:rPr>
          <w:rFonts w:ascii="SimHei" w:eastAsia="黑体" w:hAnsi="SimHei" w:cs="Arial"/>
          <w:kern w:val="0"/>
          <w:sz w:val="24"/>
          <w:szCs w:val="24"/>
        </w:rPr>
        <w:t>加</w:t>
      </w:r>
      <w:r w:rsidRPr="00DD4EFC">
        <w:rPr>
          <w:rFonts w:ascii="SimHei" w:eastAsia="黑体" w:hAnsi="SimHei" w:cs="Arial"/>
          <w:kern w:val="0"/>
          <w:sz w:val="24"/>
          <w:szCs w:val="24"/>
        </w:rPr>
        <w:t>1.5</w:t>
      </w:r>
      <w:r w:rsidRPr="00DD4EFC">
        <w:rPr>
          <w:rFonts w:ascii="SimHei" w:eastAsia="黑体" w:hAnsi="SimHei" w:cs="Arial"/>
          <w:kern w:val="0"/>
          <w:sz w:val="24"/>
          <w:szCs w:val="24"/>
        </w:rPr>
        <w:t>分，均超过</w:t>
      </w:r>
      <w:r w:rsidRPr="00DD4EFC">
        <w:rPr>
          <w:rFonts w:ascii="SimHei" w:eastAsia="黑体" w:hAnsi="SimHei" w:cs="Arial"/>
          <w:kern w:val="0"/>
          <w:sz w:val="24"/>
          <w:szCs w:val="24"/>
        </w:rPr>
        <w:t>70%</w:t>
      </w:r>
      <w:r w:rsidRPr="00DD4EFC">
        <w:rPr>
          <w:rFonts w:ascii="SimHei" w:eastAsia="黑体" w:hAnsi="SimHei" w:cs="Arial"/>
          <w:kern w:val="0"/>
          <w:sz w:val="24"/>
          <w:szCs w:val="24"/>
        </w:rPr>
        <w:t>加</w:t>
      </w:r>
      <w:r w:rsidRPr="00DD4EFC">
        <w:rPr>
          <w:rFonts w:ascii="SimHei" w:eastAsia="黑体" w:hAnsi="SimHei" w:cs="Arial"/>
          <w:kern w:val="0"/>
          <w:sz w:val="24"/>
          <w:szCs w:val="24"/>
        </w:rPr>
        <w:t>2</w:t>
      </w:r>
      <w:r w:rsidRPr="00DD4EFC">
        <w:rPr>
          <w:rFonts w:ascii="SimHei" w:eastAsia="黑体" w:hAnsi="SimHei" w:cs="Arial"/>
          <w:kern w:val="0"/>
          <w:sz w:val="24"/>
          <w:szCs w:val="24"/>
        </w:rPr>
        <w:t>分，均超过</w:t>
      </w:r>
      <w:r w:rsidRPr="00DD4EFC">
        <w:rPr>
          <w:rFonts w:ascii="SimHei" w:eastAsia="黑体" w:hAnsi="SimHei" w:cs="Arial"/>
          <w:kern w:val="0"/>
          <w:sz w:val="24"/>
          <w:szCs w:val="24"/>
        </w:rPr>
        <w:t>75%</w:t>
      </w:r>
      <w:r w:rsidRPr="00DD4EFC">
        <w:rPr>
          <w:rFonts w:ascii="SimHei" w:eastAsia="黑体" w:hAnsi="SimHei" w:cs="Arial"/>
          <w:kern w:val="0"/>
          <w:sz w:val="24"/>
          <w:szCs w:val="24"/>
        </w:rPr>
        <w:t>加</w:t>
      </w:r>
      <w:r w:rsidRPr="00DD4EFC">
        <w:rPr>
          <w:rFonts w:ascii="SimHei" w:eastAsia="黑体" w:hAnsi="SimHei" w:cs="Arial"/>
          <w:kern w:val="0"/>
          <w:sz w:val="24"/>
          <w:szCs w:val="24"/>
        </w:rPr>
        <w:t>2.5</w:t>
      </w:r>
      <w:r w:rsidRPr="00DD4EFC">
        <w:rPr>
          <w:rFonts w:ascii="SimHei" w:eastAsia="黑体" w:hAnsi="SimHei" w:cs="Arial"/>
          <w:kern w:val="0"/>
          <w:sz w:val="24"/>
          <w:szCs w:val="24"/>
        </w:rPr>
        <w:t>分，均超过</w:t>
      </w:r>
      <w:r w:rsidRPr="00DD4EFC">
        <w:rPr>
          <w:rFonts w:ascii="SimHei" w:eastAsia="黑体" w:hAnsi="SimHei" w:cs="Arial"/>
          <w:kern w:val="0"/>
          <w:sz w:val="24"/>
          <w:szCs w:val="24"/>
        </w:rPr>
        <w:t>80%</w:t>
      </w:r>
      <w:r w:rsidRPr="00DD4EFC">
        <w:rPr>
          <w:rFonts w:ascii="SimHei" w:eastAsia="黑体" w:hAnsi="SimHei" w:cs="Arial"/>
          <w:kern w:val="0"/>
          <w:sz w:val="24"/>
          <w:szCs w:val="24"/>
        </w:rPr>
        <w:t>加</w:t>
      </w:r>
      <w:r w:rsidRPr="00DD4EFC">
        <w:rPr>
          <w:rFonts w:ascii="SimHei" w:eastAsia="黑体" w:hAnsi="SimHei" w:cs="Arial"/>
          <w:kern w:val="0"/>
          <w:sz w:val="24"/>
          <w:szCs w:val="24"/>
        </w:rPr>
        <w:t>3</w:t>
      </w:r>
      <w:r w:rsidRPr="00DD4EFC">
        <w:rPr>
          <w:rFonts w:ascii="SimHei" w:eastAsia="黑体" w:hAnsi="SimHei" w:cs="Arial"/>
          <w:kern w:val="0"/>
          <w:sz w:val="24"/>
          <w:szCs w:val="24"/>
        </w:rPr>
        <w:t>分。其中，收入集中度</w:t>
      </w:r>
      <w:r w:rsidRPr="00DD4EFC">
        <w:rPr>
          <w:rFonts w:ascii="SimHei" w:eastAsia="黑体" w:hAnsi="SimHei" w:cs="Arial"/>
          <w:kern w:val="0"/>
          <w:sz w:val="24"/>
          <w:szCs w:val="24"/>
        </w:rPr>
        <w:t>=</w:t>
      </w:r>
      <w:r w:rsidRPr="00DD4EFC">
        <w:rPr>
          <w:rFonts w:ascii="SimHei" w:eastAsia="黑体" w:hAnsi="SimHei" w:cs="Arial"/>
          <w:kern w:val="0"/>
          <w:sz w:val="24"/>
          <w:szCs w:val="24"/>
        </w:rPr>
        <w:t>母公司营业收入（扣除分红、处置等来源于子公司的收入）</w:t>
      </w:r>
      <w:r w:rsidRPr="00DD4EFC">
        <w:rPr>
          <w:rFonts w:ascii="SimHei" w:eastAsia="黑体" w:hAnsi="SimHei" w:cs="Arial"/>
          <w:kern w:val="0"/>
          <w:sz w:val="24"/>
          <w:szCs w:val="24"/>
        </w:rPr>
        <w:t>/</w:t>
      </w:r>
      <w:r w:rsidRPr="00DD4EFC">
        <w:rPr>
          <w:rFonts w:ascii="SimHei" w:eastAsia="黑体" w:hAnsi="SimHei" w:cs="Arial"/>
          <w:kern w:val="0"/>
          <w:sz w:val="24"/>
          <w:szCs w:val="24"/>
        </w:rPr>
        <w:t>集团营业收入</w:t>
      </w:r>
      <w:r w:rsidRPr="00DD4EFC">
        <w:rPr>
          <w:rFonts w:ascii="SimHei" w:eastAsia="黑体" w:hAnsi="SimHei" w:cs="Arial"/>
          <w:kern w:val="0"/>
          <w:sz w:val="24"/>
          <w:szCs w:val="24"/>
        </w:rPr>
        <w:t>×100%</w:t>
      </w:r>
      <w:r w:rsidRPr="00DD4EFC">
        <w:rPr>
          <w:rFonts w:ascii="SimHei" w:eastAsia="黑体" w:hAnsi="SimHei" w:cs="Arial"/>
          <w:kern w:val="0"/>
          <w:sz w:val="24"/>
          <w:szCs w:val="24"/>
        </w:rPr>
        <w:t>；资本集中度</w:t>
      </w:r>
      <w:r w:rsidRPr="00DD4EFC">
        <w:rPr>
          <w:rFonts w:ascii="SimHei" w:eastAsia="黑体" w:hAnsi="SimHei" w:cs="Arial"/>
          <w:kern w:val="0"/>
          <w:sz w:val="24"/>
          <w:szCs w:val="24"/>
        </w:rPr>
        <w:t>=</w:t>
      </w:r>
      <w:r w:rsidRPr="00DD4EFC">
        <w:rPr>
          <w:rFonts w:ascii="SimHei" w:eastAsia="黑体" w:hAnsi="SimHei" w:cs="Arial"/>
          <w:kern w:val="0"/>
          <w:sz w:val="24"/>
          <w:szCs w:val="24"/>
        </w:rPr>
        <w:t>母公司所有者权益（扣除对子公司的投资成本）</w:t>
      </w:r>
      <w:r w:rsidRPr="00DD4EFC">
        <w:rPr>
          <w:rFonts w:ascii="SimHei" w:eastAsia="黑体" w:hAnsi="SimHei" w:cs="Arial"/>
          <w:kern w:val="0"/>
          <w:sz w:val="24"/>
          <w:szCs w:val="24"/>
        </w:rPr>
        <w:t>/</w:t>
      </w:r>
      <w:r w:rsidRPr="00DD4EFC">
        <w:rPr>
          <w:rFonts w:ascii="SimHei" w:eastAsia="黑体" w:hAnsi="SimHei" w:cs="Arial"/>
          <w:kern w:val="0"/>
          <w:sz w:val="24"/>
          <w:szCs w:val="24"/>
        </w:rPr>
        <w:t>集团归属于母公司所有者权益</w:t>
      </w:r>
      <w:r w:rsidRPr="00DD4EFC">
        <w:rPr>
          <w:rFonts w:ascii="SimHei" w:eastAsia="黑体" w:hAnsi="SimHei" w:cs="Arial"/>
          <w:kern w:val="0"/>
          <w:sz w:val="24"/>
          <w:szCs w:val="24"/>
        </w:rPr>
        <w:t>×100%</w:t>
      </w:r>
      <w:r w:rsidRPr="00DD4EFC">
        <w:rPr>
          <w:rFonts w:ascii="SimHei" w:eastAsia="黑体" w:hAnsi="SimHei" w:cs="Arial"/>
          <w:kern w:val="0"/>
          <w:sz w:val="24"/>
          <w:szCs w:val="24"/>
        </w:rPr>
        <w:t>。</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以上在计算涉农贷款和中小企业贷款占比时，分子分母均采用境内口径；农业保险按保险监管部门规定的口径执行。</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第二十二条</w:t>
      </w:r>
      <w:r w:rsidRPr="00DD4EFC">
        <w:rPr>
          <w:rFonts w:ascii="SimHei" w:eastAsia="黑体" w:hAnsi="SimHei" w:cs="Arial"/>
          <w:kern w:val="0"/>
          <w:sz w:val="24"/>
          <w:szCs w:val="24"/>
        </w:rPr>
        <w:t xml:space="preserve"> </w:t>
      </w:r>
      <w:r w:rsidRPr="00DD4EFC">
        <w:rPr>
          <w:rFonts w:ascii="SimHei" w:eastAsia="黑体" w:hAnsi="SimHei" w:cs="Arial"/>
          <w:kern w:val="0"/>
          <w:sz w:val="24"/>
          <w:szCs w:val="24"/>
        </w:rPr>
        <w:t>对被评价金融企业所评价期间（年度）发生以下不良重大事项，予以扣分：</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（一）重大事项扣分：金融企业发生属于当期责任的重大违规违纪案件、重大资产损失事项，发生造成重大不利社会影响的事件，或违反存款偏离等监管规定的，根据相关部门提供的处理处罚情况扣</w:t>
      </w:r>
      <w:r w:rsidRPr="00DD4EFC">
        <w:rPr>
          <w:rFonts w:ascii="SimHei" w:eastAsia="黑体" w:hAnsi="SimHei" w:cs="Arial"/>
          <w:kern w:val="0"/>
          <w:sz w:val="24"/>
          <w:szCs w:val="24"/>
        </w:rPr>
        <w:t>1</w:t>
      </w:r>
      <w:r w:rsidRPr="00DD4EFC">
        <w:rPr>
          <w:rFonts w:ascii="SimHei" w:eastAsia="黑体" w:hAnsi="SimHei" w:cs="Arial"/>
          <w:kern w:val="0"/>
          <w:sz w:val="24"/>
          <w:szCs w:val="24"/>
        </w:rPr>
        <w:t>－</w:t>
      </w:r>
      <w:r w:rsidRPr="00DD4EFC">
        <w:rPr>
          <w:rFonts w:ascii="SimHei" w:eastAsia="黑体" w:hAnsi="SimHei" w:cs="Arial"/>
          <w:kern w:val="0"/>
          <w:sz w:val="24"/>
          <w:szCs w:val="24"/>
        </w:rPr>
        <w:t>3</w:t>
      </w:r>
      <w:r w:rsidRPr="00DD4EFC">
        <w:rPr>
          <w:rFonts w:ascii="SimHei" w:eastAsia="黑体" w:hAnsi="SimHei" w:cs="Arial"/>
          <w:kern w:val="0"/>
          <w:sz w:val="24"/>
          <w:szCs w:val="24"/>
        </w:rPr>
        <w:t>分。正常的资产减值准备计提不在此列；</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（二）信息质量扣分：金融企业不按照规定提供财务会计信息，或提供虚假财务会计信息，根据相关部门的处理处罚情况扣</w:t>
      </w:r>
      <w:r w:rsidRPr="00DD4EFC">
        <w:rPr>
          <w:rFonts w:ascii="SimHei" w:eastAsia="黑体" w:hAnsi="SimHei" w:cs="Arial"/>
          <w:kern w:val="0"/>
          <w:sz w:val="24"/>
          <w:szCs w:val="24"/>
        </w:rPr>
        <w:t>1</w:t>
      </w:r>
      <w:r w:rsidRPr="00DD4EFC">
        <w:rPr>
          <w:rFonts w:ascii="SimHei" w:eastAsia="黑体" w:hAnsi="SimHei" w:cs="Arial"/>
          <w:kern w:val="0"/>
          <w:sz w:val="24"/>
          <w:szCs w:val="24"/>
        </w:rPr>
        <w:t>－</w:t>
      </w:r>
      <w:r w:rsidRPr="00DD4EFC">
        <w:rPr>
          <w:rFonts w:ascii="SimHei" w:eastAsia="黑体" w:hAnsi="SimHei" w:cs="Arial"/>
          <w:kern w:val="0"/>
          <w:sz w:val="24"/>
          <w:szCs w:val="24"/>
        </w:rPr>
        <w:t>3</w:t>
      </w:r>
      <w:r w:rsidRPr="00DD4EFC">
        <w:rPr>
          <w:rFonts w:ascii="SimHei" w:eastAsia="黑体" w:hAnsi="SimHei" w:cs="Arial"/>
          <w:kern w:val="0"/>
          <w:sz w:val="24"/>
          <w:szCs w:val="24"/>
        </w:rPr>
        <w:t>分。金融企业财务快报与财务决算报表报送净利润数值增幅（减幅）超过</w:t>
      </w:r>
      <w:r w:rsidRPr="00DD4EFC">
        <w:rPr>
          <w:rFonts w:ascii="SimHei" w:eastAsia="黑体" w:hAnsi="SimHei" w:cs="Arial"/>
          <w:kern w:val="0"/>
          <w:sz w:val="24"/>
          <w:szCs w:val="24"/>
        </w:rPr>
        <w:t>10</w:t>
      </w:r>
      <w:r w:rsidRPr="00DD4EFC">
        <w:rPr>
          <w:rFonts w:ascii="SimHei" w:eastAsia="黑体" w:hAnsi="SimHei" w:cs="Arial"/>
          <w:kern w:val="0"/>
          <w:sz w:val="24"/>
          <w:szCs w:val="24"/>
        </w:rPr>
        <w:t>％扣</w:t>
      </w:r>
      <w:r w:rsidRPr="00DD4EFC">
        <w:rPr>
          <w:rFonts w:ascii="SimHei" w:eastAsia="黑体" w:hAnsi="SimHei" w:cs="Arial"/>
          <w:kern w:val="0"/>
          <w:sz w:val="24"/>
          <w:szCs w:val="24"/>
        </w:rPr>
        <w:t>1</w:t>
      </w:r>
      <w:r w:rsidRPr="00DD4EFC">
        <w:rPr>
          <w:rFonts w:ascii="SimHei" w:eastAsia="黑体" w:hAnsi="SimHei" w:cs="Arial"/>
          <w:kern w:val="0"/>
          <w:sz w:val="24"/>
          <w:szCs w:val="24"/>
        </w:rPr>
        <w:t>分，超过</w:t>
      </w:r>
      <w:r w:rsidRPr="00DD4EFC">
        <w:rPr>
          <w:rFonts w:ascii="SimHei" w:eastAsia="黑体" w:hAnsi="SimHei" w:cs="Arial"/>
          <w:kern w:val="0"/>
          <w:sz w:val="24"/>
          <w:szCs w:val="24"/>
        </w:rPr>
        <w:t>15</w:t>
      </w:r>
      <w:r w:rsidRPr="00DD4EFC">
        <w:rPr>
          <w:rFonts w:ascii="SimHei" w:eastAsia="黑体" w:hAnsi="SimHei" w:cs="Arial"/>
          <w:kern w:val="0"/>
          <w:sz w:val="24"/>
          <w:szCs w:val="24"/>
        </w:rPr>
        <w:t>％扣</w:t>
      </w:r>
      <w:r w:rsidRPr="00DD4EFC">
        <w:rPr>
          <w:rFonts w:ascii="SimHei" w:eastAsia="黑体" w:hAnsi="SimHei" w:cs="Arial"/>
          <w:kern w:val="0"/>
          <w:sz w:val="24"/>
          <w:szCs w:val="24"/>
        </w:rPr>
        <w:t>1.5</w:t>
      </w:r>
      <w:r w:rsidRPr="00DD4EFC">
        <w:rPr>
          <w:rFonts w:ascii="SimHei" w:eastAsia="黑体" w:hAnsi="SimHei" w:cs="Arial"/>
          <w:kern w:val="0"/>
          <w:sz w:val="24"/>
          <w:szCs w:val="24"/>
        </w:rPr>
        <w:t>分，超过</w:t>
      </w:r>
      <w:r w:rsidRPr="00DD4EFC">
        <w:rPr>
          <w:rFonts w:ascii="SimHei" w:eastAsia="黑体" w:hAnsi="SimHei" w:cs="Arial"/>
          <w:kern w:val="0"/>
          <w:sz w:val="24"/>
          <w:szCs w:val="24"/>
        </w:rPr>
        <w:t>20</w:t>
      </w:r>
      <w:r w:rsidRPr="00DD4EFC">
        <w:rPr>
          <w:rFonts w:ascii="SimHei" w:eastAsia="黑体" w:hAnsi="SimHei" w:cs="Arial"/>
          <w:kern w:val="0"/>
          <w:sz w:val="24"/>
          <w:szCs w:val="24"/>
        </w:rPr>
        <w:t>％扣</w:t>
      </w:r>
      <w:r w:rsidRPr="00DD4EFC">
        <w:rPr>
          <w:rFonts w:ascii="SimHei" w:eastAsia="黑体" w:hAnsi="SimHei" w:cs="Arial"/>
          <w:kern w:val="0"/>
          <w:sz w:val="24"/>
          <w:szCs w:val="24"/>
        </w:rPr>
        <w:t>2</w:t>
      </w:r>
      <w:r w:rsidRPr="00DD4EFC">
        <w:rPr>
          <w:rFonts w:ascii="SimHei" w:eastAsia="黑体" w:hAnsi="SimHei" w:cs="Arial"/>
          <w:kern w:val="0"/>
          <w:sz w:val="24"/>
          <w:szCs w:val="24"/>
        </w:rPr>
        <w:t>分，超过</w:t>
      </w:r>
      <w:r w:rsidRPr="00DD4EFC">
        <w:rPr>
          <w:rFonts w:ascii="SimHei" w:eastAsia="黑体" w:hAnsi="SimHei" w:cs="Arial"/>
          <w:kern w:val="0"/>
          <w:sz w:val="24"/>
          <w:szCs w:val="24"/>
        </w:rPr>
        <w:t>25</w:t>
      </w:r>
      <w:r w:rsidRPr="00DD4EFC">
        <w:rPr>
          <w:rFonts w:ascii="SimHei" w:eastAsia="黑体" w:hAnsi="SimHei" w:cs="Arial"/>
          <w:kern w:val="0"/>
          <w:sz w:val="24"/>
          <w:szCs w:val="24"/>
        </w:rPr>
        <w:t>％扣</w:t>
      </w:r>
      <w:r w:rsidRPr="00DD4EFC">
        <w:rPr>
          <w:rFonts w:ascii="SimHei" w:eastAsia="黑体" w:hAnsi="SimHei" w:cs="Arial"/>
          <w:kern w:val="0"/>
          <w:sz w:val="24"/>
          <w:szCs w:val="24"/>
        </w:rPr>
        <w:t>2.5</w:t>
      </w:r>
      <w:r w:rsidRPr="00DD4EFC">
        <w:rPr>
          <w:rFonts w:ascii="SimHei" w:eastAsia="黑体" w:hAnsi="SimHei" w:cs="Arial"/>
          <w:kern w:val="0"/>
          <w:sz w:val="24"/>
          <w:szCs w:val="24"/>
        </w:rPr>
        <w:t>分，超过</w:t>
      </w:r>
      <w:r w:rsidRPr="00DD4EFC">
        <w:rPr>
          <w:rFonts w:ascii="SimHei" w:eastAsia="黑体" w:hAnsi="SimHei" w:cs="Arial"/>
          <w:kern w:val="0"/>
          <w:sz w:val="24"/>
          <w:szCs w:val="24"/>
        </w:rPr>
        <w:t>30</w:t>
      </w:r>
      <w:r w:rsidRPr="00DD4EFC">
        <w:rPr>
          <w:rFonts w:ascii="SimHei" w:eastAsia="黑体" w:hAnsi="SimHei" w:cs="Arial"/>
          <w:kern w:val="0"/>
          <w:sz w:val="24"/>
          <w:szCs w:val="24"/>
        </w:rPr>
        <w:t>％扣</w:t>
      </w:r>
      <w:r w:rsidRPr="00DD4EFC">
        <w:rPr>
          <w:rFonts w:ascii="SimHei" w:eastAsia="黑体" w:hAnsi="SimHei" w:cs="Arial"/>
          <w:kern w:val="0"/>
          <w:sz w:val="24"/>
          <w:szCs w:val="24"/>
        </w:rPr>
        <w:t>3</w:t>
      </w:r>
      <w:r w:rsidRPr="00DD4EFC">
        <w:rPr>
          <w:rFonts w:ascii="SimHei" w:eastAsia="黑体" w:hAnsi="SimHei" w:cs="Arial"/>
          <w:kern w:val="0"/>
          <w:sz w:val="24"/>
          <w:szCs w:val="24"/>
        </w:rPr>
        <w:t>分。</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第二十三条</w:t>
      </w:r>
      <w:r w:rsidRPr="00DD4EFC">
        <w:rPr>
          <w:rFonts w:ascii="SimHei" w:eastAsia="黑体" w:hAnsi="SimHei" w:cs="Arial"/>
          <w:kern w:val="0"/>
          <w:sz w:val="24"/>
          <w:szCs w:val="24"/>
        </w:rPr>
        <w:t xml:space="preserve"> </w:t>
      </w:r>
      <w:r w:rsidRPr="00DD4EFC">
        <w:rPr>
          <w:rFonts w:ascii="SimHei" w:eastAsia="黑体" w:hAnsi="SimHei" w:cs="Arial"/>
          <w:kern w:val="0"/>
          <w:sz w:val="24"/>
          <w:szCs w:val="24"/>
        </w:rPr>
        <w:t>对存在加分和扣分事项的，金融企业应当填写《金融企业绩效评价加减分事项表》（附</w:t>
      </w:r>
      <w:r w:rsidRPr="00DD4EFC">
        <w:rPr>
          <w:rFonts w:ascii="SimHei" w:eastAsia="黑体" w:hAnsi="SimHei" w:cs="Arial"/>
          <w:kern w:val="0"/>
          <w:sz w:val="24"/>
          <w:szCs w:val="24"/>
        </w:rPr>
        <w:t>2</w:t>
      </w:r>
      <w:r w:rsidRPr="00DD4EFC">
        <w:rPr>
          <w:rFonts w:ascii="SimHei" w:eastAsia="黑体" w:hAnsi="SimHei" w:cs="Arial"/>
          <w:kern w:val="0"/>
          <w:sz w:val="24"/>
          <w:szCs w:val="24"/>
        </w:rPr>
        <w:t>），财政部门与金融企业和有关部门核实，并根据核实情况据实调整。</w:t>
      </w:r>
      <w:r w:rsidRPr="00DD4EFC">
        <w:rPr>
          <w:rFonts w:ascii="SimHei" w:eastAsia="黑体" w:hAnsi="SimHei" w:cs="Arial"/>
          <w:kern w:val="0"/>
          <w:sz w:val="24"/>
          <w:szCs w:val="24"/>
        </w:rPr>
        <w:t xml:space="preserve"> </w:t>
      </w:r>
    </w:p>
    <w:p w:rsidR="00DD4EFC" w:rsidRPr="00DD4EFC" w:rsidRDefault="00DD4EFC" w:rsidP="00C362DE">
      <w:pPr>
        <w:widowControl/>
        <w:spacing w:before="100" w:beforeAutospacing="1" w:after="100" w:afterAutospacing="1" w:line="432" w:lineRule="auto"/>
        <w:jc w:val="center"/>
        <w:rPr>
          <w:rFonts w:ascii="Arial" w:eastAsia="宋体" w:hAnsi="Arial" w:cs="Arial"/>
          <w:kern w:val="0"/>
          <w:sz w:val="24"/>
          <w:szCs w:val="24"/>
        </w:rPr>
      </w:pPr>
      <w:r w:rsidRPr="00DD4EFC">
        <w:rPr>
          <w:rFonts w:ascii="SimHei" w:eastAsia="黑体" w:hAnsi="SimHei" w:cs="Arial"/>
          <w:b/>
          <w:bCs/>
          <w:kern w:val="0"/>
          <w:sz w:val="24"/>
          <w:szCs w:val="24"/>
        </w:rPr>
        <w:t>第五章　评价结果与评价报告</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第二十四条</w:t>
      </w:r>
      <w:r w:rsidRPr="00DD4EFC">
        <w:rPr>
          <w:rFonts w:ascii="SimHei" w:eastAsia="黑体" w:hAnsi="SimHei" w:cs="Arial"/>
          <w:kern w:val="0"/>
          <w:sz w:val="24"/>
          <w:szCs w:val="24"/>
        </w:rPr>
        <w:t xml:space="preserve"> </w:t>
      </w:r>
      <w:r w:rsidRPr="00DD4EFC">
        <w:rPr>
          <w:rFonts w:ascii="SimHei" w:eastAsia="黑体" w:hAnsi="SimHei" w:cs="Arial"/>
          <w:kern w:val="0"/>
          <w:sz w:val="24"/>
          <w:szCs w:val="24"/>
        </w:rPr>
        <w:t>为平滑不同金融行业的年度经营状况，财政部根据金融企业报送的资料分行业设定绩效评价行业调节系数。</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金融企业绩效评价分数（行业调节后）</w:t>
      </w:r>
      <w:r w:rsidRPr="00DD4EFC">
        <w:rPr>
          <w:rFonts w:ascii="SimHei" w:eastAsia="黑体" w:hAnsi="SimHei" w:cs="Arial"/>
          <w:kern w:val="0"/>
          <w:sz w:val="24"/>
          <w:szCs w:val="24"/>
        </w:rPr>
        <w:t>=</w:t>
      </w:r>
      <w:r w:rsidRPr="00DD4EFC">
        <w:rPr>
          <w:rFonts w:ascii="SimHei" w:eastAsia="黑体" w:hAnsi="SimHei" w:cs="Arial"/>
          <w:kern w:val="0"/>
          <w:sz w:val="24"/>
          <w:szCs w:val="24"/>
        </w:rPr>
        <w:t>本期绩效评价分数</w:t>
      </w:r>
      <w:r w:rsidRPr="00DD4EFC">
        <w:rPr>
          <w:rFonts w:ascii="SimHei" w:eastAsia="黑体" w:hAnsi="SimHei" w:cs="Arial"/>
          <w:kern w:val="0"/>
          <w:sz w:val="24"/>
          <w:szCs w:val="24"/>
        </w:rPr>
        <w:t>×</w:t>
      </w:r>
      <w:r w:rsidRPr="00DD4EFC">
        <w:rPr>
          <w:rFonts w:ascii="SimHei" w:eastAsia="黑体" w:hAnsi="SimHei" w:cs="Arial"/>
          <w:kern w:val="0"/>
          <w:sz w:val="24"/>
          <w:szCs w:val="24"/>
        </w:rPr>
        <w:t>行业调节系数。</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其中，某集团）公司、金融资产管理公司、金融投资管理公司等金融企业在综合计算绩效评价得分后，采用其他金融业行业调节系数进行调节。</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第二十五条　为平滑不同年度绩效评价得分的明显波动，财政部根据金融企业报送的资料设定绩效评价年度调节系数。</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金融企业绩效评价年度调节系数以绩效评价年度平均得分为基础，综合考虑年度主要宏观经济指标和会计准则的变化，以及行业盈利状况等因素确定。</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金融企业绩效评价分数（年度调节后）</w:t>
      </w:r>
      <w:r w:rsidRPr="00DD4EFC">
        <w:rPr>
          <w:rFonts w:ascii="SimHei" w:eastAsia="黑体" w:hAnsi="SimHei" w:cs="Arial"/>
          <w:kern w:val="0"/>
          <w:sz w:val="24"/>
          <w:szCs w:val="24"/>
        </w:rPr>
        <w:t>=</w:t>
      </w:r>
      <w:r w:rsidRPr="00DD4EFC">
        <w:rPr>
          <w:rFonts w:ascii="SimHei" w:eastAsia="黑体" w:hAnsi="SimHei" w:cs="Arial"/>
          <w:kern w:val="0"/>
          <w:sz w:val="24"/>
          <w:szCs w:val="24"/>
        </w:rPr>
        <w:t>金融企业绩效评价分数（行业调节后）</w:t>
      </w:r>
      <w:r w:rsidRPr="00DD4EFC">
        <w:rPr>
          <w:rFonts w:ascii="SimHei" w:eastAsia="黑体" w:hAnsi="SimHei" w:cs="Arial"/>
          <w:kern w:val="0"/>
          <w:sz w:val="24"/>
          <w:szCs w:val="24"/>
        </w:rPr>
        <w:t>×</w:t>
      </w:r>
      <w:r w:rsidRPr="00DD4EFC">
        <w:rPr>
          <w:rFonts w:ascii="SimHei" w:eastAsia="黑体" w:hAnsi="SimHei" w:cs="Arial"/>
          <w:kern w:val="0"/>
          <w:sz w:val="24"/>
          <w:szCs w:val="24"/>
        </w:rPr>
        <w:t>年度调节系数。</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第二十六条　绩效评价结果是指根据绩效评价分数及分析得出的评价结论，以评价得分、评价类型和评价级别表示。</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评价得分用百分制表示。年度调节后的金融企业绩效评价分数最高</w:t>
      </w:r>
      <w:r w:rsidRPr="00DD4EFC">
        <w:rPr>
          <w:rFonts w:ascii="SimHei" w:eastAsia="黑体" w:hAnsi="SimHei" w:cs="Arial"/>
          <w:kern w:val="0"/>
          <w:sz w:val="24"/>
          <w:szCs w:val="24"/>
        </w:rPr>
        <w:t>100</w:t>
      </w:r>
      <w:r w:rsidRPr="00DD4EFC">
        <w:rPr>
          <w:rFonts w:ascii="SimHei" w:eastAsia="黑体" w:hAnsi="SimHei" w:cs="Arial"/>
          <w:kern w:val="0"/>
          <w:sz w:val="24"/>
          <w:szCs w:val="24"/>
        </w:rPr>
        <w:t>分。</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评价类型是根据评价分数对企业综合绩效所划分的水平档次，用文字和字母表示，分为优（</w:t>
      </w:r>
      <w:r w:rsidRPr="00DD4EFC">
        <w:rPr>
          <w:rFonts w:ascii="SimHei" w:eastAsia="黑体" w:hAnsi="SimHei" w:cs="Arial"/>
          <w:kern w:val="0"/>
          <w:sz w:val="24"/>
          <w:szCs w:val="24"/>
        </w:rPr>
        <w:t>A</w:t>
      </w:r>
      <w:r w:rsidRPr="00DD4EFC">
        <w:rPr>
          <w:rFonts w:ascii="SimHei" w:eastAsia="黑体" w:hAnsi="SimHei" w:cs="Arial"/>
          <w:kern w:val="0"/>
          <w:sz w:val="24"/>
          <w:szCs w:val="24"/>
        </w:rPr>
        <w:t>）、良（</w:t>
      </w:r>
      <w:r w:rsidRPr="00DD4EFC">
        <w:rPr>
          <w:rFonts w:ascii="SimHei" w:eastAsia="黑体" w:hAnsi="SimHei" w:cs="Arial"/>
          <w:kern w:val="0"/>
          <w:sz w:val="24"/>
          <w:szCs w:val="24"/>
        </w:rPr>
        <w:t>B</w:t>
      </w:r>
      <w:r w:rsidRPr="00DD4EFC">
        <w:rPr>
          <w:rFonts w:ascii="SimHei" w:eastAsia="黑体" w:hAnsi="SimHei" w:cs="Arial"/>
          <w:kern w:val="0"/>
          <w:sz w:val="24"/>
          <w:szCs w:val="24"/>
        </w:rPr>
        <w:t>）、中（</w:t>
      </w:r>
      <w:r w:rsidRPr="00DD4EFC">
        <w:rPr>
          <w:rFonts w:ascii="SimHei" w:eastAsia="黑体" w:hAnsi="SimHei" w:cs="Arial"/>
          <w:kern w:val="0"/>
          <w:sz w:val="24"/>
          <w:szCs w:val="24"/>
        </w:rPr>
        <w:t>C</w:t>
      </w:r>
      <w:r w:rsidRPr="00DD4EFC">
        <w:rPr>
          <w:rFonts w:ascii="SimHei" w:eastAsia="黑体" w:hAnsi="SimHei" w:cs="Arial"/>
          <w:kern w:val="0"/>
          <w:sz w:val="24"/>
          <w:szCs w:val="24"/>
        </w:rPr>
        <w:t>）、低（</w:t>
      </w:r>
      <w:r w:rsidRPr="00DD4EFC">
        <w:rPr>
          <w:rFonts w:ascii="SimHei" w:eastAsia="黑体" w:hAnsi="SimHei" w:cs="Arial"/>
          <w:kern w:val="0"/>
          <w:sz w:val="24"/>
          <w:szCs w:val="24"/>
        </w:rPr>
        <w:t>D</w:t>
      </w:r>
      <w:r w:rsidRPr="00DD4EFC">
        <w:rPr>
          <w:rFonts w:ascii="SimHei" w:eastAsia="黑体" w:hAnsi="SimHei" w:cs="Arial"/>
          <w:kern w:val="0"/>
          <w:sz w:val="24"/>
          <w:szCs w:val="24"/>
        </w:rPr>
        <w:t>）、差（</w:t>
      </w:r>
      <w:r w:rsidRPr="00DD4EFC">
        <w:rPr>
          <w:rFonts w:ascii="SimHei" w:eastAsia="黑体" w:hAnsi="SimHei" w:cs="Arial"/>
          <w:kern w:val="0"/>
          <w:sz w:val="24"/>
          <w:szCs w:val="24"/>
        </w:rPr>
        <w:t>E</w:t>
      </w:r>
      <w:r w:rsidRPr="00DD4EFC">
        <w:rPr>
          <w:rFonts w:ascii="SimHei" w:eastAsia="黑体" w:hAnsi="SimHei" w:cs="Arial"/>
          <w:kern w:val="0"/>
          <w:sz w:val="24"/>
          <w:szCs w:val="24"/>
        </w:rPr>
        <w:t>）五种类型。</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评价级别是对每种类型再划分级次，以体现同</w:t>
      </w:r>
      <w:proofErr w:type="gramStart"/>
      <w:r w:rsidRPr="00DD4EFC">
        <w:rPr>
          <w:rFonts w:ascii="SimHei" w:eastAsia="黑体" w:hAnsi="SimHei" w:cs="Arial"/>
          <w:kern w:val="0"/>
          <w:sz w:val="24"/>
          <w:szCs w:val="24"/>
        </w:rPr>
        <w:t>一评价</w:t>
      </w:r>
      <w:proofErr w:type="gramEnd"/>
      <w:r w:rsidRPr="00DD4EFC">
        <w:rPr>
          <w:rFonts w:ascii="SimHei" w:eastAsia="黑体" w:hAnsi="SimHei" w:cs="Arial"/>
          <w:kern w:val="0"/>
          <w:sz w:val="24"/>
          <w:szCs w:val="24"/>
        </w:rPr>
        <w:t>类型的不同差异，采用在字母后重复标注该字母的方式表示。</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第二十七条　绩效评价结果以</w:t>
      </w:r>
      <w:r w:rsidRPr="00DD4EFC">
        <w:rPr>
          <w:rFonts w:ascii="SimHei" w:eastAsia="黑体" w:hAnsi="SimHei" w:cs="Arial"/>
          <w:kern w:val="0"/>
          <w:sz w:val="24"/>
          <w:szCs w:val="24"/>
        </w:rPr>
        <w:t>80</w:t>
      </w:r>
      <w:r w:rsidRPr="00DD4EFC">
        <w:rPr>
          <w:rFonts w:ascii="SimHei" w:eastAsia="黑体" w:hAnsi="SimHei" w:cs="Arial"/>
          <w:kern w:val="0"/>
          <w:sz w:val="24"/>
          <w:szCs w:val="24"/>
        </w:rPr>
        <w:t>、</w:t>
      </w:r>
      <w:r w:rsidRPr="00DD4EFC">
        <w:rPr>
          <w:rFonts w:ascii="SimHei" w:eastAsia="黑体" w:hAnsi="SimHei" w:cs="Arial"/>
          <w:kern w:val="0"/>
          <w:sz w:val="24"/>
          <w:szCs w:val="24"/>
        </w:rPr>
        <w:t>65</w:t>
      </w:r>
      <w:r w:rsidRPr="00DD4EFC">
        <w:rPr>
          <w:rFonts w:ascii="SimHei" w:eastAsia="黑体" w:hAnsi="SimHei" w:cs="Arial"/>
          <w:kern w:val="0"/>
          <w:sz w:val="24"/>
          <w:szCs w:val="24"/>
        </w:rPr>
        <w:t>、</w:t>
      </w:r>
      <w:r w:rsidRPr="00DD4EFC">
        <w:rPr>
          <w:rFonts w:ascii="SimHei" w:eastAsia="黑体" w:hAnsi="SimHei" w:cs="Arial"/>
          <w:kern w:val="0"/>
          <w:sz w:val="24"/>
          <w:szCs w:val="24"/>
        </w:rPr>
        <w:t>50</w:t>
      </w:r>
      <w:r w:rsidRPr="00DD4EFC">
        <w:rPr>
          <w:rFonts w:ascii="SimHei" w:eastAsia="黑体" w:hAnsi="SimHei" w:cs="Arial"/>
          <w:kern w:val="0"/>
          <w:sz w:val="24"/>
          <w:szCs w:val="24"/>
        </w:rPr>
        <w:t>、</w:t>
      </w:r>
      <w:r w:rsidRPr="00DD4EFC">
        <w:rPr>
          <w:rFonts w:ascii="SimHei" w:eastAsia="黑体" w:hAnsi="SimHei" w:cs="Arial"/>
          <w:kern w:val="0"/>
          <w:sz w:val="24"/>
          <w:szCs w:val="24"/>
        </w:rPr>
        <w:t>40</w:t>
      </w:r>
      <w:r w:rsidRPr="00DD4EFC">
        <w:rPr>
          <w:rFonts w:ascii="SimHei" w:eastAsia="黑体" w:hAnsi="SimHei" w:cs="Arial"/>
          <w:kern w:val="0"/>
          <w:sz w:val="24"/>
          <w:szCs w:val="24"/>
        </w:rPr>
        <w:t>分作为类型判定的分数线。</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（一）评价得分达到</w:t>
      </w:r>
      <w:r w:rsidRPr="00DD4EFC">
        <w:rPr>
          <w:rFonts w:ascii="SimHei" w:eastAsia="黑体" w:hAnsi="SimHei" w:cs="Arial"/>
          <w:kern w:val="0"/>
          <w:sz w:val="24"/>
          <w:szCs w:val="24"/>
        </w:rPr>
        <w:t>80</w:t>
      </w:r>
      <w:r w:rsidRPr="00DD4EFC">
        <w:rPr>
          <w:rFonts w:ascii="SimHei" w:eastAsia="黑体" w:hAnsi="SimHei" w:cs="Arial"/>
          <w:kern w:val="0"/>
          <w:sz w:val="24"/>
          <w:szCs w:val="24"/>
        </w:rPr>
        <w:t>分以上（含</w:t>
      </w:r>
      <w:r w:rsidRPr="00DD4EFC">
        <w:rPr>
          <w:rFonts w:ascii="SimHei" w:eastAsia="黑体" w:hAnsi="SimHei" w:cs="Arial"/>
          <w:kern w:val="0"/>
          <w:sz w:val="24"/>
          <w:szCs w:val="24"/>
        </w:rPr>
        <w:t>80</w:t>
      </w:r>
      <w:r w:rsidRPr="00DD4EFC">
        <w:rPr>
          <w:rFonts w:ascii="SimHei" w:eastAsia="黑体" w:hAnsi="SimHei" w:cs="Arial"/>
          <w:kern w:val="0"/>
          <w:sz w:val="24"/>
          <w:szCs w:val="24"/>
        </w:rPr>
        <w:t>分）的评价类型为优（</w:t>
      </w:r>
      <w:r w:rsidRPr="00DD4EFC">
        <w:rPr>
          <w:rFonts w:ascii="SimHei" w:eastAsia="黑体" w:hAnsi="SimHei" w:cs="Arial"/>
          <w:kern w:val="0"/>
          <w:sz w:val="24"/>
          <w:szCs w:val="24"/>
        </w:rPr>
        <w:t>A</w:t>
      </w:r>
      <w:r w:rsidRPr="00DD4EFC">
        <w:rPr>
          <w:rFonts w:ascii="SimHei" w:eastAsia="黑体" w:hAnsi="SimHei" w:cs="Arial"/>
          <w:kern w:val="0"/>
          <w:sz w:val="24"/>
          <w:szCs w:val="24"/>
        </w:rPr>
        <w:t>），在此基础上划分为</w:t>
      </w:r>
      <w:r w:rsidRPr="00DD4EFC">
        <w:rPr>
          <w:rFonts w:ascii="SimHei" w:eastAsia="黑体" w:hAnsi="SimHei" w:cs="Arial"/>
          <w:kern w:val="0"/>
          <w:sz w:val="24"/>
          <w:szCs w:val="24"/>
        </w:rPr>
        <w:t>3</w:t>
      </w:r>
      <w:r w:rsidRPr="00DD4EFC">
        <w:rPr>
          <w:rFonts w:ascii="SimHei" w:eastAsia="黑体" w:hAnsi="SimHei" w:cs="Arial"/>
          <w:kern w:val="0"/>
          <w:sz w:val="24"/>
          <w:szCs w:val="24"/>
        </w:rPr>
        <w:t>个级别，分别为：</w:t>
      </w:r>
      <w:r w:rsidRPr="00DD4EFC">
        <w:rPr>
          <w:rFonts w:ascii="SimHei" w:eastAsia="黑体" w:hAnsi="SimHei" w:cs="Arial"/>
          <w:kern w:val="0"/>
          <w:sz w:val="24"/>
          <w:szCs w:val="24"/>
        </w:rPr>
        <w:t>AAA≥90</w:t>
      </w:r>
      <w:r w:rsidRPr="00DD4EFC">
        <w:rPr>
          <w:rFonts w:ascii="SimHei" w:eastAsia="黑体" w:hAnsi="SimHei" w:cs="Arial"/>
          <w:kern w:val="0"/>
          <w:sz w:val="24"/>
          <w:szCs w:val="24"/>
        </w:rPr>
        <w:t>分；</w:t>
      </w:r>
      <w:r w:rsidRPr="00DD4EFC">
        <w:rPr>
          <w:rFonts w:ascii="SimHei" w:eastAsia="黑体" w:hAnsi="SimHei" w:cs="Arial"/>
          <w:kern w:val="0"/>
          <w:sz w:val="24"/>
          <w:szCs w:val="24"/>
        </w:rPr>
        <w:t>90</w:t>
      </w:r>
      <w:r w:rsidRPr="00DD4EFC">
        <w:rPr>
          <w:rFonts w:ascii="SimHei" w:eastAsia="黑体" w:hAnsi="SimHei" w:cs="Arial"/>
          <w:kern w:val="0"/>
          <w:sz w:val="24"/>
          <w:szCs w:val="24"/>
        </w:rPr>
        <w:t>分＞</w:t>
      </w:r>
      <w:r w:rsidRPr="00DD4EFC">
        <w:rPr>
          <w:rFonts w:ascii="SimHei" w:eastAsia="黑体" w:hAnsi="SimHei" w:cs="Arial"/>
          <w:kern w:val="0"/>
          <w:sz w:val="24"/>
          <w:szCs w:val="24"/>
        </w:rPr>
        <w:t>AA≥85</w:t>
      </w:r>
      <w:r w:rsidRPr="00DD4EFC">
        <w:rPr>
          <w:rFonts w:ascii="SimHei" w:eastAsia="黑体" w:hAnsi="SimHei" w:cs="Arial"/>
          <w:kern w:val="0"/>
          <w:sz w:val="24"/>
          <w:szCs w:val="24"/>
        </w:rPr>
        <w:t>分；</w:t>
      </w:r>
      <w:r w:rsidRPr="00DD4EFC">
        <w:rPr>
          <w:rFonts w:ascii="SimHei" w:eastAsia="黑体" w:hAnsi="SimHei" w:cs="Arial"/>
          <w:kern w:val="0"/>
          <w:sz w:val="24"/>
          <w:szCs w:val="24"/>
        </w:rPr>
        <w:t>85</w:t>
      </w:r>
      <w:r w:rsidRPr="00DD4EFC">
        <w:rPr>
          <w:rFonts w:ascii="SimHei" w:eastAsia="黑体" w:hAnsi="SimHei" w:cs="Arial"/>
          <w:kern w:val="0"/>
          <w:sz w:val="24"/>
          <w:szCs w:val="24"/>
        </w:rPr>
        <w:t>分＞</w:t>
      </w:r>
      <w:r w:rsidRPr="00DD4EFC">
        <w:rPr>
          <w:rFonts w:ascii="SimHei" w:eastAsia="黑体" w:hAnsi="SimHei" w:cs="Arial"/>
          <w:kern w:val="0"/>
          <w:sz w:val="24"/>
          <w:szCs w:val="24"/>
        </w:rPr>
        <w:t>A≥80</w:t>
      </w:r>
      <w:r w:rsidRPr="00DD4EFC">
        <w:rPr>
          <w:rFonts w:ascii="SimHei" w:eastAsia="黑体" w:hAnsi="SimHei" w:cs="Arial"/>
          <w:kern w:val="0"/>
          <w:sz w:val="24"/>
          <w:szCs w:val="24"/>
        </w:rPr>
        <w:t>分。</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（二）评价得分达到</w:t>
      </w:r>
      <w:r w:rsidRPr="00DD4EFC">
        <w:rPr>
          <w:rFonts w:ascii="SimHei" w:eastAsia="黑体" w:hAnsi="SimHei" w:cs="Arial"/>
          <w:kern w:val="0"/>
          <w:sz w:val="24"/>
          <w:szCs w:val="24"/>
        </w:rPr>
        <w:t>65</w:t>
      </w:r>
      <w:r w:rsidRPr="00DD4EFC">
        <w:rPr>
          <w:rFonts w:ascii="SimHei" w:eastAsia="黑体" w:hAnsi="SimHei" w:cs="Arial"/>
          <w:kern w:val="0"/>
          <w:sz w:val="24"/>
          <w:szCs w:val="24"/>
        </w:rPr>
        <w:t>分以上（含</w:t>
      </w:r>
      <w:r w:rsidRPr="00DD4EFC">
        <w:rPr>
          <w:rFonts w:ascii="SimHei" w:eastAsia="黑体" w:hAnsi="SimHei" w:cs="Arial"/>
          <w:kern w:val="0"/>
          <w:sz w:val="24"/>
          <w:szCs w:val="24"/>
        </w:rPr>
        <w:t>65</w:t>
      </w:r>
      <w:r w:rsidRPr="00DD4EFC">
        <w:rPr>
          <w:rFonts w:ascii="SimHei" w:eastAsia="黑体" w:hAnsi="SimHei" w:cs="Arial"/>
          <w:kern w:val="0"/>
          <w:sz w:val="24"/>
          <w:szCs w:val="24"/>
        </w:rPr>
        <w:t>分）不足</w:t>
      </w:r>
      <w:r w:rsidRPr="00DD4EFC">
        <w:rPr>
          <w:rFonts w:ascii="SimHei" w:eastAsia="黑体" w:hAnsi="SimHei" w:cs="Arial"/>
          <w:kern w:val="0"/>
          <w:sz w:val="24"/>
          <w:szCs w:val="24"/>
        </w:rPr>
        <w:t>80</w:t>
      </w:r>
      <w:r w:rsidRPr="00DD4EFC">
        <w:rPr>
          <w:rFonts w:ascii="SimHei" w:eastAsia="黑体" w:hAnsi="SimHei" w:cs="Arial"/>
          <w:kern w:val="0"/>
          <w:sz w:val="24"/>
          <w:szCs w:val="24"/>
        </w:rPr>
        <w:t>分的评价类型为良（</w:t>
      </w:r>
      <w:r w:rsidRPr="00DD4EFC">
        <w:rPr>
          <w:rFonts w:ascii="SimHei" w:eastAsia="黑体" w:hAnsi="SimHei" w:cs="Arial"/>
          <w:kern w:val="0"/>
          <w:sz w:val="24"/>
          <w:szCs w:val="24"/>
        </w:rPr>
        <w:t>B</w:t>
      </w:r>
      <w:r w:rsidRPr="00DD4EFC">
        <w:rPr>
          <w:rFonts w:ascii="SimHei" w:eastAsia="黑体" w:hAnsi="SimHei" w:cs="Arial"/>
          <w:kern w:val="0"/>
          <w:sz w:val="24"/>
          <w:szCs w:val="24"/>
        </w:rPr>
        <w:t>），在此基础上划分为</w:t>
      </w:r>
      <w:r w:rsidRPr="00DD4EFC">
        <w:rPr>
          <w:rFonts w:ascii="SimHei" w:eastAsia="黑体" w:hAnsi="SimHei" w:cs="Arial"/>
          <w:kern w:val="0"/>
          <w:sz w:val="24"/>
          <w:szCs w:val="24"/>
        </w:rPr>
        <w:t>3</w:t>
      </w:r>
      <w:r w:rsidRPr="00DD4EFC">
        <w:rPr>
          <w:rFonts w:ascii="SimHei" w:eastAsia="黑体" w:hAnsi="SimHei" w:cs="Arial"/>
          <w:kern w:val="0"/>
          <w:sz w:val="24"/>
          <w:szCs w:val="24"/>
        </w:rPr>
        <w:t>个级别，分别为：</w:t>
      </w:r>
      <w:r w:rsidRPr="00DD4EFC">
        <w:rPr>
          <w:rFonts w:ascii="SimHei" w:eastAsia="黑体" w:hAnsi="SimHei" w:cs="Arial"/>
          <w:kern w:val="0"/>
          <w:sz w:val="24"/>
          <w:szCs w:val="24"/>
        </w:rPr>
        <w:t>80</w:t>
      </w:r>
      <w:r w:rsidRPr="00DD4EFC">
        <w:rPr>
          <w:rFonts w:ascii="SimHei" w:eastAsia="黑体" w:hAnsi="SimHei" w:cs="Arial"/>
          <w:kern w:val="0"/>
          <w:sz w:val="24"/>
          <w:szCs w:val="24"/>
        </w:rPr>
        <w:t>分＞</w:t>
      </w:r>
      <w:r w:rsidRPr="00DD4EFC">
        <w:rPr>
          <w:rFonts w:ascii="SimHei" w:eastAsia="黑体" w:hAnsi="SimHei" w:cs="Arial"/>
          <w:kern w:val="0"/>
          <w:sz w:val="24"/>
          <w:szCs w:val="24"/>
        </w:rPr>
        <w:t>BBB≥75</w:t>
      </w:r>
      <w:r w:rsidRPr="00DD4EFC">
        <w:rPr>
          <w:rFonts w:ascii="SimHei" w:eastAsia="黑体" w:hAnsi="SimHei" w:cs="Arial"/>
          <w:kern w:val="0"/>
          <w:sz w:val="24"/>
          <w:szCs w:val="24"/>
        </w:rPr>
        <w:t>分；</w:t>
      </w:r>
      <w:r w:rsidRPr="00DD4EFC">
        <w:rPr>
          <w:rFonts w:ascii="SimHei" w:eastAsia="黑体" w:hAnsi="SimHei" w:cs="Arial"/>
          <w:kern w:val="0"/>
          <w:sz w:val="24"/>
          <w:szCs w:val="24"/>
        </w:rPr>
        <w:t>75</w:t>
      </w:r>
      <w:r w:rsidRPr="00DD4EFC">
        <w:rPr>
          <w:rFonts w:ascii="SimHei" w:eastAsia="黑体" w:hAnsi="SimHei" w:cs="Arial"/>
          <w:kern w:val="0"/>
          <w:sz w:val="24"/>
          <w:szCs w:val="24"/>
        </w:rPr>
        <w:t>分＞</w:t>
      </w:r>
      <w:r w:rsidRPr="00DD4EFC">
        <w:rPr>
          <w:rFonts w:ascii="SimHei" w:eastAsia="黑体" w:hAnsi="SimHei" w:cs="Arial"/>
          <w:kern w:val="0"/>
          <w:sz w:val="24"/>
          <w:szCs w:val="24"/>
        </w:rPr>
        <w:t>BB≥70</w:t>
      </w:r>
      <w:r w:rsidRPr="00DD4EFC">
        <w:rPr>
          <w:rFonts w:ascii="SimHei" w:eastAsia="黑体" w:hAnsi="SimHei" w:cs="Arial"/>
          <w:kern w:val="0"/>
          <w:sz w:val="24"/>
          <w:szCs w:val="24"/>
        </w:rPr>
        <w:t>分；</w:t>
      </w:r>
      <w:r w:rsidRPr="00DD4EFC">
        <w:rPr>
          <w:rFonts w:ascii="SimHei" w:eastAsia="黑体" w:hAnsi="SimHei" w:cs="Arial"/>
          <w:kern w:val="0"/>
          <w:sz w:val="24"/>
          <w:szCs w:val="24"/>
        </w:rPr>
        <w:t>70</w:t>
      </w:r>
      <w:r w:rsidRPr="00DD4EFC">
        <w:rPr>
          <w:rFonts w:ascii="SimHei" w:eastAsia="黑体" w:hAnsi="SimHei" w:cs="Arial"/>
          <w:kern w:val="0"/>
          <w:sz w:val="24"/>
          <w:szCs w:val="24"/>
        </w:rPr>
        <w:t>分＞</w:t>
      </w:r>
      <w:r w:rsidRPr="00DD4EFC">
        <w:rPr>
          <w:rFonts w:ascii="SimHei" w:eastAsia="黑体" w:hAnsi="SimHei" w:cs="Arial"/>
          <w:kern w:val="0"/>
          <w:sz w:val="24"/>
          <w:szCs w:val="24"/>
        </w:rPr>
        <w:t>B≥65</w:t>
      </w:r>
      <w:r w:rsidRPr="00DD4EFC">
        <w:rPr>
          <w:rFonts w:ascii="SimHei" w:eastAsia="黑体" w:hAnsi="SimHei" w:cs="Arial"/>
          <w:kern w:val="0"/>
          <w:sz w:val="24"/>
          <w:szCs w:val="24"/>
        </w:rPr>
        <w:t>分。</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（三）评价得分达到</w:t>
      </w:r>
      <w:r w:rsidRPr="00DD4EFC">
        <w:rPr>
          <w:rFonts w:ascii="SimHei" w:eastAsia="黑体" w:hAnsi="SimHei" w:cs="Arial"/>
          <w:kern w:val="0"/>
          <w:sz w:val="24"/>
          <w:szCs w:val="24"/>
        </w:rPr>
        <w:t>50</w:t>
      </w:r>
      <w:r w:rsidRPr="00DD4EFC">
        <w:rPr>
          <w:rFonts w:ascii="SimHei" w:eastAsia="黑体" w:hAnsi="SimHei" w:cs="Arial"/>
          <w:kern w:val="0"/>
          <w:sz w:val="24"/>
          <w:szCs w:val="24"/>
        </w:rPr>
        <w:t>分以上（含</w:t>
      </w:r>
      <w:r w:rsidRPr="00DD4EFC">
        <w:rPr>
          <w:rFonts w:ascii="SimHei" w:eastAsia="黑体" w:hAnsi="SimHei" w:cs="Arial"/>
          <w:kern w:val="0"/>
          <w:sz w:val="24"/>
          <w:szCs w:val="24"/>
        </w:rPr>
        <w:t>50</w:t>
      </w:r>
      <w:r w:rsidRPr="00DD4EFC">
        <w:rPr>
          <w:rFonts w:ascii="SimHei" w:eastAsia="黑体" w:hAnsi="SimHei" w:cs="Arial"/>
          <w:kern w:val="0"/>
          <w:sz w:val="24"/>
          <w:szCs w:val="24"/>
        </w:rPr>
        <w:t>分）不足</w:t>
      </w:r>
      <w:r w:rsidRPr="00DD4EFC">
        <w:rPr>
          <w:rFonts w:ascii="SimHei" w:eastAsia="黑体" w:hAnsi="SimHei" w:cs="Arial"/>
          <w:kern w:val="0"/>
          <w:sz w:val="24"/>
          <w:szCs w:val="24"/>
        </w:rPr>
        <w:t>65</w:t>
      </w:r>
      <w:r w:rsidRPr="00DD4EFC">
        <w:rPr>
          <w:rFonts w:ascii="SimHei" w:eastAsia="黑体" w:hAnsi="SimHei" w:cs="Arial"/>
          <w:kern w:val="0"/>
          <w:sz w:val="24"/>
          <w:szCs w:val="24"/>
        </w:rPr>
        <w:t>分的评价类型为中（</w:t>
      </w:r>
      <w:r w:rsidRPr="00DD4EFC">
        <w:rPr>
          <w:rFonts w:ascii="SimHei" w:eastAsia="黑体" w:hAnsi="SimHei" w:cs="Arial"/>
          <w:kern w:val="0"/>
          <w:sz w:val="24"/>
          <w:szCs w:val="24"/>
        </w:rPr>
        <w:t>C</w:t>
      </w:r>
      <w:r w:rsidRPr="00DD4EFC">
        <w:rPr>
          <w:rFonts w:ascii="SimHei" w:eastAsia="黑体" w:hAnsi="SimHei" w:cs="Arial"/>
          <w:kern w:val="0"/>
          <w:sz w:val="24"/>
          <w:szCs w:val="24"/>
        </w:rPr>
        <w:t>），在此基础上划分为</w:t>
      </w:r>
      <w:r w:rsidRPr="00DD4EFC">
        <w:rPr>
          <w:rFonts w:ascii="SimHei" w:eastAsia="黑体" w:hAnsi="SimHei" w:cs="Arial"/>
          <w:kern w:val="0"/>
          <w:sz w:val="24"/>
          <w:szCs w:val="24"/>
        </w:rPr>
        <w:t>2</w:t>
      </w:r>
      <w:r w:rsidRPr="00DD4EFC">
        <w:rPr>
          <w:rFonts w:ascii="SimHei" w:eastAsia="黑体" w:hAnsi="SimHei" w:cs="Arial"/>
          <w:kern w:val="0"/>
          <w:sz w:val="24"/>
          <w:szCs w:val="24"/>
        </w:rPr>
        <w:t>个级别，分别为：</w:t>
      </w:r>
      <w:r w:rsidRPr="00DD4EFC">
        <w:rPr>
          <w:rFonts w:ascii="SimHei" w:eastAsia="黑体" w:hAnsi="SimHei" w:cs="Arial"/>
          <w:kern w:val="0"/>
          <w:sz w:val="24"/>
          <w:szCs w:val="24"/>
        </w:rPr>
        <w:t>65</w:t>
      </w:r>
      <w:r w:rsidRPr="00DD4EFC">
        <w:rPr>
          <w:rFonts w:ascii="SimHei" w:eastAsia="黑体" w:hAnsi="SimHei" w:cs="Arial"/>
          <w:kern w:val="0"/>
          <w:sz w:val="24"/>
          <w:szCs w:val="24"/>
        </w:rPr>
        <w:t>分＞</w:t>
      </w:r>
      <w:r w:rsidRPr="00DD4EFC">
        <w:rPr>
          <w:rFonts w:ascii="SimHei" w:eastAsia="黑体" w:hAnsi="SimHei" w:cs="Arial"/>
          <w:kern w:val="0"/>
          <w:sz w:val="24"/>
          <w:szCs w:val="24"/>
        </w:rPr>
        <w:t>CC≥60</w:t>
      </w:r>
      <w:r w:rsidRPr="00DD4EFC">
        <w:rPr>
          <w:rFonts w:ascii="SimHei" w:eastAsia="黑体" w:hAnsi="SimHei" w:cs="Arial"/>
          <w:kern w:val="0"/>
          <w:sz w:val="24"/>
          <w:szCs w:val="24"/>
        </w:rPr>
        <w:t>分；</w:t>
      </w:r>
      <w:r w:rsidRPr="00DD4EFC">
        <w:rPr>
          <w:rFonts w:ascii="SimHei" w:eastAsia="黑体" w:hAnsi="SimHei" w:cs="Arial"/>
          <w:kern w:val="0"/>
          <w:sz w:val="24"/>
          <w:szCs w:val="24"/>
        </w:rPr>
        <w:t>60</w:t>
      </w:r>
      <w:r w:rsidRPr="00DD4EFC">
        <w:rPr>
          <w:rFonts w:ascii="SimHei" w:eastAsia="黑体" w:hAnsi="SimHei" w:cs="Arial"/>
          <w:kern w:val="0"/>
          <w:sz w:val="24"/>
          <w:szCs w:val="24"/>
        </w:rPr>
        <w:t>分＞</w:t>
      </w:r>
      <w:r w:rsidRPr="00DD4EFC">
        <w:rPr>
          <w:rFonts w:ascii="SimHei" w:eastAsia="黑体" w:hAnsi="SimHei" w:cs="Arial"/>
          <w:kern w:val="0"/>
          <w:sz w:val="24"/>
          <w:szCs w:val="24"/>
        </w:rPr>
        <w:t>C≥50</w:t>
      </w:r>
      <w:r w:rsidRPr="00DD4EFC">
        <w:rPr>
          <w:rFonts w:ascii="SimHei" w:eastAsia="黑体" w:hAnsi="SimHei" w:cs="Arial"/>
          <w:kern w:val="0"/>
          <w:sz w:val="24"/>
          <w:szCs w:val="24"/>
        </w:rPr>
        <w:t>分。</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（四）评价得分在</w:t>
      </w:r>
      <w:r w:rsidRPr="00DD4EFC">
        <w:rPr>
          <w:rFonts w:ascii="SimHei" w:eastAsia="黑体" w:hAnsi="SimHei" w:cs="Arial"/>
          <w:kern w:val="0"/>
          <w:sz w:val="24"/>
          <w:szCs w:val="24"/>
        </w:rPr>
        <w:t>40</w:t>
      </w:r>
      <w:r w:rsidRPr="00DD4EFC">
        <w:rPr>
          <w:rFonts w:ascii="SimHei" w:eastAsia="黑体" w:hAnsi="SimHei" w:cs="Arial"/>
          <w:kern w:val="0"/>
          <w:sz w:val="24"/>
          <w:szCs w:val="24"/>
        </w:rPr>
        <w:t>分以上（含</w:t>
      </w:r>
      <w:r w:rsidRPr="00DD4EFC">
        <w:rPr>
          <w:rFonts w:ascii="SimHei" w:eastAsia="黑体" w:hAnsi="SimHei" w:cs="Arial"/>
          <w:kern w:val="0"/>
          <w:sz w:val="24"/>
          <w:szCs w:val="24"/>
        </w:rPr>
        <w:t>40</w:t>
      </w:r>
      <w:r w:rsidRPr="00DD4EFC">
        <w:rPr>
          <w:rFonts w:ascii="SimHei" w:eastAsia="黑体" w:hAnsi="SimHei" w:cs="Arial"/>
          <w:kern w:val="0"/>
          <w:sz w:val="24"/>
          <w:szCs w:val="24"/>
        </w:rPr>
        <w:t>分）不足</w:t>
      </w:r>
      <w:r w:rsidRPr="00DD4EFC">
        <w:rPr>
          <w:rFonts w:ascii="SimHei" w:eastAsia="黑体" w:hAnsi="SimHei" w:cs="Arial"/>
          <w:kern w:val="0"/>
          <w:sz w:val="24"/>
          <w:szCs w:val="24"/>
        </w:rPr>
        <w:t>50</w:t>
      </w:r>
      <w:r w:rsidRPr="00DD4EFC">
        <w:rPr>
          <w:rFonts w:ascii="SimHei" w:eastAsia="黑体" w:hAnsi="SimHei" w:cs="Arial"/>
          <w:kern w:val="0"/>
          <w:sz w:val="24"/>
          <w:szCs w:val="24"/>
        </w:rPr>
        <w:t>分的评价类型为低（</w:t>
      </w:r>
      <w:r w:rsidRPr="00DD4EFC">
        <w:rPr>
          <w:rFonts w:ascii="SimHei" w:eastAsia="黑体" w:hAnsi="SimHei" w:cs="Arial"/>
          <w:kern w:val="0"/>
          <w:sz w:val="24"/>
          <w:szCs w:val="24"/>
        </w:rPr>
        <w:t>D</w:t>
      </w:r>
      <w:r w:rsidRPr="00DD4EFC">
        <w:rPr>
          <w:rFonts w:ascii="SimHei" w:eastAsia="黑体" w:hAnsi="SimHei" w:cs="Arial"/>
          <w:kern w:val="0"/>
          <w:sz w:val="24"/>
          <w:szCs w:val="24"/>
        </w:rPr>
        <w:t>）。</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（五）评价得分在</w:t>
      </w:r>
      <w:r w:rsidRPr="00DD4EFC">
        <w:rPr>
          <w:rFonts w:ascii="SimHei" w:eastAsia="黑体" w:hAnsi="SimHei" w:cs="Arial"/>
          <w:kern w:val="0"/>
          <w:sz w:val="24"/>
          <w:szCs w:val="24"/>
        </w:rPr>
        <w:t>40</w:t>
      </w:r>
      <w:r w:rsidRPr="00DD4EFC">
        <w:rPr>
          <w:rFonts w:ascii="SimHei" w:eastAsia="黑体" w:hAnsi="SimHei" w:cs="Arial"/>
          <w:kern w:val="0"/>
          <w:sz w:val="24"/>
          <w:szCs w:val="24"/>
        </w:rPr>
        <w:t>分以下的评价类型为差（</w:t>
      </w:r>
      <w:r w:rsidRPr="00DD4EFC">
        <w:rPr>
          <w:rFonts w:ascii="SimHei" w:eastAsia="黑体" w:hAnsi="SimHei" w:cs="Arial"/>
          <w:kern w:val="0"/>
          <w:sz w:val="24"/>
          <w:szCs w:val="24"/>
        </w:rPr>
        <w:t>E</w:t>
      </w:r>
      <w:r w:rsidRPr="00DD4EFC">
        <w:rPr>
          <w:rFonts w:ascii="SimHei" w:eastAsia="黑体" w:hAnsi="SimHei" w:cs="Arial"/>
          <w:kern w:val="0"/>
          <w:sz w:val="24"/>
          <w:szCs w:val="24"/>
        </w:rPr>
        <w:t>）。</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第二十八条</w:t>
      </w:r>
      <w:r w:rsidRPr="00DD4EFC">
        <w:rPr>
          <w:rFonts w:ascii="SimHei" w:eastAsia="黑体" w:hAnsi="SimHei" w:cs="Arial"/>
          <w:kern w:val="0"/>
          <w:sz w:val="24"/>
          <w:szCs w:val="24"/>
        </w:rPr>
        <w:t xml:space="preserve"> </w:t>
      </w:r>
      <w:r w:rsidRPr="00DD4EFC">
        <w:rPr>
          <w:rFonts w:ascii="SimHei" w:eastAsia="黑体" w:hAnsi="SimHei" w:cs="Arial"/>
          <w:kern w:val="0"/>
          <w:sz w:val="24"/>
          <w:szCs w:val="24"/>
        </w:rPr>
        <w:t>金融企业绩效评价报告是根据评价结果编制、反映被评价金融企业绩效状况的文本文件。</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财政部门在收到金融企业的绩效评价材料后，按规定填列计算《金融企业绩效评价基础数据调整表》、《金融企业绩效评价加减分事项表》和《金融企业绩效评价结果计分表》（附</w:t>
      </w:r>
      <w:r w:rsidRPr="00DD4EFC">
        <w:rPr>
          <w:rFonts w:ascii="SimHei" w:eastAsia="黑体" w:hAnsi="SimHei" w:cs="Arial"/>
          <w:kern w:val="0"/>
          <w:sz w:val="24"/>
          <w:szCs w:val="24"/>
        </w:rPr>
        <w:t>3</w:t>
      </w:r>
      <w:r w:rsidRPr="00DD4EFC">
        <w:rPr>
          <w:rFonts w:ascii="SimHei" w:eastAsia="黑体" w:hAnsi="SimHei" w:cs="Arial"/>
          <w:kern w:val="0"/>
          <w:sz w:val="24"/>
          <w:szCs w:val="24"/>
        </w:rPr>
        <w:t>、附</w:t>
      </w:r>
      <w:r w:rsidRPr="00DD4EFC">
        <w:rPr>
          <w:rFonts w:ascii="SimHei" w:eastAsia="黑体" w:hAnsi="SimHei" w:cs="Arial"/>
          <w:kern w:val="0"/>
          <w:sz w:val="24"/>
          <w:szCs w:val="24"/>
        </w:rPr>
        <w:t>4</w:t>
      </w:r>
      <w:r w:rsidRPr="00DD4EFC">
        <w:rPr>
          <w:rFonts w:ascii="SimHei" w:eastAsia="黑体" w:hAnsi="SimHei" w:cs="Arial"/>
          <w:kern w:val="0"/>
          <w:sz w:val="24"/>
          <w:szCs w:val="24"/>
        </w:rPr>
        <w:t>、附</w:t>
      </w:r>
      <w:r w:rsidRPr="00DD4EFC">
        <w:rPr>
          <w:rFonts w:ascii="SimHei" w:eastAsia="黑体" w:hAnsi="SimHei" w:cs="Arial"/>
          <w:kern w:val="0"/>
          <w:sz w:val="24"/>
          <w:szCs w:val="24"/>
        </w:rPr>
        <w:t>5</w:t>
      </w:r>
      <w:r w:rsidRPr="00DD4EFC">
        <w:rPr>
          <w:rFonts w:ascii="SimHei" w:eastAsia="黑体" w:hAnsi="SimHei" w:cs="Arial"/>
          <w:kern w:val="0"/>
          <w:sz w:val="24"/>
          <w:szCs w:val="24"/>
        </w:rPr>
        <w:t>、附</w:t>
      </w:r>
      <w:r w:rsidRPr="00DD4EFC">
        <w:rPr>
          <w:rFonts w:ascii="SimHei" w:eastAsia="黑体" w:hAnsi="SimHei" w:cs="Arial"/>
          <w:kern w:val="0"/>
          <w:sz w:val="24"/>
          <w:szCs w:val="24"/>
        </w:rPr>
        <w:t>6</w:t>
      </w:r>
      <w:r w:rsidRPr="00DD4EFC">
        <w:rPr>
          <w:rFonts w:ascii="SimHei" w:eastAsia="黑体" w:hAnsi="SimHei" w:cs="Arial"/>
          <w:kern w:val="0"/>
          <w:sz w:val="24"/>
          <w:szCs w:val="24"/>
        </w:rPr>
        <w:t>），并及时将金融企业绩效评价结果反馈给金融企业及相关部门。</w:t>
      </w:r>
      <w:r w:rsidRPr="00DD4EFC">
        <w:rPr>
          <w:rFonts w:ascii="SimHei" w:eastAsia="黑体" w:hAnsi="SimHei" w:cs="Arial"/>
          <w:kern w:val="0"/>
          <w:sz w:val="24"/>
          <w:szCs w:val="24"/>
        </w:rPr>
        <w:t xml:space="preserve"> </w:t>
      </w:r>
    </w:p>
    <w:p w:rsidR="00DD4EFC" w:rsidRPr="00DD4EFC" w:rsidRDefault="00DD4EFC" w:rsidP="00C362DE">
      <w:pPr>
        <w:widowControl/>
        <w:spacing w:before="100" w:beforeAutospacing="1" w:after="100" w:afterAutospacing="1" w:line="432" w:lineRule="auto"/>
        <w:jc w:val="center"/>
        <w:rPr>
          <w:rFonts w:ascii="Arial" w:eastAsia="宋体" w:hAnsi="Arial" w:cs="Arial"/>
          <w:kern w:val="0"/>
          <w:sz w:val="24"/>
          <w:szCs w:val="24"/>
        </w:rPr>
      </w:pPr>
      <w:r w:rsidRPr="00DD4EFC">
        <w:rPr>
          <w:rFonts w:ascii="SimHei" w:eastAsia="黑体" w:hAnsi="SimHei" w:cs="Arial"/>
          <w:b/>
          <w:bCs/>
          <w:kern w:val="0"/>
          <w:sz w:val="24"/>
          <w:szCs w:val="24"/>
        </w:rPr>
        <w:t>第六章　工作要求与责任</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第二十九条</w:t>
      </w:r>
      <w:r w:rsidRPr="00DD4EFC">
        <w:rPr>
          <w:rFonts w:ascii="SimHei" w:eastAsia="黑体" w:hAnsi="SimHei" w:cs="Arial"/>
          <w:kern w:val="0"/>
          <w:sz w:val="24"/>
          <w:szCs w:val="24"/>
        </w:rPr>
        <w:t xml:space="preserve"> </w:t>
      </w:r>
      <w:r w:rsidRPr="00DD4EFC">
        <w:rPr>
          <w:rFonts w:ascii="SimHei" w:eastAsia="黑体" w:hAnsi="SimHei" w:cs="Arial"/>
          <w:kern w:val="0"/>
          <w:sz w:val="24"/>
          <w:szCs w:val="24"/>
        </w:rPr>
        <w:t>中央管理金融企业应当于每年</w:t>
      </w:r>
      <w:r w:rsidRPr="00DD4EFC">
        <w:rPr>
          <w:rFonts w:ascii="SimHei" w:eastAsia="黑体" w:hAnsi="SimHei" w:cs="Arial"/>
          <w:kern w:val="0"/>
          <w:sz w:val="24"/>
          <w:szCs w:val="24"/>
        </w:rPr>
        <w:t>5</w:t>
      </w:r>
      <w:r w:rsidRPr="00DD4EFC">
        <w:rPr>
          <w:rFonts w:ascii="SimHei" w:eastAsia="黑体" w:hAnsi="SimHei" w:cs="Arial"/>
          <w:kern w:val="0"/>
          <w:sz w:val="24"/>
          <w:szCs w:val="24"/>
        </w:rPr>
        <w:t>月</w:t>
      </w:r>
      <w:r w:rsidRPr="00DD4EFC">
        <w:rPr>
          <w:rFonts w:ascii="SimHei" w:eastAsia="黑体" w:hAnsi="SimHei" w:cs="Arial"/>
          <w:kern w:val="0"/>
          <w:sz w:val="24"/>
          <w:szCs w:val="24"/>
        </w:rPr>
        <w:t>15</w:t>
      </w:r>
      <w:r w:rsidRPr="00DD4EFC">
        <w:rPr>
          <w:rFonts w:ascii="SimHei" w:eastAsia="黑体" w:hAnsi="SimHei" w:cs="Arial"/>
          <w:kern w:val="0"/>
          <w:sz w:val="24"/>
          <w:szCs w:val="24"/>
        </w:rPr>
        <w:t>日前，一式两份向财政部报送上一年度绩效评价的基础数据资料、对基础数据进行调整的说明等材料。</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第三十条</w:t>
      </w:r>
      <w:r w:rsidRPr="00DD4EFC">
        <w:rPr>
          <w:rFonts w:ascii="SimHei" w:eastAsia="黑体" w:hAnsi="SimHei" w:cs="Arial"/>
          <w:kern w:val="0"/>
          <w:sz w:val="24"/>
          <w:szCs w:val="24"/>
        </w:rPr>
        <w:t xml:space="preserve"> </w:t>
      </w:r>
      <w:r w:rsidRPr="00DD4EFC">
        <w:rPr>
          <w:rFonts w:ascii="SimHei" w:eastAsia="黑体" w:hAnsi="SimHei" w:cs="Arial"/>
          <w:kern w:val="0"/>
          <w:sz w:val="24"/>
          <w:szCs w:val="24"/>
        </w:rPr>
        <w:t>地方金融企业向本级财政部门报送绩效评价材料的具体内容和时间要求，由省级财政部门确定。</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第三十一条</w:t>
      </w:r>
      <w:r w:rsidRPr="00DD4EFC">
        <w:rPr>
          <w:rFonts w:ascii="SimHei" w:eastAsia="黑体" w:hAnsi="SimHei" w:cs="Arial"/>
          <w:kern w:val="0"/>
          <w:sz w:val="24"/>
          <w:szCs w:val="24"/>
        </w:rPr>
        <w:t xml:space="preserve"> </w:t>
      </w:r>
      <w:r w:rsidRPr="00DD4EFC">
        <w:rPr>
          <w:rFonts w:ascii="SimHei" w:eastAsia="黑体" w:hAnsi="SimHei" w:cs="Arial"/>
          <w:kern w:val="0"/>
          <w:sz w:val="24"/>
          <w:szCs w:val="24"/>
        </w:rPr>
        <w:t>金融企业应当提供真实、全面的绩效评价基础数据资料，金融企业主要负责人、总会计师或主管财务会计工作的负责人应当对提供的年度财务会计报告和相关评价基础资料的真实性、完整性负责。</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金融企业在报送绩效评价材料中，存在故意漏报、瞒报以及提供虚假材料等情况的，由本级财政部门责令限期改正，并给予警告。</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第三十二条</w:t>
      </w:r>
      <w:r w:rsidRPr="00DD4EFC">
        <w:rPr>
          <w:rFonts w:ascii="SimHei" w:eastAsia="黑体" w:hAnsi="SimHei" w:cs="Arial"/>
          <w:kern w:val="0"/>
          <w:sz w:val="24"/>
          <w:szCs w:val="24"/>
        </w:rPr>
        <w:t xml:space="preserve"> </w:t>
      </w:r>
      <w:r w:rsidRPr="00DD4EFC">
        <w:rPr>
          <w:rFonts w:ascii="SimHei" w:eastAsia="黑体" w:hAnsi="SimHei" w:cs="Arial"/>
          <w:kern w:val="0"/>
          <w:sz w:val="24"/>
          <w:szCs w:val="24"/>
        </w:rPr>
        <w:t>中央管理金融企业和省级财政部门应当根据《金融企业国有资本保值增值结果确认暂行办法》（财政部令第</w:t>
      </w:r>
      <w:r w:rsidRPr="00DD4EFC">
        <w:rPr>
          <w:rFonts w:ascii="SimHei" w:eastAsia="黑体" w:hAnsi="SimHei" w:cs="Arial"/>
          <w:kern w:val="0"/>
          <w:sz w:val="24"/>
          <w:szCs w:val="24"/>
        </w:rPr>
        <w:t>43</w:t>
      </w:r>
      <w:r w:rsidRPr="00DD4EFC">
        <w:rPr>
          <w:rFonts w:ascii="SimHei" w:eastAsia="黑体" w:hAnsi="SimHei" w:cs="Arial"/>
          <w:kern w:val="0"/>
          <w:sz w:val="24"/>
          <w:szCs w:val="24"/>
        </w:rPr>
        <w:t>号）和财政部年度财务决算工作的安排做好（国有）资本保值增值结果的确认工作。</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第三十三条</w:t>
      </w:r>
      <w:r w:rsidRPr="00DD4EFC">
        <w:rPr>
          <w:rFonts w:ascii="SimHei" w:eastAsia="黑体" w:hAnsi="SimHei" w:cs="Arial"/>
          <w:kern w:val="0"/>
          <w:sz w:val="24"/>
          <w:szCs w:val="24"/>
        </w:rPr>
        <w:t xml:space="preserve"> </w:t>
      </w:r>
      <w:r w:rsidRPr="00DD4EFC">
        <w:rPr>
          <w:rFonts w:ascii="SimHei" w:eastAsia="黑体" w:hAnsi="SimHei" w:cs="Arial"/>
          <w:kern w:val="0"/>
          <w:sz w:val="24"/>
          <w:szCs w:val="24"/>
        </w:rPr>
        <w:t>财政部根据中央管理金融企业和省级财政部门报送的资料，于每年</w:t>
      </w:r>
      <w:r w:rsidRPr="00DD4EFC">
        <w:rPr>
          <w:rFonts w:ascii="SimHei" w:eastAsia="黑体" w:hAnsi="SimHei" w:cs="Arial"/>
          <w:kern w:val="0"/>
          <w:sz w:val="24"/>
          <w:szCs w:val="24"/>
        </w:rPr>
        <w:t>6</w:t>
      </w:r>
      <w:r w:rsidRPr="00DD4EFC">
        <w:rPr>
          <w:rFonts w:ascii="SimHei" w:eastAsia="黑体" w:hAnsi="SimHei" w:cs="Arial"/>
          <w:kern w:val="0"/>
          <w:sz w:val="24"/>
          <w:szCs w:val="24"/>
        </w:rPr>
        <w:t>月底前分别公布银行业、保险业、证券业和其他金融业</w:t>
      </w:r>
      <w:r w:rsidRPr="00DD4EFC">
        <w:rPr>
          <w:rFonts w:ascii="SimHei" w:eastAsia="黑体" w:hAnsi="SimHei" w:cs="Arial"/>
          <w:kern w:val="0"/>
          <w:sz w:val="24"/>
          <w:szCs w:val="24"/>
        </w:rPr>
        <w:t>4</w:t>
      </w:r>
      <w:r w:rsidRPr="00DD4EFC">
        <w:rPr>
          <w:rFonts w:ascii="SimHei" w:eastAsia="黑体" w:hAnsi="SimHei" w:cs="Arial"/>
          <w:kern w:val="0"/>
          <w:sz w:val="24"/>
          <w:szCs w:val="24"/>
        </w:rPr>
        <w:t>大类金融行业评价指标的标准值、行业调节系数和年度调节系数。</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第三十四条</w:t>
      </w:r>
      <w:r w:rsidRPr="00DD4EFC">
        <w:rPr>
          <w:rFonts w:ascii="SimHei" w:eastAsia="黑体" w:hAnsi="SimHei" w:cs="Arial"/>
          <w:kern w:val="0"/>
          <w:sz w:val="24"/>
          <w:szCs w:val="24"/>
        </w:rPr>
        <w:t xml:space="preserve"> </w:t>
      </w:r>
      <w:r w:rsidRPr="00DD4EFC">
        <w:rPr>
          <w:rFonts w:ascii="SimHei" w:eastAsia="黑体" w:hAnsi="SimHei" w:cs="Arial"/>
          <w:kern w:val="0"/>
          <w:sz w:val="24"/>
          <w:szCs w:val="24"/>
        </w:rPr>
        <w:t>省级财政部门应当遵循以上原则要求做好本地区金融企业的绩效评价工作，并于每年</w:t>
      </w:r>
      <w:r w:rsidRPr="00DD4EFC">
        <w:rPr>
          <w:rFonts w:ascii="SimHei" w:eastAsia="黑体" w:hAnsi="SimHei" w:cs="Arial"/>
          <w:kern w:val="0"/>
          <w:sz w:val="24"/>
          <w:szCs w:val="24"/>
        </w:rPr>
        <w:t>11</w:t>
      </w:r>
      <w:r w:rsidRPr="00DD4EFC">
        <w:rPr>
          <w:rFonts w:ascii="SimHei" w:eastAsia="黑体" w:hAnsi="SimHei" w:cs="Arial"/>
          <w:kern w:val="0"/>
          <w:sz w:val="24"/>
          <w:szCs w:val="24"/>
        </w:rPr>
        <w:t>月</w:t>
      </w:r>
      <w:r w:rsidRPr="00DD4EFC">
        <w:rPr>
          <w:rFonts w:ascii="SimHei" w:eastAsia="黑体" w:hAnsi="SimHei" w:cs="Arial"/>
          <w:kern w:val="0"/>
          <w:sz w:val="24"/>
          <w:szCs w:val="24"/>
        </w:rPr>
        <w:t>30</w:t>
      </w:r>
      <w:r w:rsidRPr="00DD4EFC">
        <w:rPr>
          <w:rFonts w:ascii="SimHei" w:eastAsia="黑体" w:hAnsi="SimHei" w:cs="Arial"/>
          <w:kern w:val="0"/>
          <w:sz w:val="24"/>
          <w:szCs w:val="24"/>
        </w:rPr>
        <w:t>日前，将本地区金融企业的绩效评价结果汇总报送财政部。</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第三十五条</w:t>
      </w:r>
      <w:r w:rsidRPr="00DD4EFC">
        <w:rPr>
          <w:rFonts w:ascii="SimHei" w:eastAsia="黑体" w:hAnsi="SimHei" w:cs="Arial"/>
          <w:kern w:val="0"/>
          <w:sz w:val="24"/>
          <w:szCs w:val="24"/>
        </w:rPr>
        <w:t xml:space="preserve"> </w:t>
      </w:r>
      <w:r w:rsidRPr="00DD4EFC">
        <w:rPr>
          <w:rFonts w:ascii="SimHei" w:eastAsia="黑体" w:hAnsi="SimHei" w:cs="Arial"/>
          <w:kern w:val="0"/>
          <w:sz w:val="24"/>
          <w:szCs w:val="24"/>
        </w:rPr>
        <w:t>财政部门的相关工作人员组织开展金融企业绩效评价工作应当恪尽职守、规范程序、加强指导。</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对于在绩效评价过程中滥用职权、玩忽职守、徇私舞弊，或者泄露金融企业商业秘密的，依法给予行政处分。</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第三十六条</w:t>
      </w:r>
      <w:r w:rsidRPr="00DD4EFC">
        <w:rPr>
          <w:rFonts w:ascii="SimHei" w:eastAsia="黑体" w:hAnsi="SimHei" w:cs="Arial"/>
          <w:kern w:val="0"/>
          <w:sz w:val="24"/>
          <w:szCs w:val="24"/>
        </w:rPr>
        <w:t xml:space="preserve"> </w:t>
      </w:r>
      <w:r w:rsidRPr="00DD4EFC">
        <w:rPr>
          <w:rFonts w:ascii="SimHei" w:eastAsia="黑体" w:hAnsi="SimHei" w:cs="Arial"/>
          <w:kern w:val="0"/>
          <w:sz w:val="24"/>
          <w:szCs w:val="24"/>
        </w:rPr>
        <w:t>受托开展金融企业审计业务的机构及其相关工作人员应严格执行金融企业绩效评价工作的规定，规范技术操作，确保评价过程独立、客观、公正，评价结论适当，并严守金融企业的商业秘密。</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对参与造假、违反程序和工作规定，导致评价结论失实以及泄露金融企业商业秘密的，财政部门将责令不再委托其承担金融企业审计业务，并将有关情况通报其行业主管机关，建议给予相应处罚。</w:t>
      </w:r>
      <w:r w:rsidRPr="00DD4EFC">
        <w:rPr>
          <w:rFonts w:ascii="SimHei" w:eastAsia="黑体" w:hAnsi="SimHei" w:cs="Arial"/>
          <w:kern w:val="0"/>
          <w:sz w:val="24"/>
          <w:szCs w:val="24"/>
        </w:rPr>
        <w:t xml:space="preserve"> </w:t>
      </w:r>
    </w:p>
    <w:p w:rsidR="00DD4EFC" w:rsidRPr="00DD4EFC" w:rsidRDefault="00DD4EFC" w:rsidP="00C362DE">
      <w:pPr>
        <w:widowControl/>
        <w:spacing w:before="100" w:beforeAutospacing="1" w:after="100" w:afterAutospacing="1" w:line="432" w:lineRule="auto"/>
        <w:jc w:val="center"/>
        <w:rPr>
          <w:rFonts w:ascii="Arial" w:eastAsia="宋体" w:hAnsi="Arial" w:cs="Arial"/>
          <w:kern w:val="0"/>
          <w:sz w:val="24"/>
          <w:szCs w:val="24"/>
        </w:rPr>
      </w:pPr>
      <w:r w:rsidRPr="00DD4EFC">
        <w:rPr>
          <w:rFonts w:ascii="SimHei" w:eastAsia="黑体" w:hAnsi="SimHei" w:cs="Arial"/>
          <w:b/>
          <w:bCs/>
          <w:kern w:val="0"/>
          <w:sz w:val="24"/>
          <w:szCs w:val="24"/>
        </w:rPr>
        <w:t>第七章　附　则</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第三十七条</w:t>
      </w:r>
      <w:r w:rsidRPr="00DD4EFC">
        <w:rPr>
          <w:rFonts w:ascii="SimHei" w:eastAsia="黑体" w:hAnsi="SimHei" w:cs="Arial"/>
          <w:kern w:val="0"/>
          <w:sz w:val="24"/>
          <w:szCs w:val="24"/>
        </w:rPr>
        <w:t xml:space="preserve"> </w:t>
      </w:r>
      <w:r w:rsidRPr="00DD4EFC">
        <w:rPr>
          <w:rFonts w:ascii="SimHei" w:eastAsia="黑体" w:hAnsi="SimHei" w:cs="Arial"/>
          <w:kern w:val="0"/>
          <w:sz w:val="24"/>
          <w:szCs w:val="24"/>
        </w:rPr>
        <w:t>政策性金融机构绩效评价办法另行制订。</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第三十八条</w:t>
      </w:r>
      <w:r w:rsidRPr="00DD4EFC">
        <w:rPr>
          <w:rFonts w:ascii="SimHei" w:eastAsia="黑体" w:hAnsi="SimHei" w:cs="Arial"/>
          <w:kern w:val="0"/>
          <w:sz w:val="24"/>
          <w:szCs w:val="24"/>
        </w:rPr>
        <w:t xml:space="preserve"> </w:t>
      </w:r>
      <w:r w:rsidRPr="00DD4EFC">
        <w:rPr>
          <w:rFonts w:ascii="SimHei" w:eastAsia="黑体" w:hAnsi="SimHei" w:cs="Arial"/>
          <w:kern w:val="0"/>
          <w:sz w:val="24"/>
          <w:szCs w:val="24"/>
        </w:rPr>
        <w:t>金融企业开展内部绩效评价工作，可依据本办法制定具体的工作规范。</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第三十九条</w:t>
      </w:r>
      <w:r w:rsidRPr="00DD4EFC">
        <w:rPr>
          <w:rFonts w:ascii="SimHei" w:eastAsia="黑体" w:hAnsi="SimHei" w:cs="Arial"/>
          <w:kern w:val="0"/>
          <w:sz w:val="24"/>
          <w:szCs w:val="24"/>
        </w:rPr>
        <w:t xml:space="preserve"> </w:t>
      </w:r>
      <w:r w:rsidRPr="00DD4EFC">
        <w:rPr>
          <w:rFonts w:ascii="SimHei" w:eastAsia="黑体" w:hAnsi="SimHei" w:cs="Arial"/>
          <w:kern w:val="0"/>
          <w:sz w:val="24"/>
          <w:szCs w:val="24"/>
        </w:rPr>
        <w:t>各省、自治区、直辖市、计划单列市财政部门可以依据本办法和财政部的其他规定，结合本地区金融企业实际，制定具体的实施办法，报财政部备案。</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第四十条　本办法自印发之日起施行，金融企业</w:t>
      </w:r>
      <w:r w:rsidRPr="00DD4EFC">
        <w:rPr>
          <w:rFonts w:ascii="SimHei" w:eastAsia="黑体" w:hAnsi="SimHei" w:cs="Arial"/>
          <w:kern w:val="0"/>
          <w:sz w:val="24"/>
          <w:szCs w:val="24"/>
        </w:rPr>
        <w:t>2016</w:t>
      </w:r>
      <w:r w:rsidRPr="00DD4EFC">
        <w:rPr>
          <w:rFonts w:ascii="SimHei" w:eastAsia="黑体" w:hAnsi="SimHei" w:cs="Arial"/>
          <w:kern w:val="0"/>
          <w:sz w:val="24"/>
          <w:szCs w:val="24"/>
        </w:rPr>
        <w:t>年度绩效评价工作执行本办法。《财政部关于印发</w:t>
      </w:r>
      <w:r w:rsidRPr="00DD4EFC">
        <w:rPr>
          <w:rFonts w:ascii="SimHei" w:eastAsia="黑体" w:hAnsi="SimHei" w:cs="Arial"/>
          <w:kern w:val="0"/>
          <w:sz w:val="24"/>
          <w:szCs w:val="24"/>
        </w:rPr>
        <w:t>&lt;</w:t>
      </w:r>
      <w:r w:rsidRPr="00DD4EFC">
        <w:rPr>
          <w:rFonts w:ascii="SimHei" w:eastAsia="黑体" w:hAnsi="SimHei" w:cs="Arial"/>
          <w:kern w:val="0"/>
          <w:sz w:val="24"/>
          <w:szCs w:val="24"/>
        </w:rPr>
        <w:t>金融企业绩效评价办法</w:t>
      </w:r>
      <w:r w:rsidRPr="00DD4EFC">
        <w:rPr>
          <w:rFonts w:ascii="SimHei" w:eastAsia="黑体" w:hAnsi="SimHei" w:cs="Arial"/>
          <w:kern w:val="0"/>
          <w:sz w:val="24"/>
          <w:szCs w:val="24"/>
        </w:rPr>
        <w:t>&gt;</w:t>
      </w:r>
      <w:r w:rsidRPr="00DD4EFC">
        <w:rPr>
          <w:rFonts w:ascii="SimHei" w:eastAsia="黑体" w:hAnsi="SimHei" w:cs="Arial"/>
          <w:kern w:val="0"/>
          <w:sz w:val="24"/>
          <w:szCs w:val="24"/>
        </w:rPr>
        <w:t>的通知》（财金</w:t>
      </w:r>
      <w:r w:rsidRPr="00DD4EFC">
        <w:rPr>
          <w:rFonts w:ascii="SimHei" w:eastAsia="黑体" w:hAnsi="SimHei" w:cs="Arial"/>
          <w:kern w:val="0"/>
          <w:sz w:val="24"/>
          <w:szCs w:val="24"/>
        </w:rPr>
        <w:t>[2011]50</w:t>
      </w:r>
      <w:r w:rsidRPr="00DD4EFC">
        <w:rPr>
          <w:rFonts w:ascii="SimHei" w:eastAsia="黑体" w:hAnsi="SimHei" w:cs="Arial"/>
          <w:kern w:val="0"/>
          <w:sz w:val="24"/>
          <w:szCs w:val="24"/>
        </w:rPr>
        <w:t>号）同时废止。</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附：</w:t>
      </w:r>
      <w:r w:rsidRPr="00DD4EFC">
        <w:rPr>
          <w:rFonts w:ascii="SimHei" w:eastAsia="黑体" w:hAnsi="SimHei" w:cs="Arial"/>
          <w:kern w:val="0"/>
          <w:sz w:val="24"/>
          <w:szCs w:val="24"/>
        </w:rPr>
        <w:t>1</w:t>
      </w:r>
      <w:r w:rsidRPr="00DD4EFC">
        <w:rPr>
          <w:rFonts w:ascii="SimHei" w:eastAsia="黑体" w:hAnsi="SimHei" w:cs="Arial"/>
          <w:kern w:val="0"/>
          <w:sz w:val="24"/>
          <w:szCs w:val="24"/>
        </w:rPr>
        <w:t>．金融企业绩效评价基础数据调整表</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w:t>
      </w:r>
      <w:r w:rsidRPr="00DD4EFC">
        <w:rPr>
          <w:rFonts w:ascii="SimHei" w:eastAsia="黑体" w:hAnsi="SimHei" w:cs="Arial"/>
          <w:kern w:val="0"/>
          <w:sz w:val="24"/>
          <w:szCs w:val="24"/>
        </w:rPr>
        <w:t>2</w:t>
      </w:r>
      <w:r w:rsidRPr="00DD4EFC">
        <w:rPr>
          <w:rFonts w:ascii="SimHei" w:eastAsia="黑体" w:hAnsi="SimHei" w:cs="Arial"/>
          <w:kern w:val="0"/>
          <w:sz w:val="24"/>
          <w:szCs w:val="24"/>
        </w:rPr>
        <w:t>．金融企业绩效评价加减分事项表</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w:t>
      </w:r>
      <w:r w:rsidRPr="00DD4EFC">
        <w:rPr>
          <w:rFonts w:ascii="SimHei" w:eastAsia="黑体" w:hAnsi="SimHei" w:cs="Arial"/>
          <w:kern w:val="0"/>
          <w:sz w:val="24"/>
          <w:szCs w:val="24"/>
        </w:rPr>
        <w:t>3</w:t>
      </w:r>
      <w:r w:rsidRPr="00DD4EFC">
        <w:rPr>
          <w:rFonts w:ascii="SimHei" w:eastAsia="黑体" w:hAnsi="SimHei" w:cs="Arial"/>
          <w:kern w:val="0"/>
          <w:sz w:val="24"/>
          <w:szCs w:val="24"/>
        </w:rPr>
        <w:t>．银行类金融企业绩效评价结果计分表</w:t>
      </w:r>
      <w:r w:rsidRPr="00DD4EFC">
        <w:rPr>
          <w:rFonts w:ascii="SimHei" w:eastAsia="黑体" w:hAnsi="SimHei" w:cs="Arial"/>
          <w:kern w:val="0"/>
          <w:sz w:val="24"/>
          <w:szCs w:val="24"/>
        </w:rPr>
        <w:t xml:space="preserve"> </w:t>
      </w:r>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w:t>
      </w:r>
      <w:r w:rsidRPr="00DD4EFC">
        <w:rPr>
          <w:rFonts w:ascii="SimHei" w:eastAsia="黑体" w:hAnsi="SimHei" w:cs="Arial"/>
          <w:kern w:val="0"/>
          <w:sz w:val="24"/>
          <w:szCs w:val="24"/>
        </w:rPr>
        <w:t>4</w:t>
      </w:r>
      <w:r w:rsidRPr="00DD4EFC">
        <w:rPr>
          <w:rFonts w:ascii="SimHei" w:eastAsia="黑体" w:hAnsi="SimHei" w:cs="Arial"/>
          <w:kern w:val="0"/>
          <w:sz w:val="24"/>
          <w:szCs w:val="24"/>
        </w:rPr>
        <w:t>．保险类金融企业绩效评价结果计分表</w:t>
      </w:r>
      <w:r w:rsidRPr="00DD4EFC">
        <w:rPr>
          <w:rFonts w:ascii="SimHei" w:eastAsia="黑体" w:hAnsi="SimHei" w:cs="Arial"/>
          <w:kern w:val="0"/>
          <w:sz w:val="24"/>
          <w:szCs w:val="24"/>
        </w:rPr>
        <w:t xml:space="preserve"> </w:t>
      </w:r>
      <w:bookmarkStart w:id="0" w:name="_GoBack"/>
      <w:bookmarkEnd w:id="0"/>
    </w:p>
    <w:p w:rsidR="00DD4EFC" w:rsidRPr="00DD4EFC" w:rsidRDefault="00DD4EFC" w:rsidP="00B03203">
      <w:pPr>
        <w:widowControl/>
        <w:spacing w:before="100" w:beforeAutospacing="1" w:after="100" w:afterAutospacing="1" w:line="432" w:lineRule="auto"/>
        <w:rPr>
          <w:rFonts w:ascii="Arial" w:eastAsia="宋体" w:hAnsi="Arial" w:cs="Arial"/>
          <w:kern w:val="0"/>
          <w:sz w:val="24"/>
          <w:szCs w:val="24"/>
        </w:rPr>
      </w:pPr>
      <w:r w:rsidRPr="00DD4EFC">
        <w:rPr>
          <w:rFonts w:ascii="SimHei" w:eastAsia="黑体" w:hAnsi="SimHei" w:cs="Arial"/>
          <w:kern w:val="0"/>
          <w:sz w:val="24"/>
          <w:szCs w:val="24"/>
        </w:rPr>
        <w:t xml:space="preserve">　　</w:t>
      </w:r>
      <w:r w:rsidRPr="00DD4EFC">
        <w:rPr>
          <w:rFonts w:ascii="SimHei" w:eastAsia="黑体" w:hAnsi="SimHei" w:cs="Arial"/>
          <w:kern w:val="0"/>
          <w:sz w:val="24"/>
          <w:szCs w:val="24"/>
        </w:rPr>
        <w:t>5</w:t>
      </w:r>
      <w:r w:rsidRPr="00DD4EFC">
        <w:rPr>
          <w:rFonts w:ascii="SimHei" w:eastAsia="黑体" w:hAnsi="SimHei" w:cs="Arial"/>
          <w:kern w:val="0"/>
          <w:sz w:val="24"/>
          <w:szCs w:val="24"/>
        </w:rPr>
        <w:t>．证券类金融企业绩效评价结果计分表</w:t>
      </w:r>
      <w:r w:rsidRPr="00DD4EFC">
        <w:rPr>
          <w:rFonts w:ascii="SimHei" w:eastAsia="黑体" w:hAnsi="SimHei" w:cs="Arial"/>
          <w:kern w:val="0"/>
          <w:sz w:val="24"/>
          <w:szCs w:val="24"/>
        </w:rPr>
        <w:t xml:space="preserve"> </w:t>
      </w:r>
    </w:p>
    <w:p w:rsidR="000C3601" w:rsidRPr="00DD4EFC" w:rsidRDefault="00DD4EFC" w:rsidP="00B03203">
      <w:r w:rsidRPr="00DD4EFC">
        <w:rPr>
          <w:rFonts w:ascii="SimHei" w:eastAsia="黑体" w:hAnsi="SimHei" w:cs="Arial"/>
          <w:kern w:val="0"/>
          <w:sz w:val="24"/>
          <w:szCs w:val="24"/>
        </w:rPr>
        <w:t xml:space="preserve">　　</w:t>
      </w:r>
      <w:r w:rsidRPr="00DD4EFC">
        <w:rPr>
          <w:rFonts w:ascii="SimHei" w:eastAsia="黑体" w:hAnsi="SimHei" w:cs="Arial"/>
          <w:kern w:val="0"/>
          <w:sz w:val="24"/>
          <w:szCs w:val="24"/>
        </w:rPr>
        <w:t>6</w:t>
      </w:r>
      <w:r w:rsidRPr="00DD4EFC">
        <w:rPr>
          <w:rFonts w:ascii="SimHei" w:eastAsia="黑体" w:hAnsi="SimHei" w:cs="Arial"/>
          <w:kern w:val="0"/>
          <w:sz w:val="24"/>
          <w:szCs w:val="24"/>
        </w:rPr>
        <w:t>．其他类金融企业绩效评价结果计分表</w:t>
      </w:r>
      <w:r w:rsidRPr="00DD4EFC">
        <w:rPr>
          <w:rFonts w:ascii="SimHei" w:eastAsia="黑体" w:hAnsi="SimHei" w:cs="Arial"/>
          <w:kern w:val="0"/>
          <w:sz w:val="24"/>
          <w:szCs w:val="24"/>
        </w:rPr>
        <w:t xml:space="preserve"> </w:t>
      </w:r>
    </w:p>
    <w:sectPr w:rsidR="000C3601" w:rsidRPr="00DD4EF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EFC"/>
    <w:rsid w:val="000C3601"/>
    <w:rsid w:val="00B03203"/>
    <w:rsid w:val="00C362DE"/>
    <w:rsid w:val="00DD4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CA9180-3B8A-44DA-8773-4DC87635F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8649616">
      <w:bodyDiv w:val="1"/>
      <w:marLeft w:val="0"/>
      <w:marRight w:val="0"/>
      <w:marTop w:val="0"/>
      <w:marBottom w:val="0"/>
      <w:divBdr>
        <w:top w:val="none" w:sz="0" w:space="0" w:color="auto"/>
        <w:left w:val="none" w:sz="0" w:space="0" w:color="auto"/>
        <w:bottom w:val="none" w:sz="0" w:space="0" w:color="auto"/>
        <w:right w:val="none" w:sz="0" w:space="0" w:color="auto"/>
      </w:divBdr>
      <w:divsChild>
        <w:div w:id="1822653413">
          <w:marLeft w:val="0"/>
          <w:marRight w:val="0"/>
          <w:marTop w:val="0"/>
          <w:marBottom w:val="0"/>
          <w:divBdr>
            <w:top w:val="none" w:sz="0" w:space="0" w:color="auto"/>
            <w:left w:val="none" w:sz="0" w:space="0" w:color="auto"/>
            <w:bottom w:val="none" w:sz="0" w:space="0" w:color="auto"/>
            <w:right w:val="none" w:sz="0" w:space="0" w:color="auto"/>
          </w:divBdr>
          <w:divsChild>
            <w:div w:id="160681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15</Pages>
  <Words>1271</Words>
  <Characters>7248</Characters>
  <Application>Microsoft Office Word</Application>
  <DocSecurity>0</DocSecurity>
  <Lines>60</Lines>
  <Paragraphs>17</Paragraphs>
  <ScaleCrop>false</ScaleCrop>
  <Company/>
  <LinksUpToDate>false</LinksUpToDate>
  <CharactersWithSpaces>8502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杨裕辉:起草_1</dc:creator>
  <cp:keywords/>
  <dc:description/>
  <cp:lastModifiedBy>杨裕辉:起草_1</cp:lastModifiedBy>
  <cp:revision>2</cp:revision>
  <dcterms:created xsi:type="dcterms:W3CDTF">2018-03-01T09:58:00Z</dcterms:created>
  <dcterms:modified xsi:type="dcterms:W3CDTF">2018-03-01T10:15:00Z</dcterms:modified>
</cp:coreProperties>
</file>