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18"/>
        <w:gridCol w:w="1843"/>
        <w:gridCol w:w="1417"/>
        <w:gridCol w:w="1843"/>
        <w:gridCol w:w="1417"/>
        <w:gridCol w:w="1701"/>
      </w:tblGrid>
      <w:tr>
        <w:trPr>
          <w:trHeight w:val="13457" w:hRule="atLeast"/>
        </w:trPr>
        <w:tc>
          <w:tcPr>
            <w:tcW w:w="9639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ind w:start="84" w:hanging="84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 w:val="32"/>
                <w:szCs w:val="32"/>
              </w:rPr>
            </w:pPr>
            <w:r>
              <w:rPr>
                <w:rFonts w:ascii="SimHei" w:hAnsi="SimHei" w:eastAsia="黑体"/>
                <w:sz w:val="32"/>
                <w:szCs w:val="32"/>
              </w:rPr>
            </w:r>
          </w:p>
          <w:p>
            <w:pPr>
              <w:pStyle w:val="Normal"/>
              <w:ind w:start="128" w:firstLine="2375"/>
              <w:rPr>
                <w:rFonts w:eastAsia="方正姚体"/>
                <w:b/>
                <w:b/>
                <w:sz w:val="28"/>
                <w:szCs w:val="28"/>
              </w:rPr>
            </w:pPr>
            <w:r>
              <w:rPr>
                <w:rFonts w:eastAsia="黑体" w:ascii="SimHei" w:hAnsi="SimHei"/>
                <w:b/>
                <w:sz w:val="28"/>
                <w:szCs w:val="28"/>
              </w:rPr>
              <w:t>文件名称</w:t>
            </w:r>
            <w:r>
              <w:rPr>
                <w:rFonts w:eastAsia="黑体" w:ascii="SimHei" w:hAnsi="SimHei"/>
                <w:b/>
                <w:sz w:val="28"/>
                <w:szCs w:val="28"/>
              </w:rPr>
              <w:t>：</w:t>
            </w:r>
            <w:r>
              <w:rPr>
                <w:rFonts w:eastAsia="黑体" w:ascii="SimHei" w:hAnsi="SimHei"/>
                <w:b/>
                <w:sz w:val="28"/>
                <w:szCs w:val="28"/>
                <w:u w:val="thick"/>
              </w:rPr>
              <w:t xml:space="preserve"> </w:t>
            </w:r>
            <w:r>
              <w:rPr>
                <w:rFonts w:eastAsia="黑体" w:ascii="SimHei" w:hAnsi="SimHei"/>
                <w:b/>
                <w:sz w:val="28"/>
                <w:szCs w:val="28"/>
                <w:u w:val="thick"/>
              </w:rPr>
              <w:t xml:space="preserve">    </w:t>
            </w:r>
            <w:r>
              <w:rPr>
                <w:rFonts w:eastAsia="黑体" w:ascii="SimHei" w:hAnsi="SimHei"/>
                <w:b/>
                <w:sz w:val="28"/>
                <w:szCs w:val="28"/>
                <w:u w:val="thick"/>
              </w:rPr>
              <w:t>职级职位管理制度</w:t>
            </w:r>
            <w:r>
              <w:rPr>
                <w:rFonts w:eastAsia="黑体" w:ascii="SimHei" w:hAnsi="SimHei"/>
                <w:b/>
                <w:sz w:val="28"/>
                <w:szCs w:val="28"/>
                <w:u w:val="thick"/>
              </w:rPr>
              <w:t xml:space="preserve">      </w:t>
            </w:r>
          </w:p>
          <w:p>
            <w:pPr>
              <w:pStyle w:val="Normal"/>
              <w:ind w:start="128" w:firstLine="2375"/>
              <w:rPr>
                <w:rFonts w:eastAsia="方正姚体"/>
                <w:b/>
                <w:b/>
                <w:sz w:val="28"/>
                <w:szCs w:val="28"/>
                <w:u w:val="single"/>
              </w:rPr>
            </w:pPr>
            <w:r>
              <w:rPr>
                <w:rFonts w:eastAsia="黑体" w:ascii="SimHei" w:hAnsi="SimHei"/>
                <w:b/>
                <w:sz w:val="28"/>
                <w:szCs w:val="28"/>
              </w:rPr>
              <w:t>文件编号：</w:t>
            </w: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  <w:t>G</w:t>
            </w: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  <w:t>7-</w:t>
            </w: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  <w:t>HR</w:t>
            </w: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  <w:t>-</w:t>
            </w: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  <w:t>OD</w:t>
            </w: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  <w:t xml:space="preserve">-001      </w:t>
            </w:r>
          </w:p>
          <w:p>
            <w:pPr>
              <w:pStyle w:val="Normal"/>
              <w:ind w:start="128" w:firstLine="2375"/>
              <w:rPr>
                <w:rFonts w:eastAsia="方正姚体"/>
                <w:b/>
                <w:b/>
                <w:sz w:val="28"/>
                <w:szCs w:val="28"/>
                <w:u w:val="single"/>
              </w:rPr>
            </w:pPr>
            <w:r>
              <w:rPr>
                <w:rFonts w:eastAsia="黑体" w:ascii="SimHei" w:hAnsi="SimHei"/>
                <w:b/>
                <w:sz w:val="28"/>
                <w:szCs w:val="28"/>
              </w:rPr>
              <w:t>制定部门：</w:t>
            </w:r>
            <w:r>
              <w:rPr>
                <w:rFonts w:eastAsia="黑体" w:ascii="SimHei" w:hAnsi="SimHei"/>
                <w:b/>
                <w:sz w:val="32"/>
                <w:szCs w:val="28"/>
                <w:u w:val="single"/>
              </w:rPr>
              <w:t xml:space="preserve">  </w:t>
            </w:r>
            <w:r>
              <w:rPr>
                <w:rFonts w:eastAsia="黑体" w:ascii="SimHei" w:hAnsi="SimHei"/>
                <w:b/>
                <w:sz w:val="32"/>
                <w:szCs w:val="28"/>
                <w:u w:val="single"/>
              </w:rPr>
              <w:t xml:space="preserve"> </w:t>
            </w:r>
            <w:r>
              <w:rPr>
                <w:rFonts w:eastAsia="黑体" w:ascii="SimHei" w:hAnsi="SimHei"/>
                <w:b/>
                <w:sz w:val="32"/>
                <w:szCs w:val="28"/>
                <w:u w:val="single"/>
              </w:rPr>
              <w:t xml:space="preserve"> </w:t>
            </w:r>
            <w:r>
              <w:rPr>
                <w:rFonts w:eastAsia="黑体" w:ascii="SimHei" w:hAnsi="SimHei"/>
                <w:b/>
                <w:sz w:val="32"/>
                <w:szCs w:val="28"/>
                <w:u w:val="single"/>
              </w:rPr>
              <w:t xml:space="preserve"> </w:t>
            </w:r>
            <w:r>
              <w:rPr>
                <w:rFonts w:eastAsia="黑体" w:ascii="SimHei" w:hAnsi="SimHei"/>
                <w:b/>
                <w:sz w:val="32"/>
                <w:szCs w:val="28"/>
                <w:u w:val="single"/>
              </w:rPr>
              <w:t>人力资源中心</w:t>
            </w:r>
            <w:r>
              <w:rPr>
                <w:rFonts w:eastAsia="黑体" w:ascii="SimHei" w:hAnsi="SimHei"/>
                <w:b/>
                <w:sz w:val="32"/>
                <w:szCs w:val="28"/>
                <w:u w:val="single"/>
              </w:rPr>
              <w:t xml:space="preserve">  </w:t>
            </w:r>
            <w:r>
              <w:rPr>
                <w:rFonts w:eastAsia="黑体" w:ascii="SimHei" w:hAnsi="SimHei"/>
                <w:b/>
                <w:sz w:val="32"/>
                <w:szCs w:val="28"/>
                <w:u w:val="single"/>
              </w:rPr>
              <w:t xml:space="preserve">   </w:t>
            </w:r>
          </w:p>
          <w:p>
            <w:pPr>
              <w:pStyle w:val="Normal"/>
              <w:rPr>
                <w:rFonts w:eastAsia="方正姚体"/>
                <w:b/>
                <w:b/>
                <w:sz w:val="28"/>
                <w:szCs w:val="28"/>
                <w:u w:val="single"/>
              </w:rPr>
            </w:pPr>
            <w:r>
              <w:rPr>
                <w:rFonts w:eastAsia="黑体" w:ascii="SimHei" w:hAnsi="SimHei"/>
                <w:b/>
                <w:sz w:val="28"/>
                <w:szCs w:val="28"/>
                <w:u w:val="single"/>
              </w:rPr>
            </w:r>
          </w:p>
          <w:p>
            <w:pPr>
              <w:pStyle w:val="Normal"/>
              <w:rPr>
                <w:b/>
                <w:b/>
                <w:szCs w:val="28"/>
                <w:u w:val="single"/>
              </w:rPr>
            </w:pPr>
            <w:r>
              <w:rPr>
                <w:rFonts w:ascii="SimHei" w:hAnsi="SimHei" w:eastAsia="黑体"/>
                <w:b/>
                <w:szCs w:val="28"/>
                <w:u w:val="single"/>
              </w:rPr>
            </w:r>
          </w:p>
          <w:p>
            <w:pPr>
              <w:pStyle w:val="Normal"/>
              <w:ind w:start="128" w:firstLine="1639"/>
              <w:jc w:val="end"/>
              <w:rPr>
                <w:b/>
                <w:b/>
                <w:sz w:val="22"/>
                <w:szCs w:val="28"/>
                <w:u w:val="single"/>
              </w:rPr>
            </w:pPr>
            <w:r>
              <w:rPr>
                <w:rFonts w:ascii="SimHei" w:hAnsi="SimHei" w:eastAsia="黑体"/>
                <w:b/>
                <w:sz w:val="22"/>
                <w:szCs w:val="28"/>
                <w:u w:val="single"/>
              </w:rPr>
            </w:r>
          </w:p>
        </w:tc>
      </w:tr>
      <w:tr>
        <w:trPr>
          <w:trHeight w:val="606" w:hRule="atLeast"/>
        </w:trPr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发行日期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版本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密级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sz w:val="28"/>
                <w:szCs w:val="28"/>
              </w:rPr>
            </w:pPr>
            <w:r>
              <w:rPr>
                <w:rFonts w:eastAsia="黑体" w:ascii="SimHei" w:hAnsi="SimHei"/>
                <w:b/>
                <w:bCs/>
              </w:rPr>
              <w:t>公开</w:t>
            </w:r>
          </w:p>
        </w:tc>
      </w:tr>
      <w:tr>
        <w:trPr>
          <w:trHeight w:val="497" w:hRule="atLeast"/>
        </w:trPr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拟定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96" w:firstLine="316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审核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84" w:hanging="84"/>
              <w:jc w:val="center"/>
              <w:rPr>
                <w:rFonts w:eastAsia="方正姚体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批准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112" w:hanging="112"/>
              <w:jc w:val="center"/>
              <w:rPr>
                <w:rFonts w:eastAsia="方正姚体"/>
                <w:b/>
                <w:b/>
                <w:bCs/>
                <w:sz w:val="28"/>
                <w:szCs w:val="28"/>
              </w:rPr>
            </w:pPr>
            <w:r>
              <w:rPr>
                <w:rFonts w:eastAsia="黑体" w:ascii="SimHei" w:hAnsi="SimHei"/>
                <w:b/>
                <w:bCs/>
                <w:sz w:val="28"/>
                <w:szCs w:val="28"/>
              </w:rPr>
            </w:r>
          </w:p>
        </w:tc>
      </w:tr>
    </w:tbl>
    <w:p>
      <w:pPr>
        <w:pStyle w:val="1"/>
        <w:rPr/>
      </w:pPr>
      <w:r>
        <w:rPr>
          <w:rFonts w:ascii="SimHei" w:hAnsi="SimHei" w:eastAsia="黑体"/>
        </w:rPr>
      </w:r>
    </w:p>
    <w:p>
      <w:pPr>
        <w:pStyle w:val="1"/>
        <w:rPr/>
      </w:pPr>
      <w:r>
        <w:rPr>
          <w:rFonts w:ascii="SimHei" w:hAnsi="SimHei" w:eastAsia="黑体"/>
        </w:rPr>
        <w:t>一、目的</w:t>
      </w:r>
    </w:p>
    <w:p>
      <w:pPr>
        <w:pStyle w:val="Normal"/>
        <w:spacing w:lineRule="auto" w:line="360"/>
        <w:ind w:firstLine="420"/>
        <w:rPr/>
      </w:pPr>
      <w:r>
        <w:rPr>
          <w:rFonts w:ascii="SimHei" w:hAnsi="SimHei" w:eastAsia="黑体"/>
          <w:szCs w:val="21"/>
        </w:rPr>
        <w:t>为建立有序的职级职位体系，构建通畅的员工职业发展通道，明确各职级标准等，特制订本制度。</w:t>
      </w:r>
    </w:p>
    <w:p>
      <w:pPr>
        <w:pStyle w:val="1"/>
        <w:rPr/>
      </w:pPr>
      <w:r>
        <w:rPr>
          <w:rFonts w:ascii="SimHei" w:hAnsi="SimHei" w:eastAsia="黑体"/>
        </w:rPr>
        <w:t>二、范围</w:t>
      </w:r>
    </w:p>
    <w:p>
      <w:pPr>
        <w:pStyle w:val="Normal"/>
        <w:spacing w:lineRule="auto" w:line="360"/>
        <w:ind w:firstLine="420"/>
        <w:rPr>
          <w:szCs w:val="21"/>
        </w:rPr>
      </w:pPr>
      <w:r>
        <w:rPr>
          <w:rFonts w:ascii="SimHei" w:hAnsi="SimHei" w:eastAsia="黑体"/>
          <w:szCs w:val="21"/>
        </w:rPr>
        <w:t>本规范适用于研发团队全员，含隶属于成都研发的外地研发团队。</w:t>
      </w:r>
    </w:p>
    <w:p>
      <w:pPr>
        <w:pStyle w:val="1"/>
        <w:rPr/>
      </w:pPr>
      <w:r>
        <w:rPr>
          <w:rFonts w:ascii="SimHei" w:hAnsi="SimHei" w:eastAsia="黑体"/>
        </w:rPr>
        <w:t>三、名词解释</w:t>
      </w:r>
    </w:p>
    <w:p>
      <w:pPr>
        <w:pStyle w:val="Normal"/>
        <w:spacing w:lineRule="auto" w:line="360"/>
        <w:ind w:firstLine="211"/>
        <w:rPr>
          <w:rFonts w:ascii="Arial" w:hAnsi="Arial" w:cs="Arial"/>
          <w:szCs w:val="21"/>
          <w:shd w:fill="FFFFFF" w:val="clear"/>
        </w:rPr>
      </w:pPr>
      <w:r>
        <w:rPr>
          <w:rFonts w:ascii="SimHei" w:hAnsi="SimHei" w:eastAsia="黑体"/>
          <w:b/>
          <w:szCs w:val="21"/>
        </w:rPr>
        <w:t>3.1</w:t>
      </w:r>
      <w:r>
        <w:rPr>
          <w:rFonts w:ascii="SimHei" w:hAnsi="SimHei" w:eastAsia="黑体"/>
          <w:b/>
          <w:szCs w:val="21"/>
        </w:rPr>
        <w:t xml:space="preserve"> </w:t>
      </w:r>
      <w:r>
        <w:rPr>
          <w:rFonts w:ascii="SimHei" w:hAnsi="SimHei" w:eastAsia="黑体"/>
          <w:b/>
          <w:szCs w:val="21"/>
        </w:rPr>
        <w:t>职位序列</w:t>
      </w:r>
      <w:r>
        <w:rPr>
          <w:rFonts w:ascii="SimHei" w:hAnsi="SimHei" w:eastAsia="黑体"/>
          <w:b/>
          <w:szCs w:val="21"/>
        </w:rPr>
        <w:t>：</w:t>
      </w:r>
      <w:r>
        <w:rPr>
          <w:rFonts w:ascii="SimHei" w:hAnsi="SimHei" w:cs="Arial" w:eastAsia="黑体"/>
          <w:szCs w:val="21"/>
          <w:shd w:fill="FFFFFF" w:val="clear"/>
        </w:rPr>
        <w:t>是指根据工作性质的不同，组合类似职位族而形成的职位序列。公司的职位序列分为</w:t>
      </w:r>
      <w:r>
        <w:rPr>
          <w:rFonts w:cs="Arial" w:ascii="SimHei" w:hAnsi="SimHei" w:eastAsia="黑体"/>
          <w:szCs w:val="21"/>
          <w:shd w:fill="FFFFFF" w:val="clear"/>
        </w:rPr>
        <w:t>M</w:t>
      </w:r>
      <w:r>
        <w:rPr>
          <w:rFonts w:ascii="SimHei" w:hAnsi="SimHei" w:cs="Arial" w:eastAsia="黑体"/>
          <w:szCs w:val="21"/>
          <w:shd w:fill="FFFFFF" w:val="clear"/>
        </w:rPr>
        <w:t>（</w:t>
      </w:r>
      <w:r>
        <w:rPr>
          <w:rFonts w:cs="Arial" w:ascii="SimHei" w:hAnsi="SimHei" w:eastAsia="黑体"/>
          <w:szCs w:val="21"/>
          <w:shd w:fill="FFFFFF" w:val="clear"/>
        </w:rPr>
        <w:t>Management</w:t>
      </w:r>
      <w:r>
        <w:rPr>
          <w:rFonts w:ascii="SimHei" w:hAnsi="SimHei" w:cs="Arial" w:eastAsia="黑体"/>
          <w:szCs w:val="21"/>
          <w:shd w:fill="FFFFFF" w:val="clear"/>
        </w:rPr>
        <w:t>，管理）、</w:t>
      </w:r>
      <w:r>
        <w:rPr>
          <w:rFonts w:cs="Arial" w:ascii="SimHei" w:hAnsi="SimHei" w:eastAsia="黑体"/>
          <w:szCs w:val="21"/>
          <w:shd w:fill="FFFFFF" w:val="clear"/>
        </w:rPr>
        <w:t>I</w:t>
      </w:r>
      <w:r>
        <w:rPr>
          <w:rFonts w:ascii="SimHei" w:hAnsi="SimHei" w:cs="Arial" w:eastAsia="黑体"/>
          <w:szCs w:val="21"/>
          <w:shd w:fill="FFFFFF" w:val="clear"/>
        </w:rPr>
        <w:t>（</w:t>
      </w:r>
      <w:r>
        <w:rPr>
          <w:rFonts w:cs="Arial" w:ascii="SimHei" w:hAnsi="SimHei" w:eastAsia="黑体"/>
          <w:szCs w:val="21"/>
          <w:shd w:fill="FFFFFF" w:val="clear"/>
        </w:rPr>
        <w:t>Innovation</w:t>
      </w:r>
      <w:r>
        <w:rPr>
          <w:rFonts w:ascii="SimHei" w:hAnsi="SimHei" w:cs="Arial" w:eastAsia="黑体"/>
          <w:szCs w:val="21"/>
          <w:shd w:fill="FFFFFF" w:val="clear"/>
        </w:rPr>
        <w:t>，创新）、</w:t>
      </w:r>
      <w:r>
        <w:rPr>
          <w:rFonts w:cs="Arial" w:ascii="SimHei" w:hAnsi="SimHei" w:eastAsia="黑体"/>
          <w:szCs w:val="21"/>
          <w:shd w:fill="FFFFFF" w:val="clear"/>
        </w:rPr>
        <w:t>T</w:t>
      </w:r>
      <w:r>
        <w:rPr>
          <w:rFonts w:ascii="SimHei" w:hAnsi="SimHei" w:cs="Arial" w:eastAsia="黑体"/>
          <w:szCs w:val="21"/>
          <w:shd w:fill="FFFFFF" w:val="clear"/>
        </w:rPr>
        <w:t>（</w:t>
      </w:r>
      <w:r>
        <w:rPr>
          <w:rFonts w:cs="Arial" w:ascii="SimHei" w:hAnsi="SimHei" w:eastAsia="黑体"/>
          <w:szCs w:val="21"/>
          <w:shd w:fill="FFFFFF" w:val="clear"/>
        </w:rPr>
        <w:t>Technology</w:t>
      </w:r>
      <w:r>
        <w:rPr>
          <w:rFonts w:ascii="SimHei" w:hAnsi="SimHei" w:cs="Arial" w:eastAsia="黑体"/>
          <w:szCs w:val="21"/>
          <w:shd w:fill="FFFFFF" w:val="clear"/>
        </w:rPr>
        <w:t>，技术）三大职位序列。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 xml:space="preserve">3.2 </w:t>
      </w:r>
      <w:r>
        <w:rPr>
          <w:rFonts w:ascii="SimHei" w:hAnsi="SimHei" w:cs="Arial" w:eastAsia="黑体"/>
          <w:b/>
          <w:szCs w:val="21"/>
          <w:shd w:fill="FFFFFF" w:val="clear"/>
        </w:rPr>
        <w:t>职等：</w:t>
      </w:r>
      <w:r>
        <w:rPr>
          <w:rFonts w:ascii="SimHei" w:hAnsi="SimHei" w:cs="Arial" w:eastAsia="黑体"/>
          <w:szCs w:val="21"/>
          <w:shd w:fill="FFFFFF" w:val="clear"/>
        </w:rPr>
        <w:t>是指将困难程度、责任大小、所需资格等条件都大致相同的职级，归纳为职等。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>3.</w:t>
      </w:r>
      <w:r>
        <w:rPr>
          <w:rFonts w:ascii="SimHei" w:hAnsi="SimHei" w:eastAsia="黑体"/>
          <w:b/>
          <w:szCs w:val="21"/>
        </w:rPr>
        <w:t xml:space="preserve">3 </w:t>
      </w:r>
      <w:r>
        <w:rPr>
          <w:rFonts w:ascii="SimHei" w:hAnsi="SimHei" w:eastAsia="黑体"/>
          <w:b/>
          <w:szCs w:val="21"/>
        </w:rPr>
        <w:t>职级：</w:t>
      </w:r>
      <w:r>
        <w:rPr>
          <w:rFonts w:ascii="SimHei" w:hAnsi="SimHei" w:eastAsia="黑体"/>
          <w:szCs w:val="21"/>
        </w:rPr>
        <w:t>是指将职位序列作出区分，以区别不同级别所需的能力标准、任职要求，如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1</w:t>
      </w:r>
      <w:r>
        <w:rPr>
          <w:rFonts w:ascii="SimHei" w:hAnsi="SimHei" w:eastAsia="黑体"/>
          <w:szCs w:val="21"/>
        </w:rPr>
        <w:t>、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即为两个职级。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>3.</w:t>
      </w:r>
      <w:r>
        <w:rPr>
          <w:rFonts w:ascii="SimHei" w:hAnsi="SimHei" w:eastAsia="黑体"/>
          <w:b/>
          <w:szCs w:val="21"/>
        </w:rPr>
        <w:t xml:space="preserve">4 </w:t>
      </w:r>
      <w:r>
        <w:rPr>
          <w:rFonts w:ascii="SimHei" w:hAnsi="SimHei" w:eastAsia="黑体"/>
          <w:b/>
          <w:szCs w:val="21"/>
        </w:rPr>
        <w:t>职位族：</w:t>
      </w:r>
      <w:r>
        <w:rPr>
          <w:rFonts w:ascii="SimHei" w:hAnsi="SimHei" w:eastAsia="黑体"/>
          <w:szCs w:val="21"/>
        </w:rPr>
        <w:t>是指将工作内容、性质等相类似职位组合而形成的职位集合。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>3.</w:t>
      </w:r>
      <w:r>
        <w:rPr>
          <w:rFonts w:ascii="SimHei" w:hAnsi="SimHei" w:eastAsia="黑体"/>
          <w:b/>
          <w:szCs w:val="21"/>
        </w:rPr>
        <w:t>5</w:t>
      </w:r>
      <w:r>
        <w:rPr>
          <w:rFonts w:ascii="SimHei" w:hAnsi="SimHei" w:eastAsia="黑体"/>
          <w:b/>
          <w:szCs w:val="21"/>
        </w:rPr>
        <w:t xml:space="preserve"> </w:t>
      </w:r>
      <w:r>
        <w:rPr>
          <w:rFonts w:ascii="SimHei" w:hAnsi="SimHei" w:eastAsia="黑体"/>
          <w:b/>
          <w:szCs w:val="21"/>
        </w:rPr>
        <w:t>职位：</w:t>
      </w:r>
      <w:r>
        <w:rPr>
          <w:rFonts w:ascii="SimHei" w:hAnsi="SimHei" w:eastAsia="黑体"/>
          <w:szCs w:val="21"/>
        </w:rPr>
        <w:t>是组织中的最小结构单元，是指为了完成某一项职能或工作任务而需要具备的能力、责任、权利等的综合称呼。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>3</w:t>
      </w:r>
      <w:r>
        <w:rPr>
          <w:rFonts w:ascii="SimHei" w:hAnsi="SimHei" w:eastAsia="黑体"/>
          <w:b/>
          <w:szCs w:val="21"/>
        </w:rPr>
        <w:t xml:space="preserve">.6 </w:t>
      </w:r>
      <w:r>
        <w:rPr>
          <w:rFonts w:ascii="SimHei" w:hAnsi="SimHei" w:eastAsia="黑体"/>
          <w:b/>
          <w:szCs w:val="21"/>
        </w:rPr>
        <w:t>晋级：</w:t>
      </w:r>
      <w:r>
        <w:rPr>
          <w:rFonts w:ascii="SimHei" w:hAnsi="SimHei" w:eastAsia="黑体"/>
          <w:szCs w:val="21"/>
        </w:rPr>
        <w:t>是指员工能力经评估后达到下一个职级要求，则晋级到下一个职级，如从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3.1</w:t>
      </w:r>
      <w:r>
        <w:rPr>
          <w:rFonts w:ascii="SimHei" w:hAnsi="SimHei" w:eastAsia="黑体"/>
          <w:szCs w:val="21"/>
        </w:rPr>
        <w:t>晋级到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3.2</w:t>
      </w:r>
      <w:r>
        <w:rPr>
          <w:rFonts w:ascii="SimHei" w:hAnsi="SimHei" w:eastAsia="黑体"/>
          <w:szCs w:val="21"/>
        </w:rPr>
        <w:t>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 xml:space="preserve">3.7 </w:t>
      </w:r>
      <w:r>
        <w:rPr>
          <w:rFonts w:ascii="SimHei" w:hAnsi="SimHei" w:eastAsia="黑体"/>
          <w:b/>
          <w:szCs w:val="21"/>
        </w:rPr>
        <w:t>晋职：</w:t>
      </w:r>
      <w:r>
        <w:rPr>
          <w:rFonts w:ascii="SimHei" w:hAnsi="SimHei" w:eastAsia="黑体"/>
          <w:szCs w:val="21"/>
        </w:rPr>
        <w:t>是指员工的职级达到下一个职级对应的职等，如从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工程师级晋职到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3.1</w:t>
      </w:r>
      <w:r>
        <w:rPr>
          <w:rFonts w:ascii="SimHei" w:hAnsi="SimHei" w:eastAsia="黑体"/>
          <w:szCs w:val="21"/>
        </w:rPr>
        <w:t>高级工程师级。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 xml:space="preserve">3.8 </w:t>
      </w:r>
      <w:r>
        <w:rPr>
          <w:rFonts w:ascii="SimHei" w:hAnsi="SimHei" w:eastAsia="黑体"/>
          <w:b/>
          <w:szCs w:val="21"/>
        </w:rPr>
        <w:t>降级：</w:t>
      </w:r>
      <w:r>
        <w:rPr>
          <w:rFonts w:ascii="SimHei" w:hAnsi="SimHei" w:eastAsia="黑体"/>
          <w:szCs w:val="21"/>
        </w:rPr>
        <w:t>是指员工能力经评估后无法胜任该职级要求，则降级到上一个职级，如从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3.1</w:t>
      </w:r>
      <w:r>
        <w:rPr>
          <w:rFonts w:ascii="SimHei" w:hAnsi="SimHei" w:eastAsia="黑体"/>
          <w:szCs w:val="21"/>
        </w:rPr>
        <w:t>降级为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。</w:t>
      </w:r>
    </w:p>
    <w:p>
      <w:pPr>
        <w:pStyle w:val="Normal"/>
        <w:spacing w:lineRule="auto" w:line="360"/>
        <w:ind w:firstLine="211"/>
        <w:rPr>
          <w:szCs w:val="21"/>
        </w:rPr>
      </w:pPr>
      <w:r>
        <w:rPr>
          <w:rFonts w:ascii="SimHei" w:hAnsi="SimHei" w:eastAsia="黑体"/>
          <w:b/>
          <w:szCs w:val="21"/>
        </w:rPr>
        <w:t xml:space="preserve">3.9 </w:t>
      </w:r>
      <w:r>
        <w:rPr>
          <w:rFonts w:ascii="SimHei" w:hAnsi="SimHei" w:eastAsia="黑体"/>
          <w:b/>
          <w:szCs w:val="21"/>
        </w:rPr>
        <w:t>降职：</w:t>
      </w:r>
      <w:r>
        <w:rPr>
          <w:rFonts w:ascii="SimHei" w:hAnsi="SimHei" w:eastAsia="黑体"/>
          <w:szCs w:val="21"/>
        </w:rPr>
        <w:t>是指员工的职级降级到上一个职级对应的职等，如从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3.1</w:t>
      </w:r>
      <w:r>
        <w:rPr>
          <w:rFonts w:ascii="SimHei" w:hAnsi="SimHei" w:eastAsia="黑体"/>
          <w:szCs w:val="21"/>
        </w:rPr>
        <w:t>高级工程师级降职为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工程师级。</w:t>
      </w:r>
    </w:p>
    <w:p>
      <w:pPr>
        <w:pStyle w:val="1"/>
        <w:rPr>
          <w:bCs/>
        </w:rPr>
      </w:pPr>
      <w:r>
        <w:rPr>
          <w:rFonts w:ascii="SimHei" w:hAnsi="SimHei" w:eastAsia="黑体"/>
        </w:rPr>
        <w:t>四、权责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  <w:szCs w:val="21"/>
        </w:rPr>
        <w:t>人力资源中心为本制度管理单位，负责本制定的制定、修改及相关解释，各级员工均需遵照本制度执行。</w:t>
      </w:r>
    </w:p>
    <w:p>
      <w:pPr>
        <w:pStyle w:val="1"/>
        <w:rPr/>
      </w:pPr>
      <w:r>
        <w:rPr>
          <w:rFonts w:ascii="SimHei" w:hAnsi="SimHei" w:eastAsia="黑体"/>
        </w:rPr>
        <w:t>五、职级体系</w:t>
      </w:r>
    </w:p>
    <w:p>
      <w:pPr>
        <w:pStyle w:val="Normal"/>
        <w:spacing w:lineRule="auto" w:line="360"/>
        <w:ind w:firstLine="211"/>
        <w:rPr>
          <w:b/>
          <w:b/>
          <w:szCs w:val="21"/>
        </w:rPr>
      </w:pPr>
      <w:r>
        <w:rPr>
          <w:rFonts w:ascii="SimHei" w:hAnsi="SimHei" w:eastAsia="黑体"/>
          <w:b/>
          <w:szCs w:val="21"/>
        </w:rPr>
        <w:t>5</w:t>
      </w:r>
      <w:r>
        <w:rPr>
          <w:rFonts w:ascii="SimHei" w:hAnsi="SimHei" w:eastAsia="黑体"/>
          <w:b/>
          <w:szCs w:val="21"/>
        </w:rPr>
        <w:t xml:space="preserve">.1 </w:t>
      </w:r>
      <w:r>
        <w:rPr>
          <w:rFonts w:ascii="SimHei" w:hAnsi="SimHei" w:eastAsia="黑体"/>
          <w:b/>
          <w:szCs w:val="21"/>
        </w:rPr>
        <w:t>职级框架</w:t>
      </w:r>
    </w:p>
    <w:tbl>
      <w:tblPr>
        <w:tblW w:w="965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9"/>
        <w:gridCol w:w="1134"/>
        <w:gridCol w:w="1134"/>
        <w:gridCol w:w="1134"/>
        <w:gridCol w:w="851"/>
        <w:gridCol w:w="1134"/>
        <w:gridCol w:w="850"/>
        <w:gridCol w:w="1134"/>
        <w:gridCol w:w="1574"/>
      </w:tblGrid>
      <w:tr>
        <w:trPr>
          <w:trHeight w:val="275" w:hRule="atLeast"/>
        </w:trPr>
        <w:tc>
          <w:tcPr>
            <w:tcW w:w="965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职级框架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职级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管理通道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专业通道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序列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职等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序列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序列</w:t>
            </w:r>
          </w:p>
        </w:tc>
        <w:tc>
          <w:tcPr>
            <w:tcW w:w="15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职等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M5</w:t>
            </w:r>
          </w:p>
        </w:tc>
        <w:tc>
          <w:tcPr>
            <w:tcW w:w="2268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？</w:t>
            </w: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级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I7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T7</w:t>
            </w:r>
          </w:p>
        </w:tc>
        <w:tc>
          <w:tcPr>
            <w:tcW w:w="15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首席</w:t>
            </w: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科学家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8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I6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T6</w:t>
            </w:r>
          </w:p>
        </w:tc>
        <w:tc>
          <w:tcPr>
            <w:tcW w:w="15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架构师级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M4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M4.2</w:t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VP</w:t>
            </w: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级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T5</w:t>
            </w:r>
          </w:p>
        </w:tc>
        <w:tc>
          <w:tcPr>
            <w:tcW w:w="15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专家级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M4.1</w:t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1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I4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I4.3</w:t>
            </w:r>
          </w:p>
        </w:tc>
        <w:tc>
          <w:tcPr>
            <w:tcW w:w="85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T4.3</w:t>
            </w:r>
          </w:p>
        </w:tc>
        <w:tc>
          <w:tcPr>
            <w:tcW w:w="157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资深工程师级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M3.2</w:t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总经理级</w:t>
            </w:r>
          </w:p>
        </w:tc>
        <w:tc>
          <w:tcPr>
            <w:tcW w:w="85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I4.2</w:t>
            </w:r>
          </w:p>
        </w:tc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T4.2</w:t>
            </w:r>
          </w:p>
        </w:tc>
        <w:tc>
          <w:tcPr>
            <w:tcW w:w="15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M3.1</w:t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I4.1</w:t>
            </w:r>
          </w:p>
        </w:tc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T4.1</w:t>
            </w:r>
          </w:p>
        </w:tc>
        <w:tc>
          <w:tcPr>
            <w:tcW w:w="15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M2.2</w:t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总监级</w:t>
            </w:r>
          </w:p>
        </w:tc>
        <w:tc>
          <w:tcPr>
            <w:tcW w:w="851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I3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I3.3</w:t>
            </w:r>
          </w:p>
        </w:tc>
        <w:tc>
          <w:tcPr>
            <w:tcW w:w="85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T3.3</w:t>
            </w:r>
          </w:p>
        </w:tc>
        <w:tc>
          <w:tcPr>
            <w:tcW w:w="157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高级工程师级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M2.1</w:t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5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I3.2</w:t>
            </w:r>
          </w:p>
        </w:tc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T3.2</w:t>
            </w:r>
          </w:p>
        </w:tc>
        <w:tc>
          <w:tcPr>
            <w:tcW w:w="15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M1.2</w:t>
            </w:r>
          </w:p>
        </w:tc>
        <w:tc>
          <w:tcPr>
            <w:tcW w:w="113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经理级</w:t>
            </w:r>
          </w:p>
        </w:tc>
        <w:tc>
          <w:tcPr>
            <w:tcW w:w="85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I3.1</w:t>
            </w:r>
          </w:p>
        </w:tc>
        <w:tc>
          <w:tcPr>
            <w:tcW w:w="8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T3.1</w:t>
            </w:r>
          </w:p>
        </w:tc>
        <w:tc>
          <w:tcPr>
            <w:tcW w:w="15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M1.1</w:t>
            </w:r>
          </w:p>
        </w:tc>
        <w:tc>
          <w:tcPr>
            <w:tcW w:w="11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I2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工程师级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2268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组长</w:t>
            </w: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主管级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I1</w:t>
            </w:r>
          </w:p>
        </w:tc>
        <w:tc>
          <w:tcPr>
            <w:tcW w:w="198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74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助理工程师级</w:t>
            </w:r>
          </w:p>
        </w:tc>
      </w:tr>
      <w:tr>
        <w:trPr>
          <w:trHeight w:val="275" w:hRule="atLeast"/>
        </w:trPr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8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6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6"/>
                <w:szCs w:val="16"/>
              </w:rPr>
              <w:t>I0</w:t>
            </w:r>
          </w:p>
        </w:tc>
        <w:tc>
          <w:tcPr>
            <w:tcW w:w="198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7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/>
        <w:ind w:firstLine="211"/>
        <w:rPr>
          <w:b/>
          <w:b/>
          <w:szCs w:val="21"/>
        </w:rPr>
      </w:pPr>
      <w:r>
        <w:rPr>
          <w:rFonts w:ascii="SimHei" w:hAnsi="SimHei" w:eastAsia="黑体"/>
          <w:b/>
          <w:szCs w:val="21"/>
        </w:rPr>
        <w:t>5</w:t>
      </w:r>
      <w:r>
        <w:rPr>
          <w:rFonts w:ascii="SimHei" w:hAnsi="SimHei" w:eastAsia="黑体"/>
          <w:b/>
          <w:szCs w:val="21"/>
        </w:rPr>
        <w:t>.</w:t>
      </w:r>
      <w:r>
        <w:rPr>
          <w:rFonts w:ascii="SimHei" w:hAnsi="SimHei" w:eastAsia="黑体"/>
          <w:b/>
          <w:szCs w:val="21"/>
        </w:rPr>
        <w:t>2</w:t>
      </w:r>
      <w:r>
        <w:rPr>
          <w:rFonts w:ascii="SimHei" w:hAnsi="SimHei" w:eastAsia="黑体"/>
          <w:b/>
          <w:szCs w:val="21"/>
        </w:rPr>
        <w:t xml:space="preserve"> </w:t>
      </w:r>
      <w:r>
        <w:rPr>
          <w:rFonts w:ascii="SimHei" w:hAnsi="SimHei" w:eastAsia="黑体"/>
          <w:b/>
          <w:szCs w:val="21"/>
        </w:rPr>
        <w:t>职级标准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职级标准是各职级的人才画像，集合了各职级对人的能力和综合素质的要求，员工必须达到相应标准才能被评定到该职级。研发团队的职级标准请见《研发职级标准》（附件</w:t>
      </w:r>
      <w:r>
        <w:rPr>
          <w:rFonts w:ascii="SimHei" w:hAnsi="SimHei" w:eastAsia="黑体"/>
          <w:szCs w:val="21"/>
        </w:rPr>
        <w:t>1</w:t>
      </w:r>
      <w:r>
        <w:rPr>
          <w:rFonts w:ascii="SimHei" w:hAnsi="SimHei" w:eastAsia="黑体"/>
          <w:szCs w:val="21"/>
        </w:rPr>
        <w:t>）。</w:t>
      </w:r>
    </w:p>
    <w:p>
      <w:pPr>
        <w:pStyle w:val="Normal"/>
        <w:spacing w:lineRule="auto" w:line="360"/>
        <w:ind w:firstLine="211"/>
        <w:rPr>
          <w:b/>
          <w:b/>
          <w:szCs w:val="21"/>
        </w:rPr>
      </w:pPr>
      <w:r>
        <w:rPr>
          <w:rFonts w:ascii="SimHei" w:hAnsi="SimHei" w:eastAsia="黑体"/>
          <w:b/>
          <w:szCs w:val="21"/>
        </w:rPr>
        <w:t xml:space="preserve">5.3 </w:t>
      </w:r>
      <w:r>
        <w:rPr>
          <w:rFonts w:ascii="SimHei" w:hAnsi="SimHei" w:eastAsia="黑体"/>
          <w:b/>
          <w:szCs w:val="21"/>
        </w:rPr>
        <w:t>职业发展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职业发展通道是员工可能在公司可能的发展路径。公司的职业通道分为管理通道（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序列）和专业通道（</w:t>
      </w:r>
      <w:r>
        <w:rPr>
          <w:rFonts w:ascii="SimHei" w:hAnsi="SimHei" w:eastAsia="黑体"/>
          <w:szCs w:val="21"/>
        </w:rPr>
        <w:t>I/T</w:t>
      </w:r>
      <w:r>
        <w:rPr>
          <w:rFonts w:ascii="SimHei" w:hAnsi="SimHei" w:eastAsia="黑体"/>
          <w:szCs w:val="21"/>
        </w:rPr>
        <w:t>序列），根据员工意愿和能力，两个通道可以转换发展。研发团队的职业发展通道如下：</w:t>
      </w:r>
    </w:p>
    <w:tbl>
      <w:tblPr>
        <w:tblW w:w="520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00"/>
        <w:gridCol w:w="1300"/>
        <w:gridCol w:w="1300"/>
        <w:gridCol w:w="1300"/>
      </w:tblGrid>
      <w:tr>
        <w:trPr>
          <w:trHeight w:val="320" w:hRule="atLeast"/>
        </w:trPr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M5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T7</w:t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M4.2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3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T6</w:t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M4.1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3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M3.2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30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T5</w:t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M3.1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30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M2.2</w:t>
            </w:r>
          </w:p>
        </w:tc>
        <w:tc>
          <w:tcPr>
            <w:tcW w:w="260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24"/>
                <w:highlight w:val="yellow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4"/>
              </w:rPr>
              <w:t>M+I/T</w:t>
            </w: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双通道</w:t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T4.3</w:t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M2.1</w:t>
            </w:r>
          </w:p>
        </w:tc>
        <w:tc>
          <w:tcPr>
            <w:tcW w:w="260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24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24"/>
                <w:szCs w:val="18"/>
              </w:rPr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T4.2</w:t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M1.2</w:t>
            </w:r>
          </w:p>
        </w:tc>
        <w:tc>
          <w:tcPr>
            <w:tcW w:w="260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24"/>
                <w:szCs w:val="18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24"/>
                <w:szCs w:val="18"/>
              </w:rPr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T4.1</w:t>
            </w:r>
          </w:p>
        </w:tc>
      </w:tr>
      <w:tr>
        <w:trPr>
          <w:trHeight w:val="320" w:hRule="atLeast"/>
        </w:trPr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M1.1</w:t>
            </w:r>
          </w:p>
        </w:tc>
        <w:tc>
          <w:tcPr>
            <w:tcW w:w="260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000000"/>
                <w:kern w:val="0"/>
                <w:sz w:val="24"/>
                <w:szCs w:val="18"/>
                <w:highlight w:val="yellow"/>
              </w:rPr>
            </w:pPr>
            <w:r>
              <w:rPr>
                <w:rFonts w:eastAsia="等线;DengXian" w:cs="宋体;SimSun" w:ascii="等线;DengXian" w:hAnsi="等线;DengXian"/>
                <w:color w:val="000000"/>
                <w:kern w:val="0"/>
                <w:sz w:val="24"/>
                <w:szCs w:val="18"/>
                <w:highlight w:val="yellow"/>
              </w:rPr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T3.3</w:t>
            </w:r>
          </w:p>
        </w:tc>
      </w:tr>
      <w:tr>
        <w:trPr>
          <w:trHeight w:val="320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1300" w:type="dxa"/>
            <w:tcBorders>
              <w:bottom w:val="single" w:sz="4" w:space="0" w:color="000000"/>
              <w:end w:val="single" w:sz="4" w:space="0" w:color="000000"/>
            </w:tcBorders>
            <w:shd w:fill="FFC00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I/T3.2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I/T3.1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I/T2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I/T1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Times New Roman" w:cs="宋体;SimSun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I/T0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研发团队提倡以夯实专业能力为基础，在合适情况下发展管理能力。为此，在管理通道的前五个职级（具体指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0</w:t>
      </w:r>
      <w:r>
        <w:rPr>
          <w:rFonts w:ascii="SimHei" w:hAnsi="SimHei" w:eastAsia="黑体"/>
          <w:szCs w:val="21"/>
        </w:rPr>
        <w:t>、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1.1</w:t>
      </w:r>
      <w:r>
        <w:rPr>
          <w:rFonts w:ascii="SimHei" w:hAnsi="SimHei" w:eastAsia="黑体"/>
          <w:szCs w:val="21"/>
        </w:rPr>
        <w:t>、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1.2</w:t>
      </w:r>
      <w:r>
        <w:rPr>
          <w:rFonts w:ascii="SimHei" w:hAnsi="SimHei" w:eastAsia="黑体"/>
          <w:szCs w:val="21"/>
        </w:rPr>
        <w:t>、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2.1</w:t>
      </w:r>
      <w:r>
        <w:rPr>
          <w:rFonts w:ascii="SimHei" w:hAnsi="SimHei" w:eastAsia="黑体"/>
          <w:szCs w:val="21"/>
        </w:rPr>
        <w:t>、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2.2</w:t>
      </w:r>
      <w:r>
        <w:rPr>
          <w:rFonts w:ascii="SimHei" w:hAnsi="SimHei" w:eastAsia="黑体"/>
          <w:szCs w:val="21"/>
        </w:rPr>
        <w:t>）设计了与专业通道双通道并行发展的机制，即该几个管理职级的员工同时也需要评估专业职级，除此外其它职级均为单通道发展。双通道发展的，职级对应的薪酬按“就高不就低”给予定薪。专业职级达到一定职级后方可进行管理职级晋级，具体规则为：</w:t>
      </w:r>
    </w:p>
    <w:p>
      <w:pPr>
        <w:pStyle w:val="Normal"/>
        <w:numPr>
          <w:ilvl w:val="0"/>
          <w:numId w:val="3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往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0</w:t>
      </w:r>
      <w:r>
        <w:rPr>
          <w:rFonts w:ascii="SimHei" w:hAnsi="SimHei" w:eastAsia="黑体"/>
          <w:szCs w:val="21"/>
        </w:rPr>
        <w:t>晋级的，专业职级不得低于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3.2</w:t>
      </w:r>
      <w:r>
        <w:rPr>
          <w:rFonts w:ascii="SimHei" w:hAnsi="SimHei" w:eastAsia="黑体"/>
          <w:szCs w:val="21"/>
        </w:rPr>
        <w:t>；</w:t>
      </w:r>
    </w:p>
    <w:p>
      <w:pPr>
        <w:pStyle w:val="Normal"/>
        <w:numPr>
          <w:ilvl w:val="0"/>
          <w:numId w:val="3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往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1.1</w:t>
      </w:r>
      <w:r>
        <w:rPr>
          <w:rFonts w:ascii="SimHei" w:hAnsi="SimHei" w:eastAsia="黑体"/>
          <w:szCs w:val="21"/>
        </w:rPr>
        <w:t>晋级的，专业职级不得低于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3.3</w:t>
      </w:r>
      <w:r>
        <w:rPr>
          <w:rFonts w:ascii="SimHei" w:hAnsi="SimHei" w:eastAsia="黑体"/>
          <w:szCs w:val="21"/>
        </w:rPr>
        <w:t>；</w:t>
      </w:r>
    </w:p>
    <w:p>
      <w:pPr>
        <w:pStyle w:val="Normal"/>
        <w:numPr>
          <w:ilvl w:val="0"/>
          <w:numId w:val="3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往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1.2</w:t>
      </w:r>
      <w:r>
        <w:rPr>
          <w:rFonts w:ascii="SimHei" w:hAnsi="SimHei" w:eastAsia="黑体"/>
          <w:szCs w:val="21"/>
        </w:rPr>
        <w:t>晋级的，专业职级不得低于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4.1</w:t>
      </w:r>
      <w:r>
        <w:rPr>
          <w:rFonts w:ascii="SimHei" w:hAnsi="SimHei" w:eastAsia="黑体"/>
          <w:szCs w:val="21"/>
        </w:rPr>
        <w:t>；</w:t>
      </w:r>
    </w:p>
    <w:p>
      <w:pPr>
        <w:pStyle w:val="Normal"/>
        <w:numPr>
          <w:ilvl w:val="0"/>
          <w:numId w:val="3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往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2.1</w:t>
      </w:r>
      <w:r>
        <w:rPr>
          <w:rFonts w:ascii="SimHei" w:hAnsi="SimHei" w:eastAsia="黑体"/>
          <w:szCs w:val="21"/>
        </w:rPr>
        <w:t>晋级的，专业职级不得低于</w:t>
      </w:r>
      <w:r>
        <w:rPr>
          <w:rFonts w:ascii="SimHei" w:hAnsi="SimHei" w:eastAsia="黑体"/>
          <w:szCs w:val="21"/>
        </w:rPr>
        <w:t>I/T</w:t>
      </w:r>
      <w:r>
        <w:rPr>
          <w:rFonts w:ascii="SimHei" w:hAnsi="SimHei" w:eastAsia="黑体"/>
          <w:szCs w:val="21"/>
        </w:rPr>
        <w:t>4.2</w:t>
      </w:r>
      <w:r>
        <w:rPr>
          <w:rFonts w:ascii="SimHei" w:hAnsi="SimHei" w:eastAsia="黑体"/>
          <w:szCs w:val="21"/>
        </w:rPr>
        <w:t>；</w:t>
      </w:r>
    </w:p>
    <w:p>
      <w:pPr>
        <w:pStyle w:val="Normal"/>
        <w:numPr>
          <w:ilvl w:val="0"/>
          <w:numId w:val="3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往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.</w:t>
      </w: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晋级的，专业职级不得低于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4.3</w:t>
      </w:r>
      <w:r>
        <w:rPr>
          <w:rFonts w:ascii="SimHei" w:hAnsi="SimHei" w:eastAsia="黑体"/>
          <w:szCs w:val="21"/>
        </w:rPr>
        <w:t>。</w:t>
      </w:r>
    </w:p>
    <w:p>
      <w:pPr>
        <w:pStyle w:val="Normal"/>
        <w:numPr>
          <w:ilvl w:val="0"/>
          <w:numId w:val="3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往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3.1</w:t>
      </w:r>
      <w:r>
        <w:rPr>
          <w:rFonts w:ascii="SimHei" w:hAnsi="SimHei" w:eastAsia="黑体"/>
          <w:szCs w:val="21"/>
        </w:rPr>
        <w:t>及以上晋级的，不再限定专业职级要求。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 xml:space="preserve">5.3.1 </w:t>
      </w:r>
      <w:r>
        <w:rPr>
          <w:rFonts w:ascii="SimHei" w:hAnsi="SimHei" w:eastAsia="黑体"/>
          <w:szCs w:val="21"/>
        </w:rPr>
        <w:t>职业发展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员工专业能力达到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3.2</w:t>
      </w:r>
      <w:r>
        <w:rPr>
          <w:rFonts w:ascii="SimHei" w:hAnsi="SimHei" w:eastAsia="黑体"/>
          <w:szCs w:val="21"/>
        </w:rPr>
        <w:t>的职级及以上时，如果团队内部有职位空缺且员工有能力和意愿往管理序列方向发展，可以申请从专业序列往管理序列发展（起始职级为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0</w:t>
      </w:r>
      <w:r>
        <w:rPr>
          <w:rFonts w:ascii="SimHei" w:hAnsi="SimHei" w:eastAsia="黑体"/>
          <w:szCs w:val="21"/>
        </w:rPr>
        <w:t>）；同样，如果员工处于管理通道上，但员工有能力和意愿往专业序列方向发展，也可申请从管理序列往专业序列发展。公司鼓励员工内部合理流动，包括异动、跨序列发展等。跨序列发展需经过职级评定委员会评定新的职级后方可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 xml:space="preserve">5.3.2 </w:t>
      </w:r>
      <w:r>
        <w:rPr>
          <w:rFonts w:ascii="SimHei" w:hAnsi="SimHei" w:eastAsia="黑体"/>
          <w:szCs w:val="21"/>
        </w:rPr>
        <w:t>晋级晋职与降级降职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员工的发展有升有降，员工的能力达到相应职级标准则匹配对应职级、职等，包括晋级晋职与降级降职。晋级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降级是晋职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降职的基础，职级升、降后则对应进行职等的调整。原则上逐级晋级和降级，特殊情况可除外。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1</w:t>
      </w:r>
      <w:r>
        <w:rPr>
          <w:rFonts w:ascii="SimHei" w:hAnsi="SimHei" w:eastAsia="黑体"/>
          <w:szCs w:val="21"/>
        </w:rPr>
        <w:t>）、晋级：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以员工能力和工作业绩为基础，如果员工能力超出本职级标准达到下一职级标准，则可以申请进行晋级，</w:t>
      </w:r>
    </w:p>
    <w:tbl>
      <w:tblPr>
        <w:tblW w:w="988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26"/>
        <w:gridCol w:w="2268"/>
        <w:gridCol w:w="992"/>
        <w:gridCol w:w="1701"/>
        <w:gridCol w:w="1134"/>
        <w:gridCol w:w="1134"/>
        <w:gridCol w:w="1134"/>
      </w:tblGrid>
      <w:tr>
        <w:trPr>
          <w:trHeight w:val="348" w:hRule="atLeast"/>
        </w:trPr>
        <w:tc>
          <w:tcPr>
            <w:tcW w:w="9889" w:type="dxa"/>
            <w:gridSpan w:val="7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晋级要求</w:t>
            </w:r>
          </w:p>
        </w:tc>
      </w:tr>
      <w:tr>
        <w:trPr>
          <w:trHeight w:val="348" w:hRule="atLeast"/>
        </w:trPr>
        <w:tc>
          <w:tcPr>
            <w:tcW w:w="1526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层级</w:t>
            </w:r>
          </w:p>
        </w:tc>
        <w:tc>
          <w:tcPr>
            <w:tcW w:w="2268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晋升申报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基本资历</w:t>
            </w:r>
          </w:p>
        </w:tc>
        <w:tc>
          <w:tcPr>
            <w:tcW w:w="1134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能力要求</w:t>
            </w:r>
          </w:p>
        </w:tc>
        <w:tc>
          <w:tcPr>
            <w:tcW w:w="1134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价值观</w:t>
            </w:r>
          </w:p>
        </w:tc>
        <w:tc>
          <w:tcPr>
            <w:tcW w:w="1134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绿色通道</w:t>
            </w:r>
          </w:p>
        </w:tc>
      </w:tr>
      <w:tr>
        <w:trPr>
          <w:trHeight w:val="348" w:hRule="atLeast"/>
        </w:trPr>
        <w:tc>
          <w:tcPr>
            <w:tcW w:w="1526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年限</w:t>
            </w:r>
          </w:p>
        </w:tc>
        <w:tc>
          <w:tcPr>
            <w:tcW w:w="1701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b/>
                <w:bCs/>
                <w:color w:val="000000"/>
                <w:sz w:val="18"/>
                <w:szCs w:val="18"/>
              </w:rPr>
              <w:t>绩效</w:t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1126" w:hRule="atLeast"/>
        </w:trPr>
        <w:tc>
          <w:tcPr>
            <w:tcW w:w="1526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I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/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T3.3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晋级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I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/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T4.1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或以上职级晋升</w:t>
            </w:r>
          </w:p>
        </w:tc>
        <w:tc>
          <w:tcPr>
            <w:tcW w:w="2268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二级部门以上负责人提名，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HRBP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审核资格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在上一职级至少工作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1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年</w:t>
            </w:r>
          </w:p>
        </w:tc>
        <w:tc>
          <w:tcPr>
            <w:tcW w:w="1701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最近半年考核不得有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B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或更低</w:t>
            </w:r>
          </w:p>
        </w:tc>
        <w:tc>
          <w:tcPr>
            <w:tcW w:w="1134" w:type="dxa"/>
            <w:vMerge w:val="restart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按相关职级标准要求进行严格评定，须满足全部要求，半年内不得有重大过失。</w:t>
            </w:r>
          </w:p>
        </w:tc>
        <w:tc>
          <w:tcPr>
            <w:tcW w:w="1134" w:type="dxa"/>
            <w:vMerge w:val="restart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结合公司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/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部门价值观，通常作为一票否决。</w:t>
            </w:r>
          </w:p>
        </w:tc>
        <w:tc>
          <w:tcPr>
            <w:tcW w:w="1134" w:type="dxa"/>
            <w:vMerge w:val="restart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绩效持续优秀的员工，可适当放宽资历条件限制，须经相关委员会确认。</w:t>
            </w:r>
          </w:p>
        </w:tc>
      </w:tr>
      <w:tr>
        <w:trPr>
          <w:trHeight w:val="1186" w:hRule="atLeast"/>
        </w:trPr>
        <w:tc>
          <w:tcPr>
            <w:tcW w:w="15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I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/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T3.2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及以下职级晋升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员工可自己申请或由二级部门负责人提名，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HRBP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审核资格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在上一职级至少工作半年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最近半年绩效至少有一次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B+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或以上</w:t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color w:val="000000"/>
                <w:sz w:val="18"/>
                <w:szCs w:val="18"/>
              </w:rPr>
            </w:r>
          </w:p>
        </w:tc>
      </w:tr>
      <w:tr>
        <w:trPr>
          <w:trHeight w:val="1186" w:hRule="atLeast"/>
        </w:trPr>
        <w:tc>
          <w:tcPr>
            <w:tcW w:w="15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I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/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T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3.2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及以上晋级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M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0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或以上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往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M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0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晋级的员工可自己申请或由二级部门负责人提名，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HRBP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审核资格；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M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0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往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M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1.1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及以上晋升的，需由直接上级提名，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HRBP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Head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审核资格。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在上一职级至少工作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1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年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最近半年考核不得有</w:t>
            </w:r>
            <w:r>
              <w:rPr>
                <w:rFonts w:eastAsia="黑体" w:cs="等线;DengXian" w:ascii="SimHei" w:hAnsi="SimHei"/>
                <w:color w:val="000000"/>
                <w:sz w:val="18"/>
                <w:szCs w:val="18"/>
              </w:rPr>
              <w:t>B</w:t>
            </w:r>
            <w:r>
              <w:rPr>
                <w:rFonts w:ascii="SimHei" w:hAnsi="SimHei" w:cs="等线;DengXian" w:eastAsia="黑体"/>
                <w:color w:val="000000"/>
                <w:sz w:val="18"/>
                <w:szCs w:val="18"/>
              </w:rPr>
              <w:t>或更低</w:t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等线;DengXian" w:hAnsi="等线;DengXian" w:eastAsia="等线;DengXian" w:cs="等线;DengXian"/>
                <w:color w:val="000000"/>
                <w:sz w:val="18"/>
                <w:szCs w:val="18"/>
              </w:rPr>
            </w:pPr>
            <w:r>
              <w:rPr>
                <w:rFonts w:eastAsia="等线;DengXian" w:cs="等线;DengXian" w:ascii="等线;DengXian" w:hAnsi="等线;DengXian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经评估通过后，晋级到下一职级。晋级要求如下：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）、降级：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符合以下条件的可以降级：</w:t>
      </w:r>
    </w:p>
    <w:p>
      <w:pPr>
        <w:pStyle w:val="Normal"/>
        <w:numPr>
          <w:ilvl w:val="0"/>
          <w:numId w:val="4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员工能力不能满足本职级标准，只能匹配更低职级要求的；</w:t>
      </w:r>
    </w:p>
    <w:p>
      <w:pPr>
        <w:pStyle w:val="Normal"/>
        <w:numPr>
          <w:ilvl w:val="0"/>
          <w:numId w:val="4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员工在上一个绩效考核周期内有重大工作失误的；</w:t>
      </w:r>
    </w:p>
    <w:p>
      <w:pPr>
        <w:pStyle w:val="Normal"/>
        <w:numPr>
          <w:ilvl w:val="0"/>
          <w:numId w:val="4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员工工作态度消极、与公司价值观不匹配的；</w:t>
      </w:r>
    </w:p>
    <w:p>
      <w:pPr>
        <w:pStyle w:val="Normal"/>
        <w:numPr>
          <w:ilvl w:val="0"/>
          <w:numId w:val="4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一年内接受过公司重大处分的；</w:t>
      </w:r>
    </w:p>
    <w:p>
      <w:pPr>
        <w:pStyle w:val="Normal"/>
        <w:numPr>
          <w:ilvl w:val="0"/>
          <w:numId w:val="4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其它认定的符合降级情况的。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5</w:t>
      </w:r>
      <w:r>
        <w:rPr>
          <w:rFonts w:ascii="SimHei" w:hAnsi="SimHei" w:eastAsia="黑体"/>
          <w:szCs w:val="21"/>
        </w:rPr>
        <w:t xml:space="preserve">.3.3 </w:t>
      </w:r>
      <w:r>
        <w:rPr>
          <w:rFonts w:ascii="SimHei" w:hAnsi="SimHei" w:eastAsia="黑体"/>
          <w:szCs w:val="21"/>
        </w:rPr>
        <w:t>组织结构与职级职等匹配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为规范各级组织架构的人员任命及管理，匹配各级组织职责，健全人才管理体系，保障各级组织人岗匹配，特规定如下：</w:t>
      </w:r>
    </w:p>
    <w:p>
      <w:pPr>
        <w:pStyle w:val="Normal"/>
        <w:numPr>
          <w:ilvl w:val="0"/>
          <w:numId w:val="2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三级部门（如</w:t>
      </w:r>
      <w:r>
        <w:rPr>
          <w:rFonts w:ascii="SimHei" w:hAnsi="SimHei" w:eastAsia="黑体"/>
          <w:szCs w:val="21"/>
        </w:rPr>
        <w:t>XX</w:t>
      </w:r>
      <w:r>
        <w:rPr>
          <w:rFonts w:ascii="SimHei" w:hAnsi="SimHei" w:eastAsia="黑体"/>
          <w:szCs w:val="21"/>
        </w:rPr>
        <w:t>组）负责人职级需在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0+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3.2</w:t>
      </w:r>
      <w:r>
        <w:rPr>
          <w:rFonts w:ascii="SimHei" w:hAnsi="SimHei" w:eastAsia="黑体"/>
          <w:szCs w:val="21"/>
        </w:rPr>
        <w:t>及以上；</w:t>
      </w:r>
    </w:p>
    <w:p>
      <w:pPr>
        <w:pStyle w:val="Normal"/>
        <w:numPr>
          <w:ilvl w:val="0"/>
          <w:numId w:val="2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二级部门（如</w:t>
      </w:r>
      <w:r>
        <w:rPr>
          <w:rFonts w:ascii="SimHei" w:hAnsi="SimHei" w:eastAsia="黑体"/>
          <w:szCs w:val="21"/>
        </w:rPr>
        <w:t>XX</w:t>
      </w:r>
      <w:r>
        <w:rPr>
          <w:rFonts w:ascii="SimHei" w:hAnsi="SimHei" w:eastAsia="黑体"/>
          <w:szCs w:val="21"/>
        </w:rPr>
        <w:t>部）负责人职级需在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1.1+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3.3</w:t>
      </w:r>
      <w:r>
        <w:rPr>
          <w:rFonts w:ascii="SimHei" w:hAnsi="SimHei" w:eastAsia="黑体"/>
          <w:szCs w:val="21"/>
        </w:rPr>
        <w:t>及以上；</w:t>
      </w:r>
    </w:p>
    <w:p>
      <w:pPr>
        <w:pStyle w:val="Normal"/>
        <w:numPr>
          <w:ilvl w:val="0"/>
          <w:numId w:val="2"/>
        </w:numPr>
        <w:spacing w:lineRule="auto" w:line="360"/>
        <w:rPr>
          <w:szCs w:val="21"/>
        </w:rPr>
      </w:pPr>
      <w:r>
        <w:rPr>
          <w:rFonts w:ascii="SimHei" w:hAnsi="SimHei" w:eastAsia="黑体"/>
          <w:szCs w:val="21"/>
        </w:rPr>
        <w:t>一级部门（如</w:t>
      </w:r>
      <w:r>
        <w:rPr>
          <w:rFonts w:ascii="SimHei" w:hAnsi="SimHei" w:eastAsia="黑体"/>
          <w:szCs w:val="21"/>
        </w:rPr>
        <w:t>XX</w:t>
      </w:r>
      <w:r>
        <w:rPr>
          <w:rFonts w:ascii="SimHei" w:hAnsi="SimHei" w:eastAsia="黑体"/>
          <w:szCs w:val="21"/>
        </w:rPr>
        <w:t>中心）负责人职级需在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2.1+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4.2</w:t>
      </w:r>
      <w:r>
        <w:rPr>
          <w:rFonts w:ascii="SimHei" w:hAnsi="SimHei" w:eastAsia="黑体"/>
          <w:szCs w:val="21"/>
        </w:rPr>
        <w:t>及以上。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各级组织架构对应负责人可以高配职级，但不得低于以上职级要求；特殊情况除外。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5</w:t>
      </w:r>
      <w:r>
        <w:rPr>
          <w:rFonts w:ascii="SimHei" w:hAnsi="SimHei" w:eastAsia="黑体"/>
          <w:szCs w:val="21"/>
        </w:rPr>
        <w:t xml:space="preserve">.3.4 </w:t>
      </w:r>
      <w:r>
        <w:rPr>
          <w:rFonts w:ascii="SimHei" w:hAnsi="SimHei" w:eastAsia="黑体"/>
          <w:szCs w:val="21"/>
        </w:rPr>
        <w:t>其它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1</w:t>
      </w:r>
      <w:r>
        <w:rPr>
          <w:rFonts w:ascii="SimHei" w:hAnsi="SimHei" w:eastAsia="黑体"/>
          <w:szCs w:val="21"/>
        </w:rPr>
        <w:t>）、时间窗口：以每半年（每年</w:t>
      </w:r>
      <w:r>
        <w:rPr>
          <w:rFonts w:ascii="SimHei" w:hAnsi="SimHei" w:eastAsia="黑体"/>
          <w:szCs w:val="21"/>
        </w:rPr>
        <w:t>1</w:t>
      </w:r>
      <w:r>
        <w:rPr>
          <w:rFonts w:ascii="SimHei" w:hAnsi="SimHei" w:eastAsia="黑体"/>
          <w:szCs w:val="21"/>
        </w:rPr>
        <w:t>月和</w:t>
      </w:r>
      <w:r>
        <w:rPr>
          <w:rFonts w:ascii="SimHei" w:hAnsi="SimHei" w:eastAsia="黑体"/>
          <w:szCs w:val="21"/>
        </w:rPr>
        <w:t>7</w:t>
      </w:r>
      <w:r>
        <w:rPr>
          <w:rFonts w:ascii="SimHei" w:hAnsi="SimHei" w:eastAsia="黑体"/>
          <w:szCs w:val="21"/>
        </w:rPr>
        <w:t>月）为一个窗口期评估员工能力与职级匹配情况，进行晋级晋职或降级降职工作，特殊情况除外。管理通道</w:t>
      </w:r>
      <w:r>
        <w:rPr>
          <w:rFonts w:ascii="SimHei" w:hAnsi="SimHei" w:eastAsia="黑体"/>
          <w:szCs w:val="21"/>
        </w:rPr>
        <w:t>M</w:t>
      </w:r>
      <w:r>
        <w:rPr>
          <w:rFonts w:ascii="SimHei" w:hAnsi="SimHei" w:eastAsia="黑体"/>
          <w:szCs w:val="21"/>
        </w:rPr>
        <w:t>1.1</w:t>
      </w:r>
      <w:r>
        <w:rPr>
          <w:rFonts w:ascii="SimHei" w:hAnsi="SimHei" w:eastAsia="黑体"/>
          <w:szCs w:val="21"/>
        </w:rPr>
        <w:t>及以上级别的，每年</w:t>
      </w:r>
      <w:r>
        <w:rPr>
          <w:rFonts w:ascii="SimHei" w:hAnsi="SimHei" w:eastAsia="黑体"/>
          <w:szCs w:val="21"/>
        </w:rPr>
        <w:t>1</w:t>
      </w:r>
      <w:r>
        <w:rPr>
          <w:rFonts w:ascii="SimHei" w:hAnsi="SimHei" w:eastAsia="黑体"/>
          <w:szCs w:val="21"/>
        </w:rPr>
        <w:t>月均需参与管理述职。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2</w:t>
      </w:r>
      <w:r>
        <w:rPr>
          <w:rFonts w:ascii="SimHei" w:hAnsi="SimHei" w:eastAsia="黑体"/>
          <w:szCs w:val="21"/>
        </w:rPr>
        <w:t>）、主导单位：由</w:t>
      </w:r>
      <w:r>
        <w:rPr>
          <w:rFonts w:ascii="SimHei" w:hAnsi="SimHei" w:eastAsia="黑体"/>
          <w:szCs w:val="21"/>
        </w:rPr>
        <w:t>HR</w:t>
      </w:r>
      <w:r>
        <w:rPr>
          <w:rFonts w:ascii="SimHei" w:hAnsi="SimHei" w:eastAsia="黑体"/>
          <w:szCs w:val="21"/>
        </w:rPr>
        <w:t>主导开展，各级员工参与，职级评定委员会进行评定。</w:t>
      </w:r>
    </w:p>
    <w:p>
      <w:pPr>
        <w:pStyle w:val="Normal"/>
        <w:spacing w:lineRule="auto" w:line="360"/>
        <w:ind w:firstLine="210"/>
        <w:rPr>
          <w:szCs w:val="21"/>
        </w:rPr>
      </w:pPr>
      <w:r>
        <w:rPr>
          <w:rFonts w:ascii="SimHei" w:hAnsi="SimHei" w:eastAsia="黑体"/>
          <w:szCs w:val="21"/>
        </w:rPr>
        <w:t>3</w:t>
      </w:r>
      <w:r>
        <w:rPr>
          <w:rFonts w:ascii="SimHei" w:hAnsi="SimHei" w:eastAsia="黑体"/>
          <w:szCs w:val="21"/>
        </w:rPr>
        <w:t>）、组织形式：由待晋级候选人进行现场述职。其中</w:t>
      </w:r>
      <w:r>
        <w:rPr>
          <w:rFonts w:ascii="SimHei" w:hAnsi="SimHei" w:eastAsia="黑体"/>
          <w:szCs w:val="21"/>
        </w:rPr>
        <w:t>I/T</w:t>
      </w:r>
      <w:r>
        <w:rPr>
          <w:rFonts w:ascii="SimHei" w:hAnsi="SimHei" w:eastAsia="黑体"/>
          <w:szCs w:val="21"/>
        </w:rPr>
        <w:t>3.3</w:t>
      </w:r>
      <w:r>
        <w:rPr>
          <w:rFonts w:ascii="SimHei" w:hAnsi="SimHei" w:eastAsia="黑体"/>
          <w:szCs w:val="21"/>
        </w:rPr>
        <w:t>以下晋级由各一级部门及</w:t>
      </w:r>
      <w:r>
        <w:rPr>
          <w:rFonts w:ascii="SimHei" w:hAnsi="SimHei" w:eastAsia="黑体"/>
          <w:szCs w:val="21"/>
        </w:rPr>
        <w:t>HRBP</w:t>
      </w:r>
      <w:r>
        <w:rPr>
          <w:rFonts w:ascii="SimHei" w:hAnsi="SimHei" w:eastAsia="黑体"/>
          <w:szCs w:val="21"/>
        </w:rPr>
        <w:t>组织，同时需至少邀请一位其它一级部门负责人参与，组成不少于</w:t>
      </w:r>
      <w:r>
        <w:rPr>
          <w:rFonts w:ascii="SimHei" w:hAnsi="SimHei" w:eastAsia="黑体"/>
          <w:szCs w:val="21"/>
        </w:rPr>
        <w:t>3</w:t>
      </w:r>
      <w:r>
        <w:rPr>
          <w:rFonts w:ascii="SimHei" w:hAnsi="SimHei" w:eastAsia="黑体"/>
          <w:szCs w:val="21"/>
        </w:rPr>
        <w:t>人评审委员进行述职评审；</w:t>
      </w:r>
      <w:r>
        <w:rPr>
          <w:rFonts w:ascii="SimHei" w:hAnsi="SimHei" w:eastAsia="黑体"/>
          <w:szCs w:val="21"/>
        </w:rPr>
        <w:t>I</w:t>
      </w:r>
      <w:r>
        <w:rPr>
          <w:rFonts w:ascii="SimHei" w:hAnsi="SimHei" w:eastAsia="黑体"/>
          <w:szCs w:val="21"/>
        </w:rPr>
        <w:t>/</w:t>
      </w:r>
      <w:r>
        <w:rPr>
          <w:rFonts w:ascii="SimHei" w:hAnsi="SimHei" w:eastAsia="黑体"/>
          <w:szCs w:val="21"/>
        </w:rPr>
        <w:t>T</w:t>
      </w:r>
      <w:r>
        <w:rPr>
          <w:rFonts w:ascii="SimHei" w:hAnsi="SimHei" w:eastAsia="黑体"/>
          <w:szCs w:val="21"/>
        </w:rPr>
        <w:t>3.3</w:t>
      </w:r>
      <w:r>
        <w:rPr>
          <w:rFonts w:ascii="SimHei" w:hAnsi="SimHei" w:eastAsia="黑体"/>
          <w:szCs w:val="21"/>
        </w:rPr>
        <w:t>及以上晋级及管理通道晋级的由人力资源部组织，候选人向职级评定委员会（每次不得少于</w:t>
      </w:r>
      <w:r>
        <w:rPr>
          <w:rFonts w:ascii="SimHei" w:hAnsi="SimHei" w:eastAsia="黑体"/>
          <w:szCs w:val="21"/>
        </w:rPr>
        <w:t>5</w:t>
      </w:r>
      <w:r>
        <w:rPr>
          <w:rFonts w:ascii="SimHei" w:hAnsi="SimHei" w:eastAsia="黑体"/>
          <w:szCs w:val="21"/>
        </w:rPr>
        <w:t>人）进行述职评审。</w:t>
      </w:r>
    </w:p>
    <w:p>
      <w:pPr>
        <w:pStyle w:val="Normal"/>
        <w:spacing w:lineRule="auto" w:line="360"/>
        <w:ind w:firstLine="211"/>
        <w:rPr>
          <w:b/>
          <w:b/>
          <w:szCs w:val="21"/>
        </w:rPr>
      </w:pPr>
      <w:r>
        <w:rPr>
          <w:rFonts w:ascii="SimHei" w:hAnsi="SimHei" w:eastAsia="黑体"/>
          <w:b/>
          <w:szCs w:val="21"/>
        </w:rPr>
        <w:t>5.4</w:t>
      </w:r>
      <w:r>
        <w:rPr>
          <w:rFonts w:ascii="SimHei" w:hAnsi="SimHei" w:eastAsia="黑体"/>
          <w:b/>
          <w:szCs w:val="21"/>
        </w:rPr>
        <w:t xml:space="preserve"> </w:t>
      </w:r>
      <w:r>
        <w:rPr>
          <w:rFonts w:ascii="SimHei" w:hAnsi="SimHei" w:eastAsia="黑体"/>
          <w:b/>
          <w:szCs w:val="21"/>
        </w:rPr>
        <w:t>职级评定委员会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  <w:highlight w:val="yellow"/>
        </w:rPr>
        <w:t>研发职级评定委员会的职责为指导建立科学的研发职级体系、进行员工的能力评定等。研发职级评定委员会的成员由研发线专家组织（</w:t>
      </w:r>
      <w:r>
        <w:rPr>
          <w:rFonts w:ascii="SimHei" w:hAnsi="SimHei" w:eastAsia="黑体"/>
          <w:highlight w:val="yellow"/>
        </w:rPr>
        <w:t>TMG/PMG</w:t>
      </w:r>
      <w:r>
        <w:rPr>
          <w:rFonts w:ascii="SimHei" w:hAnsi="SimHei" w:eastAsia="黑体"/>
          <w:highlight w:val="yellow"/>
        </w:rPr>
        <w:t>等）、人力资源及其他相关职能高级管理者等组成。</w:t>
      </w:r>
    </w:p>
    <w:p>
      <w:pPr>
        <w:pStyle w:val="1"/>
        <w:rPr/>
      </w:pPr>
      <w:r>
        <w:rPr>
          <w:rFonts w:ascii="SimHei" w:hAnsi="SimHei" w:eastAsia="黑体"/>
        </w:rPr>
        <w:t>六、职位体系</w:t>
      </w:r>
    </w:p>
    <w:p>
      <w:pPr>
        <w:pStyle w:val="Normal"/>
        <w:spacing w:lineRule="auto" w:line="360"/>
        <w:ind w:firstLine="211"/>
        <w:rPr>
          <w:b/>
          <w:b/>
          <w:szCs w:val="21"/>
        </w:rPr>
      </w:pPr>
      <w:r>
        <w:rPr>
          <w:rFonts w:ascii="SimHei" w:hAnsi="SimHei" w:eastAsia="黑体"/>
          <w:b/>
          <w:szCs w:val="21"/>
        </w:rPr>
        <w:t>6</w:t>
      </w:r>
      <w:r>
        <w:rPr>
          <w:rFonts w:ascii="SimHei" w:hAnsi="SimHei" w:eastAsia="黑体"/>
          <w:b/>
          <w:szCs w:val="21"/>
        </w:rPr>
        <w:t>.</w:t>
      </w:r>
      <w:r>
        <w:rPr>
          <w:rFonts w:ascii="SimHei" w:hAnsi="SimHei" w:eastAsia="黑体"/>
          <w:b/>
          <w:szCs w:val="21"/>
        </w:rPr>
        <w:t>1</w:t>
      </w:r>
      <w:r>
        <w:rPr>
          <w:rFonts w:ascii="SimHei" w:hAnsi="SimHei" w:eastAsia="黑体"/>
          <w:b/>
          <w:szCs w:val="21"/>
        </w:rPr>
        <w:t>职位框架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为方便进行研发团队职位管理，对研发相关职位进行归纳梳理，倡导全栈文化，特按职位序列梳理出研发团队职位框架如下：</w:t>
      </w:r>
    </w:p>
    <w:tbl>
      <w:tblPr>
        <w:tblW w:w="9929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11"/>
        <w:gridCol w:w="802"/>
        <w:gridCol w:w="534"/>
        <w:gridCol w:w="606"/>
        <w:gridCol w:w="606"/>
        <w:gridCol w:w="606"/>
        <w:gridCol w:w="607"/>
        <w:gridCol w:w="606"/>
        <w:gridCol w:w="606"/>
        <w:gridCol w:w="606"/>
        <w:gridCol w:w="607"/>
        <w:gridCol w:w="606"/>
        <w:gridCol w:w="606"/>
        <w:gridCol w:w="606"/>
        <w:gridCol w:w="606"/>
        <w:gridCol w:w="608"/>
      </w:tblGrid>
      <w:tr>
        <w:trPr>
          <w:trHeight w:val="602" w:hRule="atLeast"/>
        </w:trPr>
        <w:tc>
          <w:tcPr>
            <w:tcW w:w="71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职位序列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序列</w:t>
            </w:r>
          </w:p>
        </w:tc>
        <w:tc>
          <w:tcPr>
            <w:tcW w:w="5384" w:type="dxa"/>
            <w:gridSpan w:val="9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序列</w:t>
            </w:r>
          </w:p>
        </w:tc>
        <w:tc>
          <w:tcPr>
            <w:tcW w:w="3032" w:type="dxa"/>
            <w:gridSpan w:val="5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序列</w:t>
            </w:r>
          </w:p>
        </w:tc>
      </w:tr>
      <w:tr>
        <w:trPr>
          <w:trHeight w:val="312" w:hRule="atLeast"/>
        </w:trPr>
        <w:tc>
          <w:tcPr>
            <w:tcW w:w="71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384" w:type="dxa"/>
            <w:gridSpan w:val="9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032" w:type="dxa"/>
            <w:gridSpan w:val="5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1092" w:hRule="atLeast"/>
        </w:trPr>
        <w:tc>
          <w:tcPr>
            <w:tcW w:w="7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职位族</w:t>
            </w:r>
          </w:p>
        </w:tc>
        <w:tc>
          <w:tcPr>
            <w:tcW w:w="802" w:type="dxa"/>
            <w:tcBorders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技术管理族</w:t>
            </w:r>
          </w:p>
        </w:tc>
        <w:tc>
          <w:tcPr>
            <w:tcW w:w="2959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开发族</w:t>
            </w:r>
          </w:p>
        </w:tc>
        <w:tc>
          <w:tcPr>
            <w:tcW w:w="606" w:type="dxa"/>
            <w:tcBorders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人工智能族</w:t>
            </w:r>
          </w:p>
        </w:tc>
        <w:tc>
          <w:tcPr>
            <w:tcW w:w="606" w:type="dxa"/>
            <w:tcBorders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信息安全族</w:t>
            </w:r>
          </w:p>
        </w:tc>
        <w:tc>
          <w:tcPr>
            <w:tcW w:w="606" w:type="dxa"/>
            <w:tcBorders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运维族</w:t>
            </w:r>
          </w:p>
        </w:tc>
        <w:tc>
          <w:tcPr>
            <w:tcW w:w="607" w:type="dxa"/>
            <w:tcBorders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硬件开发族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设计族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产品族</w:t>
            </w:r>
          </w:p>
        </w:tc>
        <w:tc>
          <w:tcPr>
            <w:tcW w:w="608" w:type="dxa"/>
            <w:tcBorders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项目族</w:t>
            </w:r>
          </w:p>
        </w:tc>
      </w:tr>
      <w:tr>
        <w:trPr>
          <w:trHeight w:val="1204" w:hRule="atLeast"/>
        </w:trPr>
        <w:tc>
          <w:tcPr>
            <w:tcW w:w="7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职能</w:t>
            </w:r>
          </w:p>
        </w:tc>
        <w:tc>
          <w:tcPr>
            <w:tcW w:w="80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等线;DengXian" w:ascii="SimHei" w:hAnsi="SimHei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53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测试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前端开发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后端开发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客户端开发</w:t>
            </w:r>
          </w:p>
        </w:tc>
        <w:tc>
          <w:tcPr>
            <w:tcW w:w="6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嵌入式开发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算法</w:t>
            </w:r>
          </w:p>
        </w:tc>
        <w:tc>
          <w:tcPr>
            <w:tcW w:w="60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 xml:space="preserve">信息安全　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运维</w:t>
            </w:r>
          </w:p>
        </w:tc>
        <w:tc>
          <w:tcPr>
            <w:tcW w:w="6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硬件开发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UE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8"/>
                <w:szCs w:val="18"/>
              </w:rPr>
              <w:t>UI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产品策划</w:t>
            </w:r>
          </w:p>
        </w:tc>
        <w:tc>
          <w:tcPr>
            <w:tcW w:w="60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产品运营</w:t>
            </w:r>
          </w:p>
        </w:tc>
        <w:tc>
          <w:tcPr>
            <w:tcW w:w="6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8"/>
                <w:szCs w:val="18"/>
              </w:rPr>
              <w:t>项目管理</w:t>
            </w:r>
          </w:p>
        </w:tc>
      </w:tr>
    </w:tbl>
    <w:p>
      <w:pPr>
        <w:pStyle w:val="Normal"/>
        <w:spacing w:lineRule="auto" w:line="360"/>
        <w:ind w:firstLine="211"/>
        <w:rPr>
          <w:b/>
          <w:b/>
          <w:szCs w:val="21"/>
        </w:rPr>
      </w:pPr>
      <w:r>
        <w:rPr>
          <w:rFonts w:ascii="SimHei" w:hAnsi="SimHei" w:eastAsia="黑体"/>
          <w:b/>
          <w:szCs w:val="21"/>
        </w:rPr>
        <w:t xml:space="preserve">6.2 </w:t>
      </w:r>
      <w:r>
        <w:rPr>
          <w:rFonts w:ascii="SimHei" w:hAnsi="SimHei" w:eastAsia="黑体"/>
          <w:b/>
          <w:szCs w:val="21"/>
        </w:rPr>
        <w:t>职位管理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人力资源中心负责对研发团队职位进行管理，包括职位的增加、删减等，以规范公司职位体系，清晰定义职位工作职责和任职要求，并在此基础上建立研发职位图谱及职位库。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 xml:space="preserve">6.2.1 </w:t>
      </w:r>
      <w:r>
        <w:rPr>
          <w:rFonts w:ascii="SimHei" w:hAnsi="SimHei" w:eastAsia="黑体"/>
        </w:rPr>
        <w:t>职位命名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职位命名要求职位名称能够体现职位主要工作职责。研发团队所有职位采用“职能</w:t>
      </w:r>
      <w:r>
        <w:rPr>
          <w:rFonts w:ascii="SimHei" w:hAnsi="SimHei" w:eastAsia="黑体"/>
        </w:rPr>
        <w:t>+</w:t>
      </w:r>
      <w:r>
        <w:rPr>
          <w:rFonts w:ascii="SimHei" w:hAnsi="SimHei" w:eastAsia="黑体"/>
        </w:rPr>
        <w:t>职等”的形式作为职位命名的基础规则。如</w:t>
      </w:r>
      <w:r>
        <w:rPr>
          <w:rFonts w:ascii="SimHei" w:hAnsi="SimHei" w:eastAsia="黑体"/>
        </w:rPr>
        <w:t>T</w:t>
      </w:r>
      <w:r>
        <w:rPr>
          <w:rFonts w:ascii="SimHei" w:hAnsi="SimHei" w:eastAsia="黑体"/>
        </w:rPr>
        <w:t>4.1</w:t>
      </w:r>
      <w:r>
        <w:rPr>
          <w:rFonts w:ascii="SimHei" w:hAnsi="SimHei" w:eastAsia="黑体"/>
        </w:rPr>
        <w:t>的后端开发工程师的职位名称为“高级后端开发工程师”，部分职位如“产品经理”、“项目经理”、“</w:t>
      </w:r>
      <w:r>
        <w:rPr>
          <w:rFonts w:ascii="SimHei" w:hAnsi="SimHei" w:eastAsia="黑体"/>
        </w:rPr>
        <w:t>UI</w:t>
      </w:r>
      <w:r>
        <w:rPr>
          <w:rFonts w:ascii="SimHei" w:hAnsi="SimHei" w:eastAsia="黑体"/>
        </w:rPr>
        <w:t>设计师”等岗位则参考市场上公认命名规则。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研发团队职位图谱如下：</w:t>
      </w:r>
    </w:p>
    <w:p>
      <w:pPr>
        <w:sectPr>
          <w:footerReference w:type="default" r:id="rId2"/>
          <w:footerReference w:type="first" r:id="rId3"/>
          <w:type w:val="nextPage"/>
          <w:pgSz w:w="11906" w:h="16838"/>
          <w:pgMar w:left="1134" w:right="1134" w:header="0" w:top="850" w:footer="397" w:bottom="850" w:gutter="0"/>
          <w:pgNumType w:fmt="decimal"/>
          <w:formProt w:val="false"/>
          <w:titlePg/>
          <w:textDirection w:val="lrTb"/>
          <w:docGrid w:type="lines" w:linePitch="312" w:charSpace="0"/>
        </w:sect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</w:r>
    </w:p>
    <w:tbl>
      <w:tblPr>
        <w:tblW w:w="1611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95"/>
        <w:gridCol w:w="895"/>
        <w:gridCol w:w="1048"/>
        <w:gridCol w:w="1179"/>
        <w:gridCol w:w="1190"/>
        <w:gridCol w:w="1076"/>
        <w:gridCol w:w="852"/>
        <w:gridCol w:w="799"/>
        <w:gridCol w:w="1295"/>
        <w:gridCol w:w="1251"/>
        <w:gridCol w:w="1222"/>
        <w:gridCol w:w="1025"/>
        <w:gridCol w:w="1050"/>
        <w:gridCol w:w="1049"/>
        <w:gridCol w:w="1280"/>
        <w:gridCol w:w="7"/>
      </w:tblGrid>
      <w:tr>
        <w:trPr>
          <w:trHeight w:val="136" w:hRule="atLeast"/>
        </w:trPr>
        <w:tc>
          <w:tcPr>
            <w:tcW w:w="16113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22"/>
              </w:rPr>
              <w:t>研发团队职位图谱</w:t>
            </w:r>
          </w:p>
        </w:tc>
      </w:tr>
      <w:tr>
        <w:trPr>
          <w:trHeight w:val="273" w:hRule="atLeast"/>
        </w:trPr>
        <w:tc>
          <w:tcPr>
            <w:tcW w:w="28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20"/>
                <w:szCs w:val="20"/>
              </w:rPr>
              <w:t>职位序列</w:t>
            </w:r>
          </w:p>
        </w:tc>
        <w:tc>
          <w:tcPr>
            <w:tcW w:w="5096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20"/>
                <w:szCs w:val="20"/>
              </w:rPr>
              <w:t>序列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20"/>
                <w:szCs w:val="20"/>
              </w:rPr>
              <w:t>序列</w:t>
            </w:r>
          </w:p>
        </w:tc>
      </w:tr>
      <w:tr>
        <w:trPr>
          <w:trHeight w:val="273" w:hRule="atLeast"/>
        </w:trPr>
        <w:tc>
          <w:tcPr>
            <w:tcW w:w="28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职位族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产品族</w:t>
            </w:r>
          </w:p>
        </w:tc>
        <w:tc>
          <w:tcPr>
            <w:tcW w:w="10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项目族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设计族</w:t>
            </w:r>
          </w:p>
        </w:tc>
        <w:tc>
          <w:tcPr>
            <w:tcW w:w="3768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开发族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运维族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信息安全族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硬件开发族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人工智能族</w:t>
            </w:r>
          </w:p>
        </w:tc>
      </w:tr>
      <w:tr>
        <w:trPr>
          <w:trHeight w:val="273" w:hRule="atLeast"/>
        </w:trPr>
        <w:tc>
          <w:tcPr>
            <w:tcW w:w="28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职能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产品运营</w:t>
            </w:r>
          </w:p>
        </w:tc>
        <w:tc>
          <w:tcPr>
            <w:tcW w:w="119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产品策划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85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UI</w:t>
            </w:r>
          </w:p>
        </w:tc>
        <w:tc>
          <w:tcPr>
            <w:tcW w:w="7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UE</w:t>
            </w:r>
          </w:p>
        </w:tc>
        <w:tc>
          <w:tcPr>
            <w:tcW w:w="12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前端开发</w:t>
            </w:r>
          </w:p>
        </w:tc>
        <w:tc>
          <w:tcPr>
            <w:tcW w:w="12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后端开发</w:t>
            </w:r>
          </w:p>
        </w:tc>
        <w:tc>
          <w:tcPr>
            <w:tcW w:w="122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客户端开发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运维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信息安全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硬件开发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算法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职位</w:t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M5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？</w:t>
            </w: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级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19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5843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CTO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M4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VP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级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产品副总裁</w:t>
            </w:r>
          </w:p>
        </w:tc>
        <w:tc>
          <w:tcPr>
            <w:tcW w:w="10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5843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研发副总裁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总经理级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产品总经理</w:t>
            </w:r>
          </w:p>
        </w:tc>
        <w:tc>
          <w:tcPr>
            <w:tcW w:w="10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项目管理总经理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3768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研发总经理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运维总经理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信息安全总经理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硬件开发总经理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总监级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产品总监</w:t>
            </w:r>
          </w:p>
        </w:tc>
        <w:tc>
          <w:tcPr>
            <w:tcW w:w="10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项目管理总监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设计总监</w:t>
            </w:r>
          </w:p>
        </w:tc>
        <w:tc>
          <w:tcPr>
            <w:tcW w:w="3768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研发总监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运维总监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信息安全总监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硬件开发总监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算法总监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经理级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产品运营经理</w:t>
            </w:r>
          </w:p>
        </w:tc>
        <w:tc>
          <w:tcPr>
            <w:tcW w:w="119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产品策划经理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项目管理经理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设计经理</w:t>
            </w:r>
          </w:p>
        </w:tc>
        <w:tc>
          <w:tcPr>
            <w:tcW w:w="12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前端开发经理</w:t>
            </w:r>
          </w:p>
        </w:tc>
        <w:tc>
          <w:tcPr>
            <w:tcW w:w="12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后端开发经理</w:t>
            </w:r>
          </w:p>
        </w:tc>
        <w:tc>
          <w:tcPr>
            <w:tcW w:w="122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客户端开发经理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运维经理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信息安全经理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硬件开发经理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算法经理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主管级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产品运营主管</w:t>
            </w:r>
          </w:p>
        </w:tc>
        <w:tc>
          <w:tcPr>
            <w:tcW w:w="119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产品策划主管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项目主管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设计主管</w:t>
            </w:r>
          </w:p>
        </w:tc>
        <w:tc>
          <w:tcPr>
            <w:tcW w:w="12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前端开发主管</w:t>
            </w:r>
          </w:p>
        </w:tc>
        <w:tc>
          <w:tcPr>
            <w:tcW w:w="12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后端开发主管</w:t>
            </w:r>
          </w:p>
        </w:tc>
        <w:tc>
          <w:tcPr>
            <w:tcW w:w="122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客户端开发主管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运维主管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信息安全主管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硬件开发主管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算法主管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I/T7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首席</w:t>
            </w: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科学家</w:t>
            </w:r>
          </w:p>
        </w:tc>
        <w:tc>
          <w:tcPr>
            <w:tcW w:w="236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首席产品官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376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软件开发科学家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人工智能科学家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I/T6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专家级</w:t>
            </w:r>
          </w:p>
        </w:tc>
        <w:tc>
          <w:tcPr>
            <w:tcW w:w="2369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产品专家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项目专家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设计专家</w:t>
            </w:r>
          </w:p>
        </w:tc>
        <w:tc>
          <w:tcPr>
            <w:tcW w:w="3768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软件开发专家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/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算法专家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I/T5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架构师级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产品架构师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项目架构师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设计架构师</w:t>
            </w:r>
          </w:p>
        </w:tc>
        <w:tc>
          <w:tcPr>
            <w:tcW w:w="12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前端架构师</w:t>
            </w:r>
          </w:p>
        </w:tc>
        <w:tc>
          <w:tcPr>
            <w:tcW w:w="12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后端架构师</w:t>
            </w:r>
          </w:p>
        </w:tc>
        <w:tc>
          <w:tcPr>
            <w:tcW w:w="122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客户端架构师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运维架构师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信息安全架构师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硬件开发架构师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算法架构师</w:t>
            </w:r>
          </w:p>
        </w:tc>
      </w:tr>
      <w:tr>
        <w:trPr>
          <w:trHeight w:val="409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I/T4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资深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资深产品经理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资深项目经理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资深设计师</w:t>
            </w:r>
          </w:p>
        </w:tc>
        <w:tc>
          <w:tcPr>
            <w:tcW w:w="12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资深前端开发工程师</w:t>
            </w:r>
          </w:p>
        </w:tc>
        <w:tc>
          <w:tcPr>
            <w:tcW w:w="12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资深后端开发工程师</w:t>
            </w:r>
          </w:p>
        </w:tc>
        <w:tc>
          <w:tcPr>
            <w:tcW w:w="122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资深客户端开发工程师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资深运维工程师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资深信息安全工程师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资深硬件开发工程师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资深算法工程师</w:t>
            </w:r>
          </w:p>
        </w:tc>
      </w:tr>
      <w:tr>
        <w:trPr>
          <w:trHeight w:val="409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I/T3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高级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高级产品运营经理</w:t>
            </w:r>
          </w:p>
        </w:tc>
        <w:tc>
          <w:tcPr>
            <w:tcW w:w="119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高级产品策划经理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高级项目经理</w:t>
            </w:r>
          </w:p>
        </w:tc>
        <w:tc>
          <w:tcPr>
            <w:tcW w:w="85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</w:t>
            </w: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UI</w:t>
            </w: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设计师</w:t>
            </w:r>
          </w:p>
        </w:tc>
        <w:tc>
          <w:tcPr>
            <w:tcW w:w="7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</w:t>
            </w: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UE</w:t>
            </w: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设计师</w:t>
            </w:r>
          </w:p>
        </w:tc>
        <w:tc>
          <w:tcPr>
            <w:tcW w:w="12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高级前端开发工程师</w:t>
            </w:r>
          </w:p>
        </w:tc>
        <w:tc>
          <w:tcPr>
            <w:tcW w:w="12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高级后端开发工程师</w:t>
            </w:r>
          </w:p>
        </w:tc>
        <w:tc>
          <w:tcPr>
            <w:tcW w:w="122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高级客户端开发工程师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高级运维工程师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高级信息安全工程师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高级硬件开发工程师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高级算法工程师</w:t>
            </w:r>
          </w:p>
        </w:tc>
      </w:tr>
      <w:tr>
        <w:trPr>
          <w:trHeight w:val="409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I/T2</w:t>
            </w:r>
          </w:p>
        </w:tc>
        <w:tc>
          <w:tcPr>
            <w:tcW w:w="104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工程师级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产品运营经理</w:t>
            </w:r>
          </w:p>
        </w:tc>
        <w:tc>
          <w:tcPr>
            <w:tcW w:w="119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产品策划经理</w:t>
            </w:r>
          </w:p>
        </w:tc>
        <w:tc>
          <w:tcPr>
            <w:tcW w:w="10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项目经理</w:t>
            </w:r>
          </w:p>
        </w:tc>
        <w:tc>
          <w:tcPr>
            <w:tcW w:w="85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UI</w:t>
            </w: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设计师</w:t>
            </w:r>
          </w:p>
        </w:tc>
        <w:tc>
          <w:tcPr>
            <w:tcW w:w="7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UE</w:t>
            </w: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设计师</w:t>
            </w:r>
          </w:p>
        </w:tc>
        <w:tc>
          <w:tcPr>
            <w:tcW w:w="12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前端开发工程师</w:t>
            </w:r>
          </w:p>
        </w:tc>
        <w:tc>
          <w:tcPr>
            <w:tcW w:w="125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后端开发工程师</w:t>
            </w:r>
          </w:p>
        </w:tc>
        <w:tc>
          <w:tcPr>
            <w:tcW w:w="122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客户端开发工程师</w:t>
            </w:r>
          </w:p>
        </w:tc>
        <w:tc>
          <w:tcPr>
            <w:tcW w:w="10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运维工程师</w:t>
            </w:r>
          </w:p>
        </w:tc>
        <w:tc>
          <w:tcPr>
            <w:tcW w:w="10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信息安全工程师</w:t>
            </w:r>
          </w:p>
        </w:tc>
        <w:tc>
          <w:tcPr>
            <w:tcW w:w="10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硬件开发工程师</w:t>
            </w:r>
          </w:p>
        </w:tc>
        <w:tc>
          <w:tcPr>
            <w:tcW w:w="12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算法工程师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I/T1</w:t>
            </w:r>
          </w:p>
        </w:tc>
        <w:tc>
          <w:tcPr>
            <w:tcW w:w="104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b/>
                <w:bCs/>
                <w:color w:val="000000"/>
                <w:kern w:val="0"/>
                <w:sz w:val="18"/>
                <w:szCs w:val="18"/>
              </w:rPr>
              <w:t>助理级</w:t>
            </w:r>
          </w:p>
        </w:tc>
        <w:tc>
          <w:tcPr>
            <w:tcW w:w="117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助理产品运营经理</w:t>
            </w:r>
          </w:p>
        </w:tc>
        <w:tc>
          <w:tcPr>
            <w:tcW w:w="119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助理产品策划经理</w:t>
            </w:r>
          </w:p>
        </w:tc>
        <w:tc>
          <w:tcPr>
            <w:tcW w:w="107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助理项目经理</w:t>
            </w:r>
          </w:p>
        </w:tc>
        <w:tc>
          <w:tcPr>
            <w:tcW w:w="85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</w:t>
            </w: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UI</w:t>
            </w: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设计师</w:t>
            </w:r>
          </w:p>
        </w:tc>
        <w:tc>
          <w:tcPr>
            <w:tcW w:w="79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</w:t>
            </w:r>
            <w:r>
              <w:rPr>
                <w:rFonts w:eastAsia="黑体" w:cs="宋体;SimSun" w:ascii="SimHei" w:hAnsi="SimHei"/>
                <w:color w:val="000000"/>
                <w:kern w:val="0"/>
                <w:sz w:val="15"/>
                <w:szCs w:val="16"/>
              </w:rPr>
              <w:t>UE</w:t>
            </w: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设计师</w:t>
            </w:r>
          </w:p>
        </w:tc>
        <w:tc>
          <w:tcPr>
            <w:tcW w:w="1295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助理前端开发工程师</w:t>
            </w:r>
          </w:p>
        </w:tc>
        <w:tc>
          <w:tcPr>
            <w:tcW w:w="1251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助理后端开发工程师</w:t>
            </w:r>
          </w:p>
        </w:tc>
        <w:tc>
          <w:tcPr>
            <w:tcW w:w="122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助理客户端开发工程师</w:t>
            </w:r>
          </w:p>
        </w:tc>
        <w:tc>
          <w:tcPr>
            <w:tcW w:w="1025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助理运维工程师</w:t>
            </w:r>
          </w:p>
        </w:tc>
        <w:tc>
          <w:tcPr>
            <w:tcW w:w="105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助理信息安全工程师</w:t>
            </w:r>
          </w:p>
        </w:tc>
        <w:tc>
          <w:tcPr>
            <w:tcW w:w="104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助理硬件开发工程师</w:t>
            </w:r>
          </w:p>
        </w:tc>
        <w:tc>
          <w:tcPr>
            <w:tcW w:w="128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color w:val="000000"/>
                <w:kern w:val="0"/>
                <w:sz w:val="15"/>
                <w:szCs w:val="16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15"/>
                <w:szCs w:val="16"/>
              </w:rPr>
              <w:t>助理算法工程师</w:t>
            </w:r>
          </w:p>
        </w:tc>
      </w:tr>
      <w:tr>
        <w:trPr>
          <w:trHeight w:val="273" w:hRule="atLeast"/>
        </w:trPr>
        <w:tc>
          <w:tcPr>
            <w:tcW w:w="8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8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黑体" w:cs="宋体;SimSun" w:ascii="SimHei" w:hAnsi="SimHei"/>
                <w:b/>
                <w:bCs/>
                <w:color w:val="000000"/>
                <w:kern w:val="0"/>
                <w:sz w:val="18"/>
                <w:szCs w:val="18"/>
              </w:rPr>
              <w:t>I/T0</w:t>
            </w:r>
          </w:p>
        </w:tc>
        <w:tc>
          <w:tcPr>
            <w:tcW w:w="104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7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b/>
                <w:b/>
                <w:bCs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b/>
                <w:bCs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19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07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85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79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29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25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22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02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05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0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  <w:tc>
          <w:tcPr>
            <w:tcW w:w="12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等线;DengXian" w:hAnsi="等线;DengXian" w:eastAsia="等线;DengXian" w:cs="宋体;SimSu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;DengXian" w:cs="宋体;SimSun" w:ascii="等线;DengXian" w:hAnsi="等线;DengXian"/>
                <w:color w:val="FF0000"/>
                <w:kern w:val="0"/>
                <w:sz w:val="16"/>
                <w:szCs w:val="16"/>
              </w:rPr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orient="landscape" w:w="16838" w:h="11906"/>
          <w:pgMar w:left="851" w:right="851" w:header="0" w:top="1134" w:footer="397" w:bottom="1134" w:gutter="0"/>
          <w:pgNumType w:fmt="decimal"/>
          <w:formProt w:val="false"/>
          <w:titlePg/>
          <w:textDirection w:val="lrTb"/>
          <w:docGrid w:type="lines" w:linePitch="312" w:charSpace="0"/>
        </w:sectPr>
      </w:pP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 xml:space="preserve">6.2.2 </w:t>
      </w:r>
      <w:r>
        <w:rPr>
          <w:rFonts w:ascii="SimHei" w:hAnsi="SimHei" w:eastAsia="黑体"/>
        </w:rPr>
        <w:t>职位变更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根据公司发展需要，</w:t>
      </w:r>
      <w:r>
        <w:rPr>
          <w:rFonts w:ascii="SimHei" w:hAnsi="SimHei" w:eastAsia="黑体"/>
        </w:rPr>
        <w:t>HR</w:t>
      </w:r>
      <w:r>
        <w:rPr>
          <w:rFonts w:ascii="SimHei" w:hAnsi="SimHei" w:eastAsia="黑体"/>
        </w:rPr>
        <w:t>定期修订公司职位体系。当出现新的工作职能时，新增职位；当原工作职能消失时，删减职位；当原工作职能调整时，修订职位。禁止采用职位库以外的职位名称。如需新增、删减、修订职位名称的，由职位使用部门填写《职位变更申请表》（附件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）。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 xml:space="preserve">6.2.3 </w:t>
      </w:r>
      <w:r>
        <w:rPr>
          <w:rFonts w:ascii="SimHei" w:hAnsi="SimHei" w:eastAsia="黑体"/>
        </w:rPr>
        <w:t>职位编号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为便于管理，</w:t>
      </w:r>
      <w:r>
        <w:rPr>
          <w:rFonts w:ascii="SimHei" w:hAnsi="SimHei" w:eastAsia="黑体"/>
        </w:rPr>
        <w:t>HR</w:t>
      </w:r>
      <w:r>
        <w:rPr>
          <w:rFonts w:ascii="SimHei" w:hAnsi="SimHei" w:eastAsia="黑体"/>
        </w:rPr>
        <w:t>对研发职位进行统一编号，编号规则为“</w:t>
      </w:r>
      <w:r>
        <w:rPr>
          <w:rFonts w:ascii="SimHei" w:hAnsi="SimHei" w:eastAsia="黑体"/>
        </w:rPr>
        <w:t>YF</w:t>
      </w:r>
      <w:r>
        <w:rPr>
          <w:rFonts w:ascii="SimHei" w:hAnsi="SimHei" w:eastAsia="黑体"/>
        </w:rPr>
        <w:t>-</w:t>
      </w:r>
      <w:r>
        <w:rPr>
          <w:rFonts w:ascii="SimHei" w:hAnsi="SimHei" w:eastAsia="黑体"/>
        </w:rPr>
        <w:t>职位序列</w:t>
      </w:r>
      <w:r>
        <w:rPr>
          <w:rFonts w:ascii="SimHei" w:hAnsi="SimHei" w:eastAsia="黑体"/>
        </w:rPr>
        <w:t>-</w:t>
      </w:r>
      <w:r>
        <w:rPr>
          <w:rFonts w:ascii="SimHei" w:hAnsi="SimHei" w:eastAsia="黑体"/>
        </w:rPr>
        <w:t>职位族代号</w:t>
      </w:r>
      <w:r>
        <w:rPr>
          <w:rFonts w:ascii="SimHei" w:hAnsi="SimHei" w:eastAsia="黑体"/>
        </w:rPr>
        <w:t>-</w:t>
      </w:r>
      <w:r>
        <w:rPr>
          <w:rFonts w:ascii="SimHei" w:hAnsi="SimHei" w:eastAsia="黑体"/>
        </w:rPr>
        <w:t>流水号”，如测试工程师的职位编号为“</w:t>
      </w:r>
      <w:r>
        <w:rPr>
          <w:rFonts w:ascii="SimHei" w:hAnsi="SimHei" w:eastAsia="黑体"/>
        </w:rPr>
        <w:t>YF</w:t>
      </w:r>
      <w:r>
        <w:rPr>
          <w:rFonts w:ascii="SimHei" w:hAnsi="SimHei" w:eastAsia="黑体"/>
        </w:rPr>
        <w:t>-</w:t>
      </w:r>
      <w:r>
        <w:rPr>
          <w:rFonts w:ascii="SimHei" w:hAnsi="SimHei" w:eastAsia="黑体"/>
        </w:rPr>
        <w:t>T</w:t>
      </w:r>
      <w:r>
        <w:rPr>
          <w:rFonts w:ascii="SimHei" w:hAnsi="SimHei" w:eastAsia="黑体"/>
        </w:rPr>
        <w:t>-</w:t>
      </w:r>
      <w:r>
        <w:rPr>
          <w:rFonts w:ascii="SimHei" w:hAnsi="SimHei" w:eastAsia="黑体"/>
        </w:rPr>
        <w:t>CS</w:t>
      </w:r>
      <w:r>
        <w:rPr>
          <w:rFonts w:ascii="SimHei" w:hAnsi="SimHei" w:eastAsia="黑体"/>
        </w:rPr>
        <w:t>-001</w:t>
      </w:r>
      <w:r>
        <w:rPr>
          <w:rFonts w:cs="宋体;SimSun" w:ascii="SimHei" w:hAnsi="SimHei" w:eastAsia="黑体"/>
        </w:rPr>
        <w:t>”</w:t>
      </w:r>
      <w:r>
        <w:rPr>
          <w:rFonts w:ascii="SimHei" w:hAnsi="SimHei" w:eastAsia="黑体"/>
        </w:rPr>
        <w:t>。研发团队职位库请见《</w:t>
      </w:r>
      <w:r>
        <w:rPr>
          <w:rFonts w:ascii="SimHei" w:hAnsi="SimHei" w:eastAsia="黑体"/>
        </w:rPr>
        <w:t>G</w:t>
      </w:r>
      <w:r>
        <w:rPr>
          <w:rFonts w:ascii="SimHei" w:hAnsi="SimHei" w:eastAsia="黑体"/>
        </w:rPr>
        <w:t>7</w:t>
      </w:r>
      <w:r>
        <w:rPr>
          <w:rFonts w:ascii="SimHei" w:hAnsi="SimHei" w:eastAsia="黑体"/>
        </w:rPr>
        <w:t>研发团队职位库》（附件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）。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 xml:space="preserve">6.2.4 </w:t>
      </w:r>
      <w:r>
        <w:rPr>
          <w:rFonts w:ascii="SimHei" w:hAnsi="SimHei" w:eastAsia="黑体"/>
        </w:rPr>
        <w:t>其它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当员工的职级、工作内容发生变化等情况时，应当更正员工的职位名称；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当员工兼职不同职位时，以员工主要工作内容所对应的职位名称进行称呼。</w:t>
      </w:r>
    </w:p>
    <w:p>
      <w:pPr>
        <w:pStyle w:val="1"/>
        <w:rPr/>
      </w:pPr>
      <w:r>
        <w:rPr>
          <w:rFonts w:ascii="SimHei" w:hAnsi="SimHei" w:eastAsia="黑体"/>
        </w:rPr>
        <w:t>七、其它</w:t>
      </w:r>
    </w:p>
    <w:p>
      <w:pPr>
        <w:pStyle w:val="Normal"/>
        <w:spacing w:lineRule="auto" w:line="360"/>
        <w:ind w:firstLine="210"/>
        <w:rPr/>
      </w:pPr>
      <w:r>
        <w:rPr>
          <w:rFonts w:ascii="SimHei" w:hAnsi="SimHei" w:eastAsia="黑体"/>
        </w:rPr>
        <w:t>本制度自颁布之日起执行，其它未尽之处由</w:t>
      </w:r>
      <w:r>
        <w:rPr>
          <w:rFonts w:ascii="SimHei" w:hAnsi="SimHei" w:eastAsia="黑体"/>
        </w:rPr>
        <w:t>HR</w:t>
      </w:r>
      <w:r>
        <w:rPr>
          <w:rFonts w:ascii="SimHei" w:hAnsi="SimHei" w:eastAsia="黑体"/>
        </w:rPr>
        <w:t>负责解释。</w:t>
      </w:r>
    </w:p>
    <w:p>
      <w:pPr>
        <w:pStyle w:val="Normal"/>
        <w:spacing w:lineRule="auto" w:line="360"/>
        <w:ind w:firstLine="105"/>
        <w:rPr>
          <w:bCs/>
        </w:rPr>
      </w:pPr>
      <w:r>
        <w:rPr>
          <w:rFonts w:ascii="SimHei" w:hAnsi="SimHei" w:eastAsia="黑体"/>
          <w:bCs/>
        </w:rPr>
      </w:r>
    </w:p>
    <w:tbl>
      <w:tblPr>
        <w:tblW w:w="985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01"/>
        <w:gridCol w:w="708"/>
        <w:gridCol w:w="6379"/>
        <w:gridCol w:w="1666"/>
      </w:tblGrid>
      <w:tr>
        <w:trPr>
          <w:trHeight w:val="274" w:hRule="atLeast"/>
        </w:trPr>
        <w:tc>
          <w:tcPr>
            <w:tcW w:w="985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黑体;SimHei" w:hAnsi="黑体;SimHei" w:eastAsia="黑体;SimHei"/>
                <w:b/>
                <w:b/>
              </w:rPr>
            </w:pPr>
            <w:r>
              <w:rPr>
                <w:rFonts w:ascii="SimHei" w:hAnsi="SimHei" w:eastAsia="黑体"/>
                <w:b/>
              </w:rPr>
              <w:t>文件更改记录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更改日期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版次</w:t>
            </w:r>
          </w:p>
        </w:tc>
        <w:tc>
          <w:tcPr>
            <w:tcW w:w="6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更改内容</w:t>
            </w:r>
          </w:p>
        </w:tc>
        <w:tc>
          <w:tcPr>
            <w:tcW w:w="1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修改</w:t>
            </w:r>
            <w:r>
              <w:rPr>
                <w:rFonts w:ascii="SimHei" w:hAnsi="SimHei" w:eastAsia="黑体"/>
                <w:sz w:val="18"/>
                <w:szCs w:val="18"/>
              </w:rPr>
              <w:t>人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2018.8.23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新建制度</w:t>
            </w:r>
          </w:p>
        </w:tc>
        <w:tc>
          <w:tcPr>
            <w:tcW w:w="1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唐庆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6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6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6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/>
        <w:rPr>
          <w:rFonts w:cs="Arial"/>
          <w:b/>
          <w:b/>
          <w:szCs w:val="21"/>
        </w:rPr>
      </w:pPr>
      <w:r>
        <w:rPr>
          <w:rFonts w:cs="Arial" w:ascii="SimHei" w:hAnsi="SimHei" w:eastAsia="黑体"/>
          <w:b/>
          <w:szCs w:val="21"/>
        </w:rPr>
      </w:r>
    </w:p>
    <w:sectPr>
      <w:footerReference w:type="default" r:id="rId6"/>
      <w:footerReference w:type="first" r:id="rId7"/>
      <w:type w:val="nextPage"/>
      <w:pgSz w:w="11906" w:h="16838"/>
      <w:pgMar w:left="1134" w:right="1134" w:header="0" w:top="851" w:footer="397" w:bottom="851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ˎ̥">
    <w:altName w:val="Times New Roman"/>
    <w:charset w:val="00" w:characterSet="windows-1252"/>
    <w:family w:val="roman"/>
    <w:pitch w:val="default"/>
  </w:font>
  <w:font w:name="Calibri Light">
    <w:charset w:val="00" w:characterSet="windows-1252"/>
    <w:family w:val="swiss"/>
    <w:pitch w:val="variable"/>
  </w:font>
  <w:font w:name="等线">
    <w:altName w:val="DengXian"/>
    <w:charset w:val="86"/>
    <w:family w:val="auto"/>
    <w:pitch w:val="variable"/>
  </w:font>
  <w:font w:name="黑体">
    <w:altName w:val="SimHei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firstLine="4230"/>
      <w:rPr/>
    </w:pPr>
    <w:r>
      <w:rPr>
        <w:rFonts w:eastAsia="Times New Roman"/>
        <w:lang w:val="zh-CN"/>
      </w:rPr>
      <w:t xml:space="preserve"> </w:t>
    </w:r>
    <w:r>
      <w:rPr>
        <w:rFonts w:cs="宋体;SimSun" w:ascii="宋体;SimSun" w:hAnsi="宋体;SimSun"/>
        <w:b/>
        <w:bCs/>
        <w:sz w:val="21"/>
        <w:szCs w:val="24"/>
      </w:rPr>
      <w:fldChar w:fldCharType="begin"/>
    </w:r>
    <w:r>
      <w:rPr>
        <w:sz w:val="21"/>
        <w:b/>
        <w:szCs w:val="24"/>
        <w:bCs/>
        <w:rFonts w:cs="宋体;SimSun" w:ascii="宋体;SimSun" w:hAnsi="宋体;SimSun"/>
      </w:rPr>
      <w:instrText> PAGE </w:instrText>
    </w:r>
    <w:r>
      <w:rPr>
        <w:sz w:val="21"/>
        <w:b/>
        <w:szCs w:val="24"/>
        <w:bCs/>
        <w:rFonts w:cs="宋体;SimSun" w:ascii="宋体;SimSun" w:hAnsi="宋体;SimSun"/>
      </w:rPr>
      <w:fldChar w:fldCharType="separate"/>
    </w:r>
    <w:r>
      <w:rPr>
        <w:sz w:val="21"/>
        <w:b/>
        <w:szCs w:val="24"/>
        <w:bCs/>
        <w:rFonts w:cs="宋体;SimSun" w:ascii="宋体;SimSun" w:hAnsi="宋体;SimSun"/>
      </w:rPr>
      <w:t>5</w:t>
    </w:r>
    <w:r>
      <w:rPr>
        <w:sz w:val="21"/>
        <w:b/>
        <w:szCs w:val="24"/>
        <w:bCs/>
        <w:rFonts w:cs="宋体;SimSun" w:ascii="宋体;SimSun" w:hAnsi="宋体;SimSun"/>
      </w:rPr>
      <w:fldChar w:fldCharType="end"/>
    </w:r>
    <w:r>
      <w:rPr>
        <w:rFonts w:cs="宋体;SimSun" w:ascii="宋体;SimSun" w:hAnsi="宋体;SimSun"/>
        <w:sz w:val="15"/>
        <w:lang w:val="zh-CN"/>
      </w:rPr>
      <w:t xml:space="preserve"> </w:t>
    </w:r>
    <w:r>
      <w:rPr>
        <w:rFonts w:cs="宋体;SimSun" w:ascii="宋体;SimSun" w:hAnsi="宋体;SimSun"/>
        <w:sz w:val="15"/>
        <w:lang w:val="zh-CN"/>
      </w:rPr>
      <w:t xml:space="preserve">/ </w:t>
    </w:r>
    <w:r>
      <w:rPr>
        <w:rFonts w:cs="宋体;SimSun" w:ascii="宋体;SimSun" w:hAnsi="宋体;SimSun"/>
        <w:b/>
        <w:bCs/>
        <w:sz w:val="21"/>
        <w:szCs w:val="24"/>
      </w:rPr>
      <w:fldChar w:fldCharType="begin"/>
    </w:r>
    <w:r>
      <w:rPr>
        <w:sz w:val="21"/>
        <w:b/>
        <w:szCs w:val="24"/>
        <w:bCs/>
        <w:rFonts w:cs="宋体;SimSun" w:ascii="宋体;SimSun" w:hAnsi="宋体;SimSun"/>
      </w:rPr>
      <w:instrText> NUMPAGES \* ARABIC </w:instrText>
    </w:r>
    <w:r>
      <w:rPr>
        <w:sz w:val="21"/>
        <w:b/>
        <w:szCs w:val="24"/>
        <w:bCs/>
        <w:rFonts w:cs="宋体;SimSun" w:ascii="宋体;SimSun" w:hAnsi="宋体;SimSun"/>
      </w:rPr>
      <w:fldChar w:fldCharType="separate"/>
    </w:r>
    <w:r>
      <w:rPr>
        <w:sz w:val="21"/>
        <w:b/>
        <w:szCs w:val="24"/>
        <w:bCs/>
        <w:rFonts w:cs="宋体;SimSun" w:ascii="宋体;SimSun" w:hAnsi="宋体;SimSun"/>
      </w:rPr>
      <w:t>7</w:t>
    </w:r>
    <w:r>
      <w:rPr>
        <w:sz w:val="21"/>
        <w:b/>
        <w:szCs w:val="24"/>
        <w:bCs/>
        <w:rFonts w:cs="宋体;SimSun" w:ascii="宋体;SimSun" w:hAnsi="宋体;SimSu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firstLine="4230"/>
      <w:rPr/>
    </w:pPr>
    <w:r>
      <w:rPr>
        <w:rFonts w:eastAsia="Times New Roman"/>
        <w:lang w:val="zh-CN"/>
      </w:rPr>
      <w:t xml:space="preserve"> </w:t>
    </w:r>
    <w:r>
      <w:rPr>
        <w:rFonts w:cs="宋体;SimSun" w:ascii="宋体;SimSun" w:hAnsi="宋体;SimSun"/>
        <w:b/>
        <w:bCs/>
        <w:sz w:val="21"/>
        <w:szCs w:val="24"/>
      </w:rPr>
      <w:fldChar w:fldCharType="begin"/>
    </w:r>
    <w:r>
      <w:rPr>
        <w:sz w:val="21"/>
        <w:b/>
        <w:szCs w:val="24"/>
        <w:bCs/>
        <w:rFonts w:cs="宋体;SimSun" w:ascii="宋体;SimSun" w:hAnsi="宋体;SimSun"/>
      </w:rPr>
      <w:instrText> PAGE </w:instrText>
    </w:r>
    <w:r>
      <w:rPr>
        <w:sz w:val="21"/>
        <w:b/>
        <w:szCs w:val="24"/>
        <w:bCs/>
        <w:rFonts w:cs="宋体;SimSun" w:ascii="宋体;SimSun" w:hAnsi="宋体;SimSun"/>
      </w:rPr>
      <w:fldChar w:fldCharType="separate"/>
    </w:r>
    <w:r>
      <w:rPr>
        <w:sz w:val="21"/>
        <w:b/>
        <w:szCs w:val="24"/>
        <w:bCs/>
        <w:rFonts w:cs="宋体;SimSun" w:ascii="宋体;SimSun" w:hAnsi="宋体;SimSun"/>
      </w:rPr>
      <w:t>6</w:t>
    </w:r>
    <w:r>
      <w:rPr>
        <w:sz w:val="21"/>
        <w:b/>
        <w:szCs w:val="24"/>
        <w:bCs/>
        <w:rFonts w:cs="宋体;SimSun" w:ascii="宋体;SimSun" w:hAnsi="宋体;SimSun"/>
      </w:rPr>
      <w:fldChar w:fldCharType="end"/>
    </w:r>
    <w:r>
      <w:rPr>
        <w:rFonts w:cs="宋体;SimSun" w:ascii="宋体;SimSun" w:hAnsi="宋体;SimSun"/>
        <w:sz w:val="15"/>
        <w:lang w:val="zh-CN"/>
      </w:rPr>
      <w:t xml:space="preserve"> </w:t>
    </w:r>
    <w:r>
      <w:rPr>
        <w:rFonts w:cs="宋体;SimSun" w:ascii="宋体;SimSun" w:hAnsi="宋体;SimSun"/>
        <w:sz w:val="15"/>
        <w:lang w:val="zh-CN"/>
      </w:rPr>
      <w:t xml:space="preserve">/ </w:t>
    </w:r>
    <w:r>
      <w:rPr>
        <w:rFonts w:cs="宋体;SimSun" w:ascii="宋体;SimSun" w:hAnsi="宋体;SimSun"/>
        <w:b/>
        <w:bCs/>
        <w:sz w:val="21"/>
        <w:szCs w:val="24"/>
      </w:rPr>
      <w:fldChar w:fldCharType="begin"/>
    </w:r>
    <w:r>
      <w:rPr>
        <w:sz w:val="21"/>
        <w:b/>
        <w:szCs w:val="24"/>
        <w:bCs/>
        <w:rFonts w:cs="宋体;SimSun" w:ascii="宋体;SimSun" w:hAnsi="宋体;SimSun"/>
      </w:rPr>
      <w:instrText> NUMPAGES \* ARABIC </w:instrText>
    </w:r>
    <w:r>
      <w:rPr>
        <w:sz w:val="21"/>
        <w:b/>
        <w:szCs w:val="24"/>
        <w:bCs/>
        <w:rFonts w:cs="宋体;SimSun" w:ascii="宋体;SimSun" w:hAnsi="宋体;SimSun"/>
      </w:rPr>
      <w:fldChar w:fldCharType="separate"/>
    </w:r>
    <w:r>
      <w:rPr>
        <w:sz w:val="21"/>
        <w:b/>
        <w:szCs w:val="24"/>
        <w:bCs/>
        <w:rFonts w:cs="宋体;SimSun" w:ascii="宋体;SimSun" w:hAnsi="宋体;SimSun"/>
      </w:rPr>
      <w:t>7</w:t>
    </w:r>
    <w:r>
      <w:rPr>
        <w:sz w:val="21"/>
        <w:b/>
        <w:szCs w:val="24"/>
        <w:bCs/>
        <w:rFonts w:cs="宋体;SimSun" w:ascii="宋体;SimSun" w:hAnsi="宋体;SimSun"/>
      </w:rPr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firstLine="4230"/>
      <w:rPr/>
    </w:pPr>
    <w:r>
      <w:rPr>
        <w:rFonts w:eastAsia="Times New Roman"/>
        <w:lang w:val="zh-CN"/>
      </w:rPr>
      <w:t xml:space="preserve"> </w:t>
    </w:r>
    <w:r>
      <w:rPr>
        <w:rFonts w:cs="宋体;SimSun" w:ascii="宋体;SimSun" w:hAnsi="宋体;SimSun"/>
        <w:b/>
        <w:bCs/>
        <w:sz w:val="21"/>
        <w:szCs w:val="24"/>
      </w:rPr>
      <w:fldChar w:fldCharType="begin"/>
    </w:r>
    <w:r>
      <w:rPr>
        <w:sz w:val="21"/>
        <w:b/>
        <w:szCs w:val="24"/>
        <w:bCs/>
        <w:rFonts w:cs="宋体;SimSun" w:ascii="宋体;SimSun" w:hAnsi="宋体;SimSun"/>
      </w:rPr>
      <w:instrText> PAGE </w:instrText>
    </w:r>
    <w:r>
      <w:rPr>
        <w:sz w:val="21"/>
        <w:b/>
        <w:szCs w:val="24"/>
        <w:bCs/>
        <w:rFonts w:cs="宋体;SimSun" w:ascii="宋体;SimSun" w:hAnsi="宋体;SimSun"/>
      </w:rPr>
      <w:fldChar w:fldCharType="separate"/>
    </w:r>
    <w:r>
      <w:rPr>
        <w:sz w:val="21"/>
        <w:b/>
        <w:szCs w:val="24"/>
        <w:bCs/>
        <w:rFonts w:cs="宋体;SimSun" w:ascii="宋体;SimSun" w:hAnsi="宋体;SimSun"/>
      </w:rPr>
      <w:t>0</w:t>
    </w:r>
    <w:r>
      <w:rPr>
        <w:sz w:val="21"/>
        <w:b/>
        <w:szCs w:val="24"/>
        <w:bCs/>
        <w:rFonts w:cs="宋体;SimSun" w:ascii="宋体;SimSun" w:hAnsi="宋体;SimSun"/>
      </w:rPr>
      <w:fldChar w:fldCharType="end"/>
    </w:r>
    <w:r>
      <w:rPr>
        <w:rFonts w:cs="宋体;SimSun" w:ascii="宋体;SimSun" w:hAnsi="宋体;SimSun"/>
        <w:sz w:val="15"/>
        <w:lang w:val="zh-CN"/>
      </w:rPr>
      <w:t xml:space="preserve"> </w:t>
    </w:r>
    <w:r>
      <w:rPr>
        <w:rFonts w:cs="宋体;SimSun" w:ascii="宋体;SimSun" w:hAnsi="宋体;SimSun"/>
        <w:sz w:val="15"/>
        <w:lang w:val="zh-CN"/>
      </w:rPr>
      <w:t xml:space="preserve">/ </w:t>
    </w:r>
    <w:r>
      <w:rPr>
        <w:rFonts w:cs="宋体;SimSun" w:ascii="宋体;SimSun" w:hAnsi="宋体;SimSun"/>
        <w:b/>
        <w:bCs/>
        <w:sz w:val="21"/>
        <w:szCs w:val="24"/>
      </w:rPr>
      <w:fldChar w:fldCharType="begin"/>
    </w:r>
    <w:r>
      <w:rPr>
        <w:sz w:val="21"/>
        <w:b/>
        <w:szCs w:val="24"/>
        <w:bCs/>
        <w:rFonts w:cs="宋体;SimSun" w:ascii="宋体;SimSun" w:hAnsi="宋体;SimSun"/>
      </w:rPr>
      <w:instrText> NUMPAGES \* ARABIC </w:instrText>
    </w:r>
    <w:r>
      <w:rPr>
        <w:sz w:val="21"/>
        <w:b/>
        <w:szCs w:val="24"/>
        <w:bCs/>
        <w:rFonts w:cs="宋体;SimSun" w:ascii="宋体;SimSun" w:hAnsi="宋体;SimSun"/>
      </w:rPr>
      <w:fldChar w:fldCharType="separate"/>
    </w:r>
    <w:r>
      <w:rPr>
        <w:sz w:val="21"/>
        <w:b/>
        <w:szCs w:val="24"/>
        <w:bCs/>
        <w:rFonts w:cs="宋体;SimSun" w:ascii="宋体;SimSun" w:hAnsi="宋体;SimSun"/>
      </w:rPr>
      <w:t>7</w:t>
    </w:r>
    <w:r>
      <w:rPr>
        <w:sz w:val="21"/>
        <w:b/>
        <w:szCs w:val="24"/>
        <w:bCs/>
        <w:rFonts w:cs="宋体;SimSun" w:ascii="宋体;SimSun" w:hAnsi="宋体;SimSun"/>
      </w:rPr>
      <w:fldChar w:fldCharType="end"/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630" w:hanging="42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0"/>
        </w:tabs>
        <w:ind w:start="630" w:hanging="42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"/>
      <w:lvlJc w:val="start"/>
      <w:pPr>
        <w:tabs>
          <w:tab w:val="num" w:pos="0"/>
        </w:tabs>
        <w:ind w:start="63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2" w:before="260" w:after="260"/>
      <w:outlineLvl w:val="1"/>
    </w:pPr>
    <w:rPr>
      <w:rFonts w:ascii="Arial" w:hAnsi="Arial" w:eastAsia="黑体;SimHei" w:cs="Arial"/>
      <w:b/>
      <w:bCs/>
      <w:kern w:val="2"/>
      <w:sz w:val="32"/>
      <w:szCs w:val="32"/>
      <w:lang w:val="en-US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2" w:before="260" w:after="260"/>
      <w:outlineLvl w:val="2"/>
    </w:pPr>
    <w:rPr>
      <w:b/>
      <w:bCs/>
      <w:sz w:val="32"/>
      <w:szCs w:val="32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Style11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PageNumber">
    <w:name w:val="Page Number"/>
    <w:basedOn w:val="Style11"/>
    <w:rPr/>
  </w:style>
  <w:style w:type="character" w:styleId="Char">
    <w:name w:val="页脚 Char"/>
    <w:qFormat/>
    <w:rPr>
      <w:kern w:val="2"/>
      <w:sz w:val="18"/>
      <w:szCs w:val="18"/>
    </w:rPr>
  </w:style>
  <w:style w:type="character" w:styleId="3Char">
    <w:name w:val="3 Char"/>
    <w:qFormat/>
    <w:rPr>
      <w:rFonts w:ascii="宋体;SimSun" w:hAnsi="宋体;SimSun" w:cs="宋体;SimSun"/>
      <w:kern w:val="2"/>
      <w:sz w:val="21"/>
      <w:szCs w:val="21"/>
      <w:u w:val="single"/>
    </w:rPr>
  </w:style>
  <w:style w:type="character" w:styleId="2Char">
    <w:name w:val="2 Char"/>
    <w:qFormat/>
    <w:rPr>
      <w:rFonts w:ascii="宋体;SimSun" w:hAnsi="宋体;SimSun" w:cs="宋体;SimSun"/>
      <w:b/>
      <w:kern w:val="2"/>
      <w:sz w:val="21"/>
      <w:szCs w:val="21"/>
      <w:u w:val="single"/>
    </w:rPr>
  </w:style>
  <w:style w:type="character" w:styleId="2Char1">
    <w:name w:val="标题 2 Char"/>
    <w:qFormat/>
    <w:rPr>
      <w:rFonts w:ascii="Arial" w:hAnsi="Arial" w:eastAsia="黑体;SimHei" w:cs="Arial"/>
      <w:b/>
      <w:bCs/>
      <w:kern w:val="2"/>
      <w:sz w:val="32"/>
      <w:szCs w:val="32"/>
      <w:lang w:val="en-US" w:eastAsia="zh-CN" w:bidi="ar-SA"/>
    </w:rPr>
  </w:style>
  <w:style w:type="character" w:styleId="1Char">
    <w:name w:val="1 Char"/>
    <w:qFormat/>
    <w:rPr>
      <w:rFonts w:ascii="宋体;SimSun" w:hAnsi="宋体;SimSun" w:cs="宋体;SimSun"/>
      <w:b/>
      <w:kern w:val="2"/>
      <w:sz w:val="21"/>
      <w:szCs w:val="21"/>
    </w:rPr>
  </w:style>
  <w:style w:type="character" w:styleId="Char1">
    <w:name w:val="页眉 Char"/>
    <w:qFormat/>
    <w:rPr>
      <w:kern w:val="2"/>
      <w:sz w:val="18"/>
      <w:szCs w:val="18"/>
    </w:rPr>
  </w:style>
  <w:style w:type="character" w:styleId="Char2">
    <w:name w:val="批注框文本 Char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2">
    <w:name w:val="TOC 2"/>
    <w:basedOn w:val="Normal"/>
    <w:next w:val="Normal"/>
    <w:pPr>
      <w:ind w:start="420" w:hanging="0"/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2">
    <w:name w:val="批注文字"/>
    <w:basedOn w:val="Normal"/>
    <w:qFormat/>
    <w:pPr>
      <w:jc w:val="start"/>
    </w:pPr>
    <w:rPr/>
  </w:style>
  <w:style w:type="paragraph" w:styleId="Style13">
    <w:name w:val="批注框文本"/>
    <w:basedOn w:val="Normal"/>
    <w:qFormat/>
    <w:pPr/>
    <w:rPr>
      <w:sz w:val="18"/>
      <w:szCs w:val="18"/>
    </w:rPr>
  </w:style>
  <w:style w:type="paragraph" w:styleId="Contents1">
    <w:name w:val="TOC 1"/>
    <w:basedOn w:val="Normal"/>
    <w:next w:val="Normal"/>
    <w:pPr/>
    <w:rPr/>
  </w:style>
  <w:style w:type="paragraph" w:styleId="2">
    <w:name w:val="正文文本缩进 2"/>
    <w:basedOn w:val="Normal"/>
    <w:qFormat/>
    <w:pPr>
      <w:spacing w:lineRule="auto" w:line="480" w:before="0" w:after="120"/>
      <w:ind w:start="420" w:hanging="0"/>
    </w:pPr>
    <w:rPr/>
  </w:style>
  <w:style w:type="paragraph" w:styleId="Contents3">
    <w:name w:val="TOC 3"/>
    <w:basedOn w:val="Normal"/>
    <w:next w:val="Normal"/>
    <w:pPr>
      <w:ind w:start="840" w:hanging="0"/>
    </w:pPr>
    <w:rPr/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paragraph" w:styleId="0">
    <w:name w:val="段落0"/>
    <w:qFormat/>
    <w:pPr>
      <w:widowControl/>
      <w:autoSpaceDE w:val="false"/>
      <w:bidi w:val="0"/>
      <w:spacing w:lineRule="exact" w:line="500"/>
      <w:ind w:start="742" w:end="120" w:firstLine="1"/>
      <w:jc w:val="both"/>
    </w:pPr>
    <w:rPr>
      <w:rFonts w:ascii="宋体;SimSun" w:hAnsi="宋体;SimSun" w:eastAsia="宋体;SimSun" w:cs="Times New Roman"/>
      <w:color w:val="auto"/>
      <w:sz w:val="24"/>
      <w:szCs w:val="20"/>
      <w:lang w:val="en-US" w:eastAsia="zh-CN" w:bidi="ar-SA"/>
    </w:rPr>
  </w:style>
  <w:style w:type="paragraph" w:styleId="Text">
    <w:name w:val="text"/>
    <w:basedOn w:val="Normal"/>
    <w:qFormat/>
    <w:pPr>
      <w:widowControl/>
      <w:spacing w:before="280" w:after="280"/>
      <w:jc w:val="start"/>
    </w:pPr>
    <w:rPr>
      <w:rFonts w:ascii="ˎ̥;Times New Roman" w:hAnsi="ˎ̥;Times New Roman" w:cs="ˎ̥;Times New Roman"/>
      <w:color w:val="000000"/>
      <w:kern w:val="0"/>
      <w:sz w:val="18"/>
      <w:szCs w:val="18"/>
    </w:rPr>
  </w:style>
  <w:style w:type="paragraph" w:styleId="1">
    <w:name w:val="1"/>
    <w:basedOn w:val="Normal"/>
    <w:qFormat/>
    <w:pPr>
      <w:spacing w:lineRule="auto" w:line="360"/>
    </w:pPr>
    <w:rPr>
      <w:rFonts w:ascii="宋体;SimSun" w:hAnsi="宋体;SimSun" w:cs="宋体;SimSun"/>
      <w:b/>
      <w:szCs w:val="21"/>
    </w:rPr>
  </w:style>
  <w:style w:type="paragraph" w:styleId="TOC">
    <w:name w:val="TOC 标题"/>
    <w:basedOn w:val="Heading1"/>
    <w:next w:val="Normal"/>
    <w:qFormat/>
    <w:pPr>
      <w:widowControl/>
      <w:numPr>
        <w:ilvl w:val="0"/>
        <w:numId w:val="0"/>
      </w:numPr>
      <w:spacing w:lineRule="auto" w:line="276" w:before="480" w:after="0"/>
      <w:jc w:val="start"/>
    </w:pPr>
    <w:rPr>
      <w:rFonts w:ascii="Calibri Light" w:hAnsi="Calibri Light" w:eastAsia="宋体;SimSun" w:cs="Times New Roman"/>
      <w:color w:val="2E74B5"/>
      <w:kern w:val="0"/>
      <w:sz w:val="28"/>
      <w:szCs w:val="28"/>
    </w:rPr>
  </w:style>
  <w:style w:type="paragraph" w:styleId="21">
    <w:name w:val="2"/>
    <w:basedOn w:val="Normal"/>
    <w:qFormat/>
    <w:pPr>
      <w:spacing w:lineRule="auto" w:line="360"/>
      <w:ind w:firstLine="105"/>
    </w:pPr>
    <w:rPr>
      <w:rFonts w:ascii="宋体;SimSun" w:hAnsi="宋体;SimSun" w:cs="宋体;SimSun"/>
      <w:b/>
      <w:szCs w:val="21"/>
      <w:u w:val="single"/>
    </w:rPr>
  </w:style>
  <w:style w:type="paragraph" w:styleId="3">
    <w:name w:val="3"/>
    <w:basedOn w:val="Normal"/>
    <w:qFormat/>
    <w:pPr>
      <w:spacing w:lineRule="auto" w:line="360"/>
      <w:ind w:firstLine="420"/>
    </w:pPr>
    <w:rPr>
      <w:rFonts w:ascii="宋体;SimSun" w:hAnsi="宋体;SimSun" w:cs="宋体;SimSun"/>
      <w:szCs w:val="21"/>
      <w:u w:val="single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2016-07-04T11:20:00Z</dcterms:created>
  <dc:creator>番茄花园</dc:creator>
  <dc:description/>
  <cp:keywords> </cp:keywords>
  <dc:language>en-US</dc:language>
  <cp:lastModifiedBy>Administrator</cp:lastModifiedBy>
  <cp:lastPrinted>2022-04-03T12:16:00Z</cp:lastPrinted>
  <dcterms:modified xsi:type="dcterms:W3CDTF">2022-04-03T12:16:00Z</dcterms:modified>
  <cp:revision>62</cp:revision>
  <dc:subject/>
  <dc:title>深圳荷碧可护肤科技有限公司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