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7222" w:type="dxa"/>
        <w:jc w:val="start"/>
        <w:tblInd w:w="0" w:type="dxa"/>
        <w:tblLayout w:type="fixed"/>
        <w:tblCellMar>
          <w:top w:w="0" w:type="dxa"/>
          <w:start w:w="0" w:type="dxa"/>
          <w:bottom w:w="0" w:type="dxa"/>
          <w:end w:w="0" w:type="dxa"/>
        </w:tblCellMar>
      </w:tblPr>
      <w:tblGrid>
        <w:gridCol w:w="6120"/>
        <w:gridCol w:w="1102"/>
      </w:tblGrid>
      <w:tr>
        <w:trPr>
          <w:trHeight w:val="3420" w:hRule="exact"/>
        </w:trPr>
        <w:tc>
          <w:tcPr>
            <w:tcW w:w="7222" w:type="dxa"/>
            <w:gridSpan w:val="2"/>
            <w:tcBorders/>
            <w:vAlign w:val="center"/>
          </w:tcPr>
          <w:p>
            <w:pPr>
              <w:pStyle w:val="LetterDate"/>
              <w:snapToGrid w:val="false"/>
              <w:rPr>
                <w:rFonts w:ascii="宋体" w:hAnsi="宋体" w:cs="宋体"/>
                <w:b/>
                <w:b/>
                <w:lang w:val="en-US" w:eastAsia="zh-CN"/>
              </w:rPr>
            </w:pPr>
            <w:r>
              <w:rPr>
                <w:rFonts w:cs="宋体" w:ascii="SimHei" w:hAnsi="SimHei" w:eastAsia="黑体"/>
                <w:b/>
                <w:lang w:val="en-US" w:eastAsia="zh-CN"/>
              </w:rPr>
            </w:r>
          </w:p>
          <w:p>
            <w:pPr>
              <w:pStyle w:val="ReportTitle"/>
              <w:rPr>
                <w:rFonts w:ascii="宋体" w:hAnsi="宋体" w:cs="宋体"/>
                <w:b/>
                <w:b/>
                <w:lang w:val="en-GB" w:eastAsia="zh-CN"/>
              </w:rPr>
            </w:pPr>
            <w:bookmarkStart w:id="0" w:name="ClientName"/>
            <w:r>
              <w:rPr>
                <w:rFonts w:ascii="SimHei" w:hAnsi="SimHei" w:cs="宋体" w:eastAsia="黑体"/>
                <w:b/>
                <w:lang w:val="en-GB" w:eastAsia="zh-CN"/>
              </w:rPr>
              <w:t>中国</w:t>
            </w:r>
            <w:bookmarkEnd w:id="0"/>
            <w:r>
              <w:rPr>
                <w:rFonts w:ascii="SimHei" w:hAnsi="SimHei" w:cs="宋体" w:eastAsia="黑体"/>
                <w:b/>
                <w:lang w:val="en-GB" w:eastAsia="zh-CN"/>
              </w:rPr>
              <w:t>某集团岗位体系管理制度</w:t>
            </w:r>
          </w:p>
          <w:p>
            <w:pPr>
              <w:pStyle w:val="ClientName"/>
              <w:rPr>
                <w:rFonts w:ascii="宋体" w:hAnsi="宋体" w:cs="宋体"/>
                <w:b/>
                <w:b/>
                <w:lang w:val="en-GB" w:eastAsia="zh-CN"/>
              </w:rPr>
            </w:pPr>
            <w:r>
              <w:rPr>
                <w:rFonts w:cs="宋体" w:ascii="SimHei" w:hAnsi="SimHei" w:eastAsia="黑体"/>
                <w:b/>
                <w:lang w:val="en-GB" w:eastAsia="zh-CN"/>
              </w:rPr>
            </w:r>
          </w:p>
        </w:tc>
      </w:tr>
      <w:tr>
        <w:trPr>
          <w:trHeight w:val="2920" w:hRule="exact"/>
        </w:trPr>
        <w:tc>
          <w:tcPr>
            <w:tcW w:w="6120" w:type="dxa"/>
            <w:tcBorders/>
          </w:tcPr>
          <w:p>
            <w:pPr>
              <w:pStyle w:val="TableHeadingText"/>
              <w:snapToGrid w:val="false"/>
              <w:spacing w:before="20" w:after="300"/>
              <w:rPr>
                <w:rFonts w:ascii="宋体" w:hAnsi="宋体" w:cs="宋体"/>
                <w:b/>
                <w:b/>
                <w:lang w:val="en-GB" w:eastAsia="zh-CN"/>
              </w:rPr>
            </w:pPr>
            <w:r>
              <w:rPr>
                <w:rFonts w:cs="宋体" w:ascii="SimHei" w:hAnsi="SimHei" w:eastAsia="黑体"/>
                <w:b/>
                <w:lang w:val="en-GB" w:eastAsia="zh-CN"/>
              </w:rPr>
            </w:r>
          </w:p>
        </w:tc>
        <w:tc>
          <w:tcPr>
            <w:tcW w:w="1102" w:type="dxa"/>
            <w:tcBorders/>
          </w:tcPr>
          <w:p>
            <w:pPr>
              <w:pStyle w:val="Normal"/>
              <w:snapToGrid w:val="false"/>
              <w:spacing w:before="0" w:after="300"/>
              <w:rPr>
                <w:rFonts w:ascii="宋体" w:hAnsi="宋体" w:cs="宋体"/>
                <w:lang w:eastAsia="zh-CN"/>
              </w:rPr>
            </w:pPr>
            <w:r>
              <w:rPr>
                <w:rFonts w:cs="宋体" w:ascii="SimHei" w:hAnsi="SimHei" w:eastAsia="黑体"/>
                <w:lang w:eastAsia="zh-CN"/>
              </w:rPr>
            </w:r>
          </w:p>
        </w:tc>
      </w:tr>
      <w:tr>
        <w:trPr>
          <w:trHeight w:val="1267" w:hRule="exact"/>
        </w:trPr>
        <w:tc>
          <w:tcPr>
            <w:tcW w:w="6120" w:type="dxa"/>
            <w:tcBorders/>
            <w:vAlign w:val="bottom"/>
          </w:tcPr>
          <w:p>
            <w:pPr>
              <w:pStyle w:val="TableLogoText"/>
              <w:snapToGrid w:val="false"/>
              <w:spacing w:before="0" w:after="300"/>
              <w:ind w:end="187" w:hanging="0"/>
              <w:rPr>
                <w:rFonts w:ascii="宋体" w:hAnsi="宋体" w:cs="宋体"/>
                <w:lang w:eastAsia="zh-CN"/>
              </w:rPr>
            </w:pPr>
            <w:r>
              <w:rPr>
                <w:rFonts w:cs="宋体" w:ascii="SimHei" w:hAnsi="SimHei" w:eastAsia="黑体"/>
                <w:lang w:eastAsia="zh-CN"/>
              </w:rPr>
            </w:r>
          </w:p>
        </w:tc>
        <w:tc>
          <w:tcPr>
            <w:tcW w:w="1102" w:type="dxa"/>
            <w:tcBorders/>
          </w:tcPr>
          <w:p>
            <w:pPr>
              <w:pStyle w:val="Normal"/>
              <w:snapToGrid w:val="false"/>
              <w:spacing w:before="0" w:after="300"/>
              <w:rPr>
                <w:rFonts w:ascii="宋体" w:hAnsi="宋体" w:cs="宋体"/>
              </w:rPr>
            </w:pPr>
            <w:r>
              <w:rPr>
                <w:rFonts w:cs="宋体" w:ascii="SimHei" w:hAnsi="SimHei" w:eastAsia="黑体"/>
              </w:rPr>
            </w:r>
          </w:p>
        </w:tc>
      </w:tr>
      <w:tr>
        <w:trPr>
          <w:trHeight w:val="1267" w:hRule="exact"/>
        </w:trPr>
        <w:tc>
          <w:tcPr>
            <w:tcW w:w="6120" w:type="dxa"/>
            <w:tcBorders/>
            <w:vAlign w:val="bottom"/>
          </w:tcPr>
          <w:p>
            <w:pPr>
              <w:pStyle w:val="TableLogoText"/>
              <w:spacing w:before="0" w:after="300"/>
              <w:ind w:end="187" w:hanging="0"/>
              <w:rPr>
                <w:rFonts w:ascii="宋体" w:hAnsi="宋体" w:cs="宋体"/>
              </w:rPr>
            </w:pPr>
            <w:bookmarkStart w:id="1" w:name="LogoBICNo2Front"/>
            <w:r>
              <w:rPr>
                <w:rFonts w:cs="宋体" w:ascii="SimHei" w:hAnsi="SimHei" w:eastAsia="黑体"/>
              </w:rPr>
              <w:t xml:space="preserve">     </w:t>
            </w:r>
            <w:bookmarkEnd w:id="1"/>
          </w:p>
        </w:tc>
        <w:tc>
          <w:tcPr>
            <w:tcW w:w="1102" w:type="dxa"/>
            <w:tcBorders/>
          </w:tcPr>
          <w:p>
            <w:pPr>
              <w:pStyle w:val="Normal"/>
              <w:snapToGrid w:val="false"/>
              <w:spacing w:before="0" w:after="300"/>
              <w:rPr>
                <w:rFonts w:ascii="宋体" w:hAnsi="宋体" w:cs="宋体"/>
              </w:rPr>
            </w:pPr>
            <w:r>
              <w:rPr>
                <w:rFonts w:cs="宋体" w:ascii="SimHei" w:hAnsi="SimHei" w:eastAsia="黑体"/>
              </w:rPr>
            </w:r>
          </w:p>
        </w:tc>
      </w:tr>
      <w:tr>
        <w:trPr>
          <w:trHeight w:val="1267" w:hRule="exact"/>
        </w:trPr>
        <w:tc>
          <w:tcPr>
            <w:tcW w:w="6120" w:type="dxa"/>
            <w:tcBorders/>
            <w:vAlign w:val="bottom"/>
          </w:tcPr>
          <w:p>
            <w:pPr>
              <w:pStyle w:val="TableLogoText"/>
              <w:spacing w:before="0" w:after="300"/>
              <w:ind w:end="187" w:hanging="0"/>
              <w:rPr>
                <w:rFonts w:ascii="宋体" w:hAnsi="宋体" w:cs="宋体"/>
              </w:rPr>
            </w:pPr>
            <w:bookmarkStart w:id="2" w:name="LogoBICNo3Front"/>
            <w:r>
              <w:rPr>
                <w:rFonts w:cs="宋体" w:ascii="SimHei" w:hAnsi="SimHei" w:eastAsia="黑体"/>
              </w:rPr>
              <w:t xml:space="preserve">     </w:t>
            </w:r>
            <w:bookmarkEnd w:id="2"/>
          </w:p>
        </w:tc>
        <w:tc>
          <w:tcPr>
            <w:tcW w:w="1102" w:type="dxa"/>
            <w:tcBorders/>
          </w:tcPr>
          <w:p>
            <w:pPr>
              <w:pStyle w:val="Normal"/>
              <w:snapToGrid w:val="false"/>
              <w:spacing w:before="0" w:after="300"/>
              <w:rPr>
                <w:rFonts w:ascii="宋体" w:hAnsi="宋体" w:cs="宋体"/>
              </w:rPr>
            </w:pPr>
            <w:r>
              <w:rPr>
                <w:rFonts w:cs="宋体" w:ascii="SimHei" w:hAnsi="SimHei" w:eastAsia="黑体"/>
              </w:rPr>
            </w:r>
          </w:p>
        </w:tc>
      </w:tr>
      <w:tr>
        <w:trPr>
          <w:trHeight w:val="1267" w:hRule="exact"/>
        </w:trPr>
        <w:tc>
          <w:tcPr>
            <w:tcW w:w="6120" w:type="dxa"/>
            <w:tcBorders/>
            <w:vAlign w:val="bottom"/>
          </w:tcPr>
          <w:p>
            <w:pPr>
              <w:pStyle w:val="TableLogoText"/>
              <w:spacing w:before="0" w:after="300"/>
              <w:ind w:end="187" w:hanging="0"/>
              <w:rPr>
                <w:rFonts w:ascii="宋体" w:hAnsi="宋体" w:cs="宋体"/>
              </w:rPr>
            </w:pPr>
            <w:bookmarkStart w:id="3" w:name="LogoBICNo4Front"/>
            <w:r>
              <w:rPr>
                <w:rFonts w:cs="宋体" w:ascii="SimHei" w:hAnsi="SimHei" w:eastAsia="黑体"/>
              </w:rPr>
              <w:t xml:space="preserve">     </w:t>
            </w:r>
            <w:bookmarkEnd w:id="3"/>
          </w:p>
        </w:tc>
        <w:tc>
          <w:tcPr>
            <w:tcW w:w="1102" w:type="dxa"/>
            <w:tcBorders/>
          </w:tcPr>
          <w:p>
            <w:pPr>
              <w:pStyle w:val="Normal"/>
              <w:snapToGrid w:val="false"/>
              <w:spacing w:before="0" w:after="300"/>
              <w:rPr>
                <w:rFonts w:ascii="宋体" w:hAnsi="宋体" w:cs="宋体"/>
              </w:rPr>
            </w:pPr>
            <w:r>
              <w:rPr>
                <w:rFonts w:cs="宋体" w:ascii="SimHei" w:hAnsi="SimHei" w:eastAsia="黑体"/>
              </w:rPr>
            </w:r>
          </w:p>
        </w:tc>
      </w:tr>
    </w:tbl>
    <w:p>
      <w:pPr>
        <w:sectPr>
          <w:type w:val="nextPage"/>
          <w:pgSz w:w="11906" w:h="16838"/>
          <w:pgMar w:left="2520" w:right="1109" w:header="0" w:top="1627" w:footer="0" w:bottom="1440" w:gutter="0"/>
          <w:pgNumType w:fmt="decimal"/>
          <w:formProt w:val="false"/>
          <w:titlePg/>
          <w:textDirection w:val="lrTb"/>
          <w:docGrid w:type="default" w:linePitch="360" w:charSpace="0"/>
        </w:sectPr>
        <w:pStyle w:val="Normal"/>
        <w:rPr>
          <w:rFonts w:ascii="宋体" w:hAnsi="宋体" w:cs="宋体"/>
        </w:rPr>
      </w:pPr>
      <w:r>
        <w:rPr>
          <w:rFonts w:cs="宋体" w:ascii="SimHei" w:hAnsi="SimHei" w:eastAsia="黑体"/>
        </w:rPr>
      </w:r>
    </w:p>
    <w:p>
      <w:pPr>
        <w:pStyle w:val="TOCHeading"/>
        <w:ind w:end="-21" w:hanging="0"/>
        <w:jc w:val="center"/>
        <w:rPr>
          <w:rFonts w:ascii="宋体" w:hAnsi="宋体" w:cs="宋体"/>
          <w:b/>
          <w:b/>
          <w:lang w:val="en-US" w:eastAsia="zh-CN"/>
        </w:rPr>
      </w:pPr>
      <w:r>
        <w:rPr>
          <w:rFonts w:ascii="SimHei" w:hAnsi="SimHei" w:cs="宋体" w:eastAsia="黑体"/>
          <w:b/>
          <w:lang w:val="en-US" w:eastAsia="zh-CN"/>
        </w:rPr>
        <w:t>内容</w:t>
      </w:r>
    </w:p>
    <w:sdt>
      <w:sdtPr>
        <w:docPartObj>
          <w:docPartGallery w:val="Table of Contents"/>
          <w:docPartUnique w:val="true"/>
        </w:docPartObj>
      </w:sdtPr>
      <w:sdtContent>
        <w:p>
          <w:pPr>
            <w:pStyle w:val="Contents1"/>
            <w:numPr>
              <w:ilvl w:val="0"/>
              <w:numId w:val="3"/>
            </w:numPr>
            <w:rPr>
              <w:kern w:val="2"/>
              <w:sz w:val="21"/>
              <w:szCs w:val="24"/>
              <w:lang w:val="en-US" w:eastAsia="zh-CN"/>
            </w:rPr>
          </w:pPr>
          <w:r>
            <w:fldChar w:fldCharType="begin"/>
          </w:r>
          <w:r>
            <w:rPr>
              <w:b/>
              <w:lang w:val="en-US" w:eastAsia="zh-CN"/>
            </w:rPr>
            <w:instrText> TOC  \n 3-3 \t "Heading 1,1,Heading 1A,1,Heading 2,2,Appendix Start,3" \* MERGEFORMAT </w:instrText>
          </w:r>
          <w:r>
            <w:rPr>
              <w:b/>
              <w:lang w:val="en-US" w:eastAsia="zh-CN"/>
            </w:rPr>
            <w:fldChar w:fldCharType="separate"/>
          </w:r>
          <w:bookmarkStart w:id="4" w:name="TOC_Here"/>
          <w:bookmarkEnd w:id="4"/>
          <w:r>
            <w:rPr>
              <w:b/>
              <w:lang w:val="en-US" w:eastAsia="zh-CN"/>
            </w:rPr>
            <w:t>总述</w:t>
          </w:r>
          <w:r>
            <w:rPr/>
            <w:tab/>
          </w:r>
          <w:hyperlink w:anchor="__RefHeading___Toc142984670">
            <w:r>
              <w:rPr>
                <w:rStyle w:val="IndexLink"/>
              </w:rPr>
              <w:t>2</w:t>
            </w:r>
          </w:hyperlink>
        </w:p>
        <w:p>
          <w:pPr>
            <w:pStyle w:val="Contents1"/>
            <w:numPr>
              <w:ilvl w:val="0"/>
              <w:numId w:val="3"/>
            </w:numPr>
            <w:rPr>
              <w:kern w:val="2"/>
              <w:sz w:val="21"/>
              <w:szCs w:val="24"/>
              <w:lang w:val="en-US" w:eastAsia="zh-CN"/>
            </w:rPr>
          </w:pPr>
          <w:r>
            <w:rPr>
              <w:rFonts w:ascii="宋体" w:hAnsi="宋体" w:cs="宋体"/>
              <w:b/>
              <w:lang w:val="en-US" w:eastAsia="zh-CN"/>
            </w:rPr>
            <w:t>岗位体系中相关概念的澄清</w:t>
          </w:r>
          <w:r>
            <w:rPr>
              <w:lang w:val="en-US" w:eastAsia="zh-CN"/>
            </w:rPr>
            <w:tab/>
          </w:r>
          <w:hyperlink w:anchor="__RefHeading___Toc142984671">
            <w:r>
              <w:rPr>
                <w:rStyle w:val="IndexLink"/>
                <w:lang w:val="en-US" w:eastAsia="zh-CN"/>
              </w:rPr>
              <w:t>4</w:t>
            </w:r>
          </w:hyperlink>
        </w:p>
        <w:p>
          <w:pPr>
            <w:pStyle w:val="Contents1"/>
            <w:numPr>
              <w:ilvl w:val="0"/>
              <w:numId w:val="3"/>
            </w:numPr>
            <w:rPr>
              <w:kern w:val="2"/>
              <w:sz w:val="21"/>
              <w:szCs w:val="24"/>
              <w:lang w:val="en-US" w:eastAsia="zh-CN"/>
            </w:rPr>
          </w:pPr>
          <w:r>
            <w:rPr>
              <w:rFonts w:ascii="宋体" w:hAnsi="宋体" w:cs="宋体"/>
              <w:b/>
              <w:lang w:val="en-US" w:eastAsia="zh-CN"/>
            </w:rPr>
            <w:t>中国网通集团的岗位体系</w:t>
          </w:r>
          <w:r>
            <w:rPr>
              <w:lang w:val="en-US" w:eastAsia="zh-CN"/>
            </w:rPr>
            <w:tab/>
          </w:r>
          <w:hyperlink w:anchor="__RefHeading___Toc142984672">
            <w:r>
              <w:rPr>
                <w:rStyle w:val="IndexLink"/>
                <w:lang w:val="en-US" w:eastAsia="zh-CN"/>
              </w:rPr>
              <w:t>10</w:t>
            </w:r>
          </w:hyperlink>
        </w:p>
        <w:p>
          <w:pPr>
            <w:pStyle w:val="Contents1"/>
            <w:numPr>
              <w:ilvl w:val="0"/>
              <w:numId w:val="3"/>
            </w:numPr>
            <w:rPr>
              <w:kern w:val="2"/>
              <w:sz w:val="21"/>
              <w:szCs w:val="24"/>
              <w:lang w:val="en-US" w:eastAsia="zh-CN"/>
            </w:rPr>
          </w:pPr>
          <w:r>
            <w:rPr>
              <w:rFonts w:ascii="宋体" w:hAnsi="宋体" w:cs="宋体"/>
              <w:b/>
              <w:lang w:val="en-US" w:eastAsia="zh-CN"/>
            </w:rPr>
            <w:t>省市分公司岗位管理流程</w:t>
          </w:r>
          <w:r>
            <w:rPr>
              <w:lang w:val="en-US" w:eastAsia="zh-CN"/>
            </w:rPr>
            <w:tab/>
          </w:r>
          <w:hyperlink w:anchor="__RefHeading___Toc142984673">
            <w:r>
              <w:rPr>
                <w:rStyle w:val="IndexLink"/>
                <w:lang w:val="en-US" w:eastAsia="zh-CN"/>
              </w:rPr>
              <w:t>12</w:t>
            </w:r>
          </w:hyperlink>
        </w:p>
        <w:p>
          <w:pPr>
            <w:pStyle w:val="Contents2"/>
            <w:numPr>
              <w:ilvl w:val="0"/>
              <w:numId w:val="4"/>
            </w:numPr>
            <w:ind w:start="720" w:hanging="0"/>
            <w:rPr>
              <w:kern w:val="2"/>
              <w:sz w:val="21"/>
              <w:szCs w:val="24"/>
              <w:lang w:val="en-US" w:eastAsia="zh-CN"/>
            </w:rPr>
          </w:pPr>
          <w:r>
            <w:rPr>
              <w:rFonts w:cs="宋体" w:ascii="宋体" w:hAnsi="宋体"/>
              <w:b/>
              <w:lang w:val="en-US" w:eastAsia="zh-CN"/>
            </w:rPr>
            <w:t>4</w:t>
          </w:r>
          <w:r>
            <w:rPr>
              <w:rFonts w:ascii="宋体" w:hAnsi="宋体" w:cs="宋体"/>
              <w:b/>
              <w:lang w:val="en-US" w:eastAsia="zh-CN"/>
            </w:rPr>
            <w:t>．</w:t>
          </w:r>
          <w:r>
            <w:rPr>
              <w:rFonts w:cs="宋体" w:ascii="宋体" w:hAnsi="宋体"/>
              <w:b/>
              <w:lang w:val="en-US" w:eastAsia="zh-CN"/>
            </w:rPr>
            <w:t xml:space="preserve">1 </w:t>
          </w:r>
          <w:r>
            <w:rPr>
              <w:rFonts w:ascii="宋体" w:hAnsi="宋体" w:cs="宋体"/>
              <w:b/>
              <w:lang w:val="en-US" w:eastAsia="zh-CN"/>
            </w:rPr>
            <w:t>省市分公司岗位管理流程</w:t>
          </w:r>
          <w:r>
            <w:rPr>
              <w:rFonts w:cs="宋体" w:ascii="宋体" w:hAnsi="宋体"/>
              <w:b/>
              <w:lang w:val="en-US" w:eastAsia="zh-CN"/>
            </w:rPr>
            <w:t>:</w:t>
          </w:r>
          <w:r>
            <w:rPr>
              <w:lang w:val="en-US" w:eastAsia="zh-CN"/>
            </w:rPr>
            <w:tab/>
          </w:r>
          <w:hyperlink w:anchor="__RefHeading___Toc142984674">
            <w:r>
              <w:rPr>
                <w:rStyle w:val="IndexLink"/>
                <w:lang w:val="en-US" w:eastAsia="zh-CN"/>
              </w:rPr>
              <w:t>12</w:t>
            </w:r>
          </w:hyperlink>
        </w:p>
        <w:p>
          <w:pPr>
            <w:pStyle w:val="Contents2"/>
            <w:numPr>
              <w:ilvl w:val="0"/>
              <w:numId w:val="4"/>
            </w:numPr>
            <w:ind w:start="720" w:hanging="0"/>
            <w:rPr>
              <w:kern w:val="2"/>
              <w:sz w:val="21"/>
              <w:szCs w:val="24"/>
              <w:lang w:val="en-US" w:eastAsia="zh-CN"/>
            </w:rPr>
          </w:pPr>
          <w:r>
            <w:rPr>
              <w:rFonts w:cs="宋体" w:ascii="宋体" w:hAnsi="宋体"/>
              <w:b/>
              <w:lang w:val="en-US" w:eastAsia="zh-CN"/>
            </w:rPr>
            <w:t>4</w:t>
          </w:r>
          <w:r>
            <w:rPr>
              <w:rFonts w:ascii="宋体" w:hAnsi="宋体" w:cs="宋体"/>
              <w:b/>
              <w:lang w:val="en-US" w:eastAsia="zh-CN"/>
            </w:rPr>
            <w:t>．</w:t>
          </w:r>
          <w:r>
            <w:rPr>
              <w:rFonts w:cs="宋体" w:ascii="宋体" w:hAnsi="宋体"/>
              <w:b/>
              <w:lang w:val="en-US" w:eastAsia="zh-CN"/>
            </w:rPr>
            <w:t xml:space="preserve">2 </w:t>
          </w:r>
          <w:r>
            <w:rPr>
              <w:rFonts w:ascii="宋体" w:hAnsi="宋体" w:cs="宋体"/>
              <w:b/>
              <w:lang w:val="en-US" w:eastAsia="zh-CN"/>
            </w:rPr>
            <w:t>省市分公司岗位管理流程步骤说明</w:t>
          </w:r>
          <w:r>
            <w:rPr>
              <w:lang w:val="en-US" w:eastAsia="zh-CN"/>
            </w:rPr>
            <w:tab/>
          </w:r>
          <w:hyperlink w:anchor="__RefHeading___Toc142984675">
            <w:r>
              <w:rPr>
                <w:rStyle w:val="IndexLink"/>
                <w:lang w:val="en-US" w:eastAsia="zh-CN"/>
              </w:rPr>
              <w:t>13</w:t>
            </w:r>
          </w:hyperlink>
        </w:p>
        <w:p>
          <w:pPr>
            <w:pStyle w:val="Contents1"/>
            <w:numPr>
              <w:ilvl w:val="0"/>
              <w:numId w:val="3"/>
            </w:numPr>
            <w:rPr>
              <w:kern w:val="2"/>
              <w:sz w:val="21"/>
              <w:szCs w:val="24"/>
              <w:lang w:val="en-US" w:eastAsia="zh-CN"/>
            </w:rPr>
          </w:pPr>
          <w:r>
            <w:rPr>
              <w:rFonts w:ascii="宋体" w:hAnsi="宋体" w:cs="宋体"/>
              <w:b/>
              <w:lang w:val="en-US" w:eastAsia="zh-CN"/>
            </w:rPr>
            <w:t>基准岗位体系的管理与维护</w:t>
          </w:r>
          <w:r>
            <w:rPr>
              <w:lang w:val="en-US" w:eastAsia="zh-CN"/>
            </w:rPr>
            <w:tab/>
          </w:r>
          <w:hyperlink w:anchor="__RefHeading___Toc142984676">
            <w:r>
              <w:rPr>
                <w:rStyle w:val="IndexLink"/>
                <w:lang w:val="en-US" w:eastAsia="zh-CN"/>
              </w:rPr>
              <w:t>16</w:t>
            </w:r>
          </w:hyperlink>
        </w:p>
        <w:p>
          <w:pPr>
            <w:pStyle w:val="Contents2"/>
            <w:numPr>
              <w:ilvl w:val="0"/>
              <w:numId w:val="4"/>
            </w:numPr>
            <w:ind w:start="720" w:hanging="0"/>
            <w:rPr>
              <w:kern w:val="2"/>
              <w:sz w:val="21"/>
              <w:szCs w:val="24"/>
              <w:lang w:val="en-US" w:eastAsia="zh-CN"/>
            </w:rPr>
          </w:pPr>
          <w:r>
            <w:rPr>
              <w:rFonts w:cs="宋体" w:ascii="宋体" w:hAnsi="宋体"/>
              <w:b/>
              <w:lang w:val="en-US" w:eastAsia="zh-CN"/>
            </w:rPr>
            <w:t>5</w:t>
          </w:r>
          <w:r>
            <w:rPr>
              <w:rFonts w:ascii="宋体" w:hAnsi="宋体" w:cs="宋体"/>
              <w:b/>
              <w:lang w:val="en-US" w:eastAsia="zh-CN"/>
            </w:rPr>
            <w:t>．</w:t>
          </w:r>
          <w:r>
            <w:rPr>
              <w:rFonts w:cs="宋体" w:ascii="宋体" w:hAnsi="宋体"/>
              <w:b/>
              <w:lang w:val="en-US" w:eastAsia="zh-CN"/>
            </w:rPr>
            <w:t xml:space="preserve">1 </w:t>
          </w:r>
          <w:r>
            <w:rPr>
              <w:rFonts w:ascii="宋体" w:hAnsi="宋体" w:cs="宋体"/>
              <w:b/>
              <w:lang w:val="en-US" w:eastAsia="zh-CN"/>
            </w:rPr>
            <w:t>基准岗位体系定期管理与维护的流程</w:t>
          </w:r>
          <w:r>
            <w:rPr>
              <w:lang w:val="en-US" w:eastAsia="zh-CN"/>
            </w:rPr>
            <w:tab/>
          </w:r>
          <w:hyperlink w:anchor="__RefHeading___Toc142984677">
            <w:r>
              <w:rPr>
                <w:rStyle w:val="IndexLink"/>
                <w:lang w:val="en-US" w:eastAsia="zh-CN"/>
              </w:rPr>
              <w:t>16</w:t>
            </w:r>
          </w:hyperlink>
        </w:p>
        <w:p>
          <w:pPr>
            <w:pStyle w:val="Contents2"/>
            <w:numPr>
              <w:ilvl w:val="0"/>
              <w:numId w:val="4"/>
            </w:numPr>
            <w:ind w:start="720" w:hanging="0"/>
            <w:rPr>
              <w:kern w:val="2"/>
              <w:sz w:val="21"/>
              <w:szCs w:val="24"/>
              <w:lang w:val="en-US" w:eastAsia="zh-CN"/>
            </w:rPr>
          </w:pPr>
          <w:r>
            <w:rPr>
              <w:rFonts w:cs="宋体" w:ascii="宋体" w:hAnsi="宋体"/>
              <w:b/>
              <w:lang w:val="en-US" w:eastAsia="zh-CN"/>
            </w:rPr>
            <w:t>5</w:t>
          </w:r>
          <w:r>
            <w:rPr>
              <w:rFonts w:ascii="宋体" w:hAnsi="宋体" w:cs="宋体"/>
              <w:b/>
              <w:lang w:val="en-US" w:eastAsia="zh-CN"/>
            </w:rPr>
            <w:t>．</w:t>
          </w:r>
          <w:r>
            <w:rPr>
              <w:rFonts w:cs="宋体" w:ascii="宋体" w:hAnsi="宋体"/>
              <w:b/>
              <w:lang w:val="en-US" w:eastAsia="zh-CN"/>
            </w:rPr>
            <w:t xml:space="preserve">2 </w:t>
          </w:r>
          <w:r>
            <w:rPr>
              <w:rFonts w:ascii="宋体" w:hAnsi="宋体" w:cs="宋体"/>
              <w:b/>
              <w:lang w:val="en-US" w:eastAsia="zh-CN"/>
            </w:rPr>
            <w:t>基准岗位体系定期管理与维护的流程步骤说明</w:t>
          </w:r>
          <w:r>
            <w:rPr>
              <w:lang w:val="en-US" w:eastAsia="zh-CN"/>
            </w:rPr>
            <w:tab/>
          </w:r>
          <w:hyperlink w:anchor="__RefHeading___Toc142984678">
            <w:r>
              <w:rPr>
                <w:rStyle w:val="IndexLink"/>
                <w:lang w:val="en-US" w:eastAsia="zh-CN"/>
              </w:rPr>
              <w:t>17</w:t>
            </w:r>
          </w:hyperlink>
        </w:p>
        <w:p>
          <w:pPr>
            <w:pStyle w:val="Contents2"/>
            <w:numPr>
              <w:ilvl w:val="0"/>
              <w:numId w:val="4"/>
            </w:numPr>
            <w:ind w:start="720" w:hanging="0"/>
            <w:rPr>
              <w:kern w:val="2"/>
              <w:sz w:val="21"/>
              <w:szCs w:val="24"/>
              <w:lang w:val="en-US" w:eastAsia="zh-CN"/>
            </w:rPr>
          </w:pPr>
          <w:r>
            <w:rPr>
              <w:rFonts w:cs="宋体" w:ascii="宋体" w:hAnsi="宋体"/>
              <w:b/>
              <w:lang w:val="en-US" w:eastAsia="zh-CN"/>
            </w:rPr>
            <w:t>5</w:t>
          </w:r>
          <w:r>
            <w:rPr>
              <w:rFonts w:ascii="宋体" w:hAnsi="宋体" w:cs="宋体"/>
              <w:b/>
              <w:lang w:val="en-US" w:eastAsia="zh-CN"/>
            </w:rPr>
            <w:t>．</w:t>
          </w:r>
          <w:r>
            <w:rPr>
              <w:rFonts w:cs="宋体" w:ascii="宋体" w:hAnsi="宋体"/>
              <w:b/>
              <w:lang w:val="en-US" w:eastAsia="zh-CN"/>
            </w:rPr>
            <w:t xml:space="preserve">3 </w:t>
          </w:r>
          <w:r>
            <w:rPr>
              <w:rFonts w:ascii="宋体" w:hAnsi="宋体" w:cs="宋体"/>
              <w:b/>
              <w:lang w:val="en-US" w:eastAsia="zh-CN"/>
            </w:rPr>
            <w:t>基准岗位体系择机管理与维护的流程</w:t>
          </w:r>
          <w:r>
            <w:rPr>
              <w:lang w:val="en-US" w:eastAsia="zh-CN"/>
            </w:rPr>
            <w:tab/>
          </w:r>
          <w:hyperlink w:anchor="__RefHeading___Toc142984679">
            <w:r>
              <w:rPr>
                <w:rStyle w:val="IndexLink"/>
                <w:lang w:val="en-US" w:eastAsia="zh-CN"/>
              </w:rPr>
              <w:t>19</w:t>
            </w:r>
          </w:hyperlink>
        </w:p>
        <w:p>
          <w:pPr>
            <w:pStyle w:val="Contents2"/>
            <w:numPr>
              <w:ilvl w:val="0"/>
              <w:numId w:val="4"/>
            </w:numPr>
            <w:ind w:start="720" w:hanging="0"/>
            <w:rPr>
              <w:kern w:val="2"/>
              <w:sz w:val="21"/>
              <w:szCs w:val="24"/>
              <w:lang w:val="en-US" w:eastAsia="zh-CN"/>
            </w:rPr>
          </w:pPr>
          <w:r>
            <w:rPr>
              <w:rFonts w:cs="宋体" w:ascii="宋体" w:hAnsi="宋体"/>
              <w:b/>
              <w:lang w:val="en-US" w:eastAsia="zh-CN"/>
            </w:rPr>
            <w:t>5</w:t>
          </w:r>
          <w:r>
            <w:rPr>
              <w:rFonts w:ascii="宋体" w:hAnsi="宋体" w:cs="宋体"/>
              <w:b/>
              <w:lang w:val="en-US" w:eastAsia="zh-CN"/>
            </w:rPr>
            <w:t>．</w:t>
          </w:r>
          <w:r>
            <w:rPr>
              <w:rFonts w:cs="宋体" w:ascii="宋体" w:hAnsi="宋体"/>
              <w:b/>
              <w:lang w:val="en-US" w:eastAsia="zh-CN"/>
            </w:rPr>
            <w:t xml:space="preserve">4 </w:t>
          </w:r>
          <w:r>
            <w:rPr>
              <w:rFonts w:ascii="宋体" w:hAnsi="宋体" w:cs="宋体"/>
              <w:b/>
              <w:lang w:val="en-US" w:eastAsia="zh-CN"/>
            </w:rPr>
            <w:t>基准岗位体系择机管理与维护的流程步骤说明</w:t>
          </w:r>
          <w:r>
            <w:rPr>
              <w:lang w:val="en-US" w:eastAsia="zh-CN"/>
            </w:rPr>
            <w:tab/>
          </w:r>
          <w:hyperlink w:anchor="__RefHeading___Toc142984680">
            <w:r>
              <w:rPr>
                <w:rStyle w:val="IndexLink"/>
                <w:lang w:val="en-US" w:eastAsia="zh-CN"/>
              </w:rPr>
              <w:t>19</w:t>
            </w:r>
          </w:hyperlink>
          <w:r>
            <w:rPr>
              <w:rStyle w:val="IndexLink"/>
              <w:lang w:val="en-US" w:eastAsia="zh-CN"/>
            </w:rPr>
            <w:fldChar w:fldCharType="end"/>
          </w:r>
        </w:p>
      </w:sdtContent>
    </w:sdt>
    <w:p>
      <w:pPr>
        <w:sectPr>
          <w:headerReference w:type="default" r:id="rId2"/>
          <w:footerReference w:type="default" r:id="rId3"/>
          <w:type w:val="nextPage"/>
          <w:pgSz w:w="11906" w:h="16838"/>
          <w:pgMar w:left="1440" w:right="1440" w:header="547" w:top="2520" w:footer="432" w:bottom="2794" w:gutter="0"/>
          <w:pgNumType w:start="1" w:fmt="decimal"/>
          <w:formProt w:val="false"/>
          <w:textDirection w:val="lrTb"/>
          <w:docGrid w:type="default" w:linePitch="360" w:charSpace="0"/>
        </w:sectPr>
        <w:pStyle w:val="Normal"/>
        <w:rPr>
          <w:rFonts w:ascii="宋体" w:hAnsi="宋体" w:cs="宋体"/>
          <w:kern w:val="2"/>
          <w:sz w:val="21"/>
          <w:szCs w:val="24"/>
          <w:lang w:val="en-US" w:eastAsia="zh-CN"/>
        </w:rPr>
      </w:pPr>
      <w:r>
        <w:rPr>
          <w:rFonts w:cs="宋体" w:ascii="SimHei" w:hAnsi="SimHei" w:eastAsia="黑体"/>
          <w:kern w:val="2"/>
          <w:sz w:val="21"/>
          <w:szCs w:val="24"/>
          <w:lang w:val="en-US" w:eastAsia="zh-CN"/>
        </w:rPr>
      </w:r>
    </w:p>
    <w:p>
      <w:pPr>
        <w:pStyle w:val="SectionStart"/>
        <w:numPr>
          <w:ilvl w:val="0"/>
          <w:numId w:val="9"/>
        </w:numPr>
        <w:shd w:fill="CCCCCC" w:val="clear"/>
        <w:tabs>
          <w:tab w:val="left" w:pos="360" w:leader="none"/>
          <w:tab w:val="left" w:pos="1800" w:leader="none"/>
        </w:tabs>
        <w:ind w:start="360" w:end="6867" w:hanging="360"/>
        <w:rPr>
          <w:rFonts w:ascii="宋体" w:hAnsi="宋体" w:cs="宋体"/>
          <w:lang w:val="en-US" w:eastAsia="zh-CN"/>
        </w:rPr>
      </w:pPr>
      <w:r>
        <w:rPr>
          <w:rFonts w:cs="宋体" w:ascii="SimHei" w:hAnsi="SimHei" w:eastAsia="黑体"/>
          <w:lang w:val="en-US" w:eastAsia="zh-CN"/>
        </w:rPr>
      </w:r>
    </w:p>
    <w:p>
      <w:pPr>
        <w:pStyle w:val="Heading1"/>
        <w:numPr>
          <w:ilvl w:val="0"/>
          <w:numId w:val="0"/>
        </w:numPr>
        <w:ind w:start="0" w:hanging="0"/>
        <w:rPr>
          <w:b/>
          <w:b/>
          <w:lang w:eastAsia="zh-CN"/>
        </w:rPr>
      </w:pPr>
      <w:bookmarkStart w:id="5" w:name="__RefHeading___Toc142984670"/>
      <w:bookmarkEnd w:id="5"/>
      <w:r>
        <w:rPr>
          <w:rFonts w:ascii="SimHei" w:hAnsi="SimHei" w:eastAsia="黑体"/>
          <w:b/>
          <w:lang w:eastAsia="zh-CN"/>
        </w:rPr>
        <w:t>总述</w:t>
      </w:r>
    </w:p>
    <w:p>
      <w:pPr>
        <w:pStyle w:val="Normal"/>
        <w:jc w:val="both"/>
        <w:rPr>
          <w:rFonts w:ascii="宋体" w:hAnsi="宋体" w:cs="宋体"/>
          <w:b/>
          <w:b/>
          <w:szCs w:val="24"/>
          <w:lang w:eastAsia="zh-CN"/>
        </w:rPr>
      </w:pPr>
      <w:r>
        <w:rPr>
          <w:rFonts w:cs="宋体" w:ascii="SimHei" w:hAnsi="SimHei" w:eastAsia="黑体"/>
          <w:b/>
          <w:szCs w:val="24"/>
          <w:lang w:eastAsia="zh-CN"/>
        </w:rPr>
        <w:t>1</w:t>
      </w:r>
      <w:r>
        <w:rPr>
          <w:rFonts w:ascii="SimHei" w:hAnsi="SimHei" w:cs="宋体" w:eastAsia="黑体"/>
          <w:b/>
          <w:szCs w:val="24"/>
          <w:lang w:eastAsia="zh-CN"/>
        </w:rPr>
        <w:t>．建立岗位体系的目的和意义</w:t>
      </w:r>
    </w:p>
    <w:p>
      <w:pPr>
        <w:pStyle w:val="NormalIndent1"/>
        <w:ind w:start="0" w:firstLine="360"/>
        <w:rPr>
          <w:bCs/>
          <w:lang w:val="en-US" w:eastAsia="zh-CN"/>
        </w:rPr>
      </w:pPr>
      <w:r>
        <w:rPr>
          <w:rFonts w:ascii="SimHei" w:hAnsi="SimHei" w:eastAsia="黑体"/>
          <w:bCs/>
          <w:lang w:val="en-US" w:eastAsia="zh-CN"/>
        </w:rPr>
        <w:t>构建网通岗位体系，是以实现管理体系统一、人岗匹配、和人员双轨制发展为目标的，其含义包括：</w:t>
      </w:r>
    </w:p>
    <w:p>
      <w:pPr>
        <w:pStyle w:val="Normal"/>
        <w:numPr>
          <w:ilvl w:val="0"/>
          <w:numId w:val="5"/>
        </w:numPr>
        <w:rPr>
          <w:lang w:eastAsia="zh-CN"/>
        </w:rPr>
      </w:pPr>
      <w:r>
        <w:rPr>
          <w:rFonts w:ascii="SimHei" w:hAnsi="SimHei" w:eastAsia="黑体"/>
          <w:lang w:eastAsia="zh-CN"/>
        </w:rPr>
        <w:t>科学合理地规范和设置岗位；</w:t>
      </w:r>
    </w:p>
    <w:p>
      <w:pPr>
        <w:pStyle w:val="Normal"/>
        <w:numPr>
          <w:ilvl w:val="0"/>
          <w:numId w:val="5"/>
        </w:numPr>
        <w:rPr>
          <w:lang w:eastAsia="zh-CN"/>
        </w:rPr>
      </w:pPr>
      <w:r>
        <w:rPr>
          <w:rFonts w:ascii="SimHei" w:hAnsi="SimHei" w:eastAsia="黑体"/>
          <w:lang w:eastAsia="zh-CN"/>
        </w:rPr>
        <w:t>某集团统一的、具有内部公平性和外部竞争力的职级体系，某集团和各级分公司实现</w:t>
      </w:r>
      <w:r>
        <w:rPr>
          <w:rFonts w:ascii="SimHei" w:hAnsi="SimHei" w:eastAsia="黑体"/>
          <w:lang w:eastAsia="zh-CN"/>
        </w:rPr>
        <w:t>“</w:t>
      </w:r>
      <w:r>
        <w:rPr>
          <w:rFonts w:ascii="SimHei" w:hAnsi="SimHei" w:eastAsia="黑体"/>
          <w:lang w:eastAsia="zh-CN"/>
        </w:rPr>
        <w:t>以岗定级，以岗定薪；岗变级变，级变薪变</w:t>
      </w:r>
      <w:r>
        <w:rPr>
          <w:rFonts w:ascii="SimHei" w:hAnsi="SimHei" w:eastAsia="黑体"/>
          <w:lang w:eastAsia="zh-CN"/>
        </w:rPr>
        <w:t>”</w:t>
      </w:r>
      <w:r>
        <w:rPr>
          <w:rFonts w:ascii="SimHei" w:hAnsi="SimHei" w:eastAsia="黑体"/>
          <w:lang w:eastAsia="zh-CN"/>
        </w:rPr>
        <w:t>的管理模式；</w:t>
      </w:r>
    </w:p>
    <w:p>
      <w:pPr>
        <w:pStyle w:val="Normal"/>
        <w:numPr>
          <w:ilvl w:val="0"/>
          <w:numId w:val="5"/>
        </w:numPr>
        <w:rPr>
          <w:lang w:eastAsia="zh-CN"/>
        </w:rPr>
      </w:pPr>
      <w:r>
        <w:rPr>
          <w:rFonts w:ascii="SimHei" w:hAnsi="SimHei" w:eastAsia="黑体"/>
          <w:lang w:eastAsia="zh-CN"/>
        </w:rPr>
        <w:t>某集团建立分类分层的岗位序列，为员工提供双轨制晋升体系。</w:t>
      </w:r>
    </w:p>
    <w:p>
      <w:pPr>
        <w:pStyle w:val="NormalIndent1"/>
        <w:ind w:start="0" w:firstLine="360"/>
        <w:rPr>
          <w:bCs/>
          <w:lang w:val="en-US" w:eastAsia="zh-CN"/>
        </w:rPr>
      </w:pPr>
      <w:r>
        <w:rPr>
          <w:rFonts w:ascii="SimHei" w:hAnsi="SimHei" w:eastAsia="黑体"/>
          <w:bCs/>
          <w:lang w:val="en-US" w:eastAsia="zh-CN"/>
        </w:rPr>
        <w:t>某集团建立统一的岗位体系，其意义在于以下几个方面：</w:t>
      </w:r>
    </w:p>
    <w:p>
      <w:pPr>
        <w:pStyle w:val="Style12"/>
        <w:numPr>
          <w:ilvl w:val="5"/>
          <w:numId w:val="7"/>
        </w:numPr>
        <w:tabs>
          <w:tab w:val="left" w:pos="360" w:leader="none"/>
          <w:tab w:val="left" w:pos="720" w:leader="none"/>
        </w:tabs>
        <w:rPr>
          <w:lang w:eastAsia="zh-CN"/>
        </w:rPr>
      </w:pPr>
      <w:r>
        <w:rPr>
          <w:rFonts w:ascii="SimHei" w:hAnsi="SimHei" w:eastAsia="黑体"/>
          <w:lang w:eastAsia="zh-CN"/>
        </w:rPr>
        <w:t>某集团以岗位管理为基础的岗位体系，为集团各项人力资源管理政策的统一奠定基础</w:t>
      </w:r>
    </w:p>
    <w:p>
      <w:pPr>
        <w:pStyle w:val="Style12"/>
        <w:numPr>
          <w:ilvl w:val="5"/>
          <w:numId w:val="7"/>
        </w:numPr>
        <w:tabs>
          <w:tab w:val="left" w:pos="360" w:leader="none"/>
          <w:tab w:val="left" w:pos="720" w:leader="none"/>
        </w:tabs>
        <w:rPr>
          <w:lang w:eastAsia="zh-CN"/>
        </w:rPr>
      </w:pPr>
      <w:r>
        <w:rPr>
          <w:rFonts w:ascii="SimHei" w:hAnsi="SimHei" w:eastAsia="黑体"/>
          <w:lang w:eastAsia="zh-CN"/>
        </w:rPr>
        <w:t>健全的岗位管理体系，有利于改变单一的行政管理职务晋升方式，建立多轨制晋升阶梯，为员工职业生涯提供更广阔的发展空间</w:t>
      </w:r>
    </w:p>
    <w:p>
      <w:pPr>
        <w:pStyle w:val="Style12"/>
        <w:numPr>
          <w:ilvl w:val="5"/>
          <w:numId w:val="7"/>
        </w:numPr>
        <w:tabs>
          <w:tab w:val="left" w:pos="360" w:leader="none"/>
          <w:tab w:val="left" w:pos="720" w:leader="none"/>
        </w:tabs>
        <w:rPr>
          <w:lang w:eastAsia="zh-CN"/>
        </w:rPr>
      </w:pPr>
      <w:r>
        <w:rPr>
          <w:rFonts w:ascii="SimHei" w:hAnsi="SimHei" w:eastAsia="黑体"/>
          <w:lang w:eastAsia="zh-CN"/>
        </w:rPr>
        <w:t>某集团范围内建立能够反映岗位相对价值的岗位等级体系，将为建立统一、公平、与市场接轨的薪资体系奠定基础</w:t>
      </w:r>
    </w:p>
    <w:p>
      <w:pPr>
        <w:pStyle w:val="Style12"/>
        <w:numPr>
          <w:ilvl w:val="5"/>
          <w:numId w:val="7"/>
        </w:numPr>
        <w:tabs>
          <w:tab w:val="left" w:pos="360" w:leader="none"/>
          <w:tab w:val="left" w:pos="720" w:leader="none"/>
        </w:tabs>
        <w:rPr>
          <w:lang w:eastAsia="zh-CN"/>
        </w:rPr>
      </w:pPr>
      <w:r>
        <w:rPr>
          <w:rFonts w:ascii="SimHei" w:hAnsi="SimHei" w:eastAsia="黑体"/>
          <w:lang w:eastAsia="zh-CN"/>
        </w:rPr>
        <w:t>统一、规范、明晰的岗位管理体系，将解决人才横向流动时岗位等级、称谓将如何对应等问题，有助于建立合理机制加强员工流动、优化人才资源配</w:t>
      </w:r>
    </w:p>
    <w:p>
      <w:pPr>
        <w:pStyle w:val="Style12"/>
        <w:numPr>
          <w:ilvl w:val="5"/>
          <w:numId w:val="7"/>
        </w:numPr>
        <w:tabs>
          <w:tab w:val="left" w:pos="360" w:leader="none"/>
          <w:tab w:val="left" w:pos="720" w:leader="none"/>
        </w:tabs>
        <w:rPr>
          <w:lang w:eastAsia="zh-CN"/>
        </w:rPr>
      </w:pPr>
      <w:r>
        <w:rPr>
          <w:rFonts w:ascii="SimHei" w:hAnsi="SimHei" w:eastAsia="黑体"/>
          <w:lang w:eastAsia="zh-CN"/>
        </w:rPr>
        <w:t>明确的岗位设置、清晰的岗位职责和岗位能力要求，某集团以“</w:t>
      </w:r>
      <w:r>
        <w:rPr>
          <w:rFonts w:ascii="SimHei" w:hAnsi="SimHei" w:eastAsia="黑体"/>
          <w:lang w:eastAsia="zh-CN"/>
        </w:rPr>
        <w:t>KPI</w:t>
      </w:r>
      <w:r>
        <w:rPr>
          <w:rFonts w:cs="宋体" w:ascii="SimHei" w:hAnsi="SimHei" w:eastAsia="黑体"/>
          <w:lang w:eastAsia="zh-CN"/>
        </w:rPr>
        <w:t>”</w:t>
      </w:r>
      <w:r>
        <w:rPr>
          <w:rFonts w:ascii="SimHei" w:hAnsi="SimHei" w:eastAsia="黑体"/>
          <w:lang w:eastAsia="zh-CN"/>
        </w:rPr>
        <w:t>或“目标管理”为核心的业绩考核方案，以及系统的培训体系和培训方案</w:t>
      </w:r>
    </w:p>
    <w:p>
      <w:pPr>
        <w:pStyle w:val="Style12"/>
        <w:numPr>
          <w:ilvl w:val="5"/>
          <w:numId w:val="7"/>
        </w:numPr>
        <w:tabs>
          <w:tab w:val="left" w:pos="360" w:leader="none"/>
          <w:tab w:val="left" w:pos="720" w:leader="none"/>
        </w:tabs>
        <w:rPr>
          <w:lang w:eastAsia="zh-CN"/>
        </w:rPr>
      </w:pPr>
      <w:r>
        <w:rPr>
          <w:rFonts w:ascii="SimHei" w:hAnsi="SimHei" w:eastAsia="黑体"/>
          <w:lang w:eastAsia="zh-CN"/>
        </w:rPr>
        <w:t>岗位体系等级的统一、结构的规范、称谓的一致，将会使各级机构的信息统计具有规范性和可比性，某集团人力资源信息化建设</w:t>
      </w:r>
    </w:p>
    <w:p>
      <w:pPr>
        <w:pStyle w:val="Normal"/>
        <w:jc w:val="both"/>
        <w:rPr>
          <w:rFonts w:ascii="宋体" w:hAnsi="宋体" w:cs="宋体"/>
          <w:b/>
          <w:b/>
          <w:szCs w:val="24"/>
          <w:lang w:eastAsia="zh-CN"/>
        </w:rPr>
      </w:pPr>
      <w:r>
        <w:rPr>
          <w:rFonts w:cs="宋体" w:ascii="SimHei" w:hAnsi="SimHei" w:eastAsia="黑体"/>
          <w:b/>
          <w:szCs w:val="24"/>
          <w:lang w:eastAsia="zh-CN"/>
        </w:rPr>
        <w:t>2</w:t>
      </w:r>
      <w:r>
        <w:rPr>
          <w:rFonts w:ascii="SimHei" w:hAnsi="SimHei" w:cs="宋体" w:eastAsia="黑体"/>
          <w:b/>
          <w:szCs w:val="24"/>
          <w:lang w:eastAsia="zh-CN"/>
        </w:rPr>
        <w:t>．本制度的结构</w:t>
      </w:r>
    </w:p>
    <w:p>
      <w:pPr>
        <w:pStyle w:val="Normal"/>
        <w:ind w:firstLine="360"/>
        <w:rPr>
          <w:lang w:eastAsia="zh-CN"/>
        </w:rPr>
      </w:pPr>
      <w:r>
        <w:rPr>
          <w:rFonts w:ascii="SimHei" w:hAnsi="SimHei" w:eastAsia="黑体"/>
          <w:lang w:eastAsia="zh-CN"/>
        </w:rPr>
        <w:t>本制度将从以下三个方面说明岗位体系的管理流程、方法：</w:t>
      </w:r>
    </w:p>
    <w:p>
      <w:pPr>
        <w:pStyle w:val="Style12"/>
        <w:numPr>
          <w:ilvl w:val="6"/>
          <w:numId w:val="11"/>
        </w:numPr>
        <w:tabs>
          <w:tab w:val="left" w:pos="360" w:leader="none"/>
          <w:tab w:val="left" w:pos="720" w:leader="none"/>
        </w:tabs>
        <w:rPr>
          <w:color w:val="FF00FF"/>
          <w:lang w:eastAsia="zh-CN"/>
        </w:rPr>
      </w:pPr>
      <w:r>
        <w:rPr>
          <w:rFonts w:ascii="SimHei" w:hAnsi="SimHei" w:eastAsia="黑体"/>
          <w:lang w:eastAsia="zh-CN"/>
        </w:rPr>
        <w:t>本制度将首先澄清岗位管理体系中涉及到的若干概念，包括：岗位的定义和岗位设置的原则，岗位级别的含义，基准岗位、基准岗位职级、和基准岗位列表，某集团的岗位等级体系，以及岗位序列。</w:t>
      </w:r>
    </w:p>
    <w:p>
      <w:pPr>
        <w:pStyle w:val="Style12"/>
        <w:numPr>
          <w:ilvl w:val="6"/>
          <w:numId w:val="7"/>
        </w:numPr>
        <w:tabs>
          <w:tab w:val="left" w:pos="360" w:leader="none"/>
          <w:tab w:val="left" w:pos="720" w:leader="none"/>
        </w:tabs>
        <w:rPr>
          <w:lang w:eastAsia="zh-CN"/>
        </w:rPr>
      </w:pPr>
      <w:r>
        <w:rPr>
          <w:rFonts w:ascii="SimHei" w:hAnsi="SimHei" w:eastAsia="黑体"/>
          <w:lang w:eastAsia="zh-CN"/>
        </w:rPr>
        <w:t>省、市分公司对自身岗位的管理流程和操作步骤，其中包括了对新增设立的岗位和岗位职级的确定、当前岗位的变更管理和岗位级别的调整、以及现有岗位的取消等情景下的管理办法与流程；</w:t>
      </w:r>
    </w:p>
    <w:p>
      <w:pPr>
        <w:pStyle w:val="Style12"/>
        <w:numPr>
          <w:ilvl w:val="6"/>
          <w:numId w:val="7"/>
        </w:numPr>
        <w:tabs>
          <w:tab w:val="left" w:pos="360" w:leader="none"/>
          <w:tab w:val="left" w:pos="720" w:leader="none"/>
        </w:tabs>
        <w:rPr>
          <w:lang w:eastAsia="zh-CN"/>
        </w:rPr>
      </w:pPr>
      <w:r>
        <w:rPr>
          <w:rFonts w:ascii="SimHei" w:hAnsi="SimHei" w:eastAsia="黑体"/>
          <w:lang w:eastAsia="zh-CN"/>
        </w:rPr>
        <w:t>集团对基准岗位体系</w:t>
      </w:r>
      <w:r>
        <w:rPr>
          <w:rFonts w:ascii="SimHei" w:hAnsi="SimHei" w:eastAsia="黑体"/>
          <w:lang w:eastAsia="zh-CN"/>
        </w:rPr>
        <w:t>—</w:t>
      </w:r>
      <w:r>
        <w:rPr>
          <w:rFonts w:ascii="SimHei" w:hAnsi="SimHei" w:eastAsia="黑体"/>
          <w:lang w:eastAsia="zh-CN"/>
        </w:rPr>
        <w:t>集团统一管理岗位的模版，的维护，涵盖了定期对基准岗位体系进行的审视、修整、和维护，以及伴随公司业务发展变化等情况的发生而导致的对基准岗位体系进行的择机性的调整与维护。</w:t>
      </w:r>
    </w:p>
    <w:p>
      <w:pPr>
        <w:pStyle w:val="Normal"/>
        <w:ind w:firstLine="360"/>
        <w:rPr>
          <w:lang w:eastAsia="zh-CN"/>
        </w:rPr>
      </w:pPr>
      <w:r>
        <w:rPr>
          <w:rFonts w:ascii="SimHei" w:hAnsi="SimHei" w:eastAsia="黑体"/>
          <w:lang w:eastAsia="zh-CN"/>
        </w:rPr>
        <w:t>某集团及其下属各级机构。</w:t>
      </w:r>
    </w:p>
    <w:p>
      <w:pPr>
        <w:pStyle w:val="Normal"/>
        <w:jc w:val="both"/>
        <w:rPr>
          <w:rFonts w:ascii="宋体" w:hAnsi="宋体" w:cs="宋体"/>
          <w:szCs w:val="24"/>
          <w:lang w:eastAsia="zh-CN"/>
        </w:rPr>
      </w:pPr>
      <w:r>
        <w:rPr>
          <w:rFonts w:cs="宋体" w:ascii="SimHei" w:hAnsi="SimHei" w:eastAsia="黑体"/>
          <w:szCs w:val="24"/>
          <w:lang w:eastAsia="zh-CN"/>
        </w:rPr>
        <w:t xml:space="preserve">   </w:t>
      </w:r>
    </w:p>
    <w:p>
      <w:pPr>
        <w:pStyle w:val="Normal"/>
        <w:jc w:val="both"/>
        <w:rPr>
          <w:rFonts w:ascii="宋体" w:hAnsi="宋体" w:cs="宋体"/>
          <w:szCs w:val="24"/>
          <w:lang w:eastAsia="zh-CN"/>
        </w:rPr>
      </w:pPr>
      <w:r>
        <w:rPr>
          <w:rFonts w:cs="宋体" w:ascii="SimHei" w:hAnsi="SimHei" w:eastAsia="黑体"/>
          <w:szCs w:val="24"/>
          <w:lang w:eastAsia="zh-CN"/>
        </w:rPr>
      </w:r>
    </w:p>
    <w:p>
      <w:pPr>
        <w:pStyle w:val="SectionStart"/>
        <w:numPr>
          <w:ilvl w:val="0"/>
          <w:numId w:val="9"/>
        </w:numPr>
        <w:shd w:fill="CCCCCC" w:val="clear"/>
        <w:tabs>
          <w:tab w:val="left" w:pos="360" w:leader="none"/>
          <w:tab w:val="left" w:pos="644" w:leader="none"/>
        </w:tabs>
        <w:ind w:start="644" w:end="6840" w:hanging="360"/>
        <w:rPr>
          <w:rFonts w:ascii="宋体" w:hAnsi="宋体" w:cs="宋体"/>
          <w:szCs w:val="24"/>
          <w:lang w:val="en-US" w:eastAsia="zh-CN"/>
        </w:rPr>
      </w:pPr>
      <w:r>
        <w:rPr>
          <w:rFonts w:cs="宋体" w:ascii="SimHei" w:hAnsi="SimHei" w:eastAsia="黑体"/>
          <w:szCs w:val="24"/>
          <w:lang w:val="en-US" w:eastAsia="zh-CN"/>
        </w:rPr>
      </w:r>
    </w:p>
    <w:p>
      <w:pPr>
        <w:pStyle w:val="Heading1"/>
        <w:numPr>
          <w:ilvl w:val="0"/>
          <w:numId w:val="0"/>
        </w:numPr>
        <w:ind w:start="0" w:hanging="0"/>
        <w:rPr>
          <w:rFonts w:ascii="宋体" w:hAnsi="宋体" w:cs="宋体"/>
          <w:b/>
          <w:b/>
          <w:lang w:eastAsia="zh-CN"/>
        </w:rPr>
      </w:pPr>
      <w:bookmarkStart w:id="6" w:name="__RefHeading___Toc142984671"/>
      <w:bookmarkEnd w:id="6"/>
      <w:r>
        <w:rPr>
          <w:rFonts w:ascii="SimHei" w:hAnsi="SimHei" w:cs="宋体" w:eastAsia="黑体"/>
          <w:b/>
          <w:lang w:eastAsia="zh-CN"/>
        </w:rPr>
        <w:t>岗位体系中相关概念的澄清</w:t>
      </w:r>
    </w:p>
    <w:p>
      <w:pPr>
        <w:pStyle w:val="Normal"/>
        <w:jc w:val="both"/>
        <w:rPr>
          <w:rFonts w:ascii="宋体" w:hAnsi="宋体" w:cs="宋体"/>
          <w:b/>
          <w:b/>
          <w:szCs w:val="24"/>
          <w:lang w:eastAsia="zh-CN"/>
        </w:rPr>
      </w:pPr>
      <w:r>
        <w:rPr>
          <w:rFonts w:cs="宋体" w:ascii="SimHei" w:hAnsi="SimHei" w:eastAsia="黑体"/>
          <w:b/>
          <w:szCs w:val="24"/>
          <w:lang w:eastAsia="zh-CN"/>
        </w:rPr>
        <w:t xml:space="preserve">1. </w:t>
      </w:r>
      <w:r>
        <w:rPr>
          <w:rFonts w:ascii="SimHei" w:hAnsi="SimHei" w:cs="宋体" w:eastAsia="黑体"/>
          <w:b/>
          <w:szCs w:val="24"/>
          <w:lang w:eastAsia="zh-CN"/>
        </w:rPr>
        <w:t xml:space="preserve">岗位    </w:t>
      </w:r>
    </w:p>
    <w:p>
      <w:pPr>
        <w:pStyle w:val="Normal"/>
        <w:ind w:firstLine="480"/>
        <w:jc w:val="both"/>
        <w:rPr>
          <w:rFonts w:ascii="宋体" w:hAnsi="宋体" w:cs="宋体"/>
          <w:lang w:eastAsia="zh-CN"/>
        </w:rPr>
      </w:pPr>
      <w:r>
        <w:rPr>
          <w:rFonts w:ascii="SimHei" w:hAnsi="SimHei" w:cs="宋体" w:eastAsia="黑体"/>
          <w:szCs w:val="24"/>
          <w:lang w:eastAsia="zh-CN"/>
        </w:rPr>
        <w:t>岗位是一组功能相近，复杂程度相近的具有明确目标产出的职责的组合，是组织中的最小功能单元，具有合理的工作饱满度。</w:t>
      </w:r>
      <w:r>
        <w:rPr>
          <w:rFonts w:ascii="SimHei" w:hAnsi="SimHei" w:cs="Times;Times New Roman" w:eastAsia="黑体"/>
          <w:sz w:val="23"/>
          <w:szCs w:val="23"/>
          <w:lang w:eastAsia="zh-CN"/>
        </w:rPr>
        <w:t>伴随着工作流程的改变，职能的重组而变化。</w:t>
      </w:r>
      <w:r>
        <w:rPr>
          <w:rFonts w:ascii="SimHei" w:hAnsi="SimHei" w:cs="宋体" w:eastAsia="黑体"/>
          <w:lang w:eastAsia="zh-CN"/>
        </w:rPr>
        <w:t>岗位是进行工作分工、考核激励、选拔晋升的基础。</w:t>
      </w:r>
    </w:p>
    <w:p>
      <w:pPr>
        <w:pStyle w:val="Normal"/>
        <w:ind w:firstLine="360"/>
        <w:jc w:val="both"/>
        <w:rPr>
          <w:rFonts w:ascii="宋体" w:hAnsi="宋体" w:cs="宋体"/>
          <w:szCs w:val="24"/>
          <w:lang w:eastAsia="zh-CN"/>
        </w:rPr>
      </w:pPr>
      <w:r>
        <w:rPr>
          <w:rFonts w:ascii="SimHei" w:hAnsi="SimHei" w:cs="宋体" w:eastAsia="黑体"/>
          <w:szCs w:val="24"/>
          <w:lang w:eastAsia="zh-CN"/>
        </w:rPr>
        <w:t>岗位设置和界定的目标是有效的平衡三个主要要素：专业集中、专业层次一致、工作量饱满。并同时遵循以下五个主要原则：</w:t>
      </w:r>
    </w:p>
    <w:p>
      <w:pPr>
        <w:pStyle w:val="Normal"/>
        <w:numPr>
          <w:ilvl w:val="0"/>
          <w:numId w:val="5"/>
        </w:numPr>
        <w:rPr>
          <w:lang w:eastAsia="zh-CN"/>
        </w:rPr>
      </w:pPr>
      <w:r>
        <w:rPr>
          <w:rFonts w:ascii="SimHei" w:hAnsi="SimHei" w:eastAsia="黑体"/>
          <w:lang w:eastAsia="zh-CN"/>
        </w:rPr>
        <w:t>因事设岗原则：按照企业各部门职责范围划定职位，而不应因人设岗；职位和人应是设置和配置的关系，而不能颠倒。</w:t>
      </w:r>
    </w:p>
    <w:p>
      <w:pPr>
        <w:pStyle w:val="Normal"/>
        <w:numPr>
          <w:ilvl w:val="0"/>
          <w:numId w:val="5"/>
        </w:numPr>
        <w:rPr>
          <w:lang w:eastAsia="zh-CN"/>
        </w:rPr>
      </w:pPr>
      <w:r>
        <w:rPr>
          <w:rFonts w:ascii="SimHei" w:hAnsi="SimHei" w:eastAsia="黑体"/>
          <w:lang w:eastAsia="zh-CN"/>
        </w:rPr>
        <w:t>规范化原则：岗位的设置在反映运营模式的基础上，保持岗位名称及职责界定的规范性和在机构内部的统一性。</w:t>
      </w:r>
    </w:p>
    <w:p>
      <w:pPr>
        <w:pStyle w:val="Normal"/>
        <w:numPr>
          <w:ilvl w:val="0"/>
          <w:numId w:val="5"/>
        </w:numPr>
        <w:rPr>
          <w:lang w:eastAsia="zh-CN"/>
        </w:rPr>
      </w:pPr>
      <w:r>
        <w:rPr>
          <w:rFonts w:ascii="SimHei" w:hAnsi="SimHei" w:eastAsia="黑体"/>
          <w:lang w:eastAsia="zh-CN"/>
        </w:rPr>
        <w:t>整分合原则：在企业组织整体规划下实现职位的明确分工，又在分工的基础上保证有效流程衔接性。</w:t>
      </w:r>
    </w:p>
    <w:p>
      <w:pPr>
        <w:pStyle w:val="Normal"/>
        <w:numPr>
          <w:ilvl w:val="0"/>
          <w:numId w:val="5"/>
        </w:numPr>
        <w:rPr>
          <w:lang w:eastAsia="zh-CN"/>
        </w:rPr>
      </w:pPr>
      <w:r>
        <w:rPr>
          <w:rFonts w:ascii="SimHei" w:hAnsi="SimHei" w:eastAsia="黑体"/>
          <w:lang w:eastAsia="zh-CN"/>
        </w:rPr>
        <w:t>最少职位数原则：既考虑到最大限度地节约人力成本，又尽可能缩短职位之间信息传递时间，减少“滤波”效应。</w:t>
      </w:r>
    </w:p>
    <w:p>
      <w:pPr>
        <w:pStyle w:val="Normal"/>
        <w:numPr>
          <w:ilvl w:val="0"/>
          <w:numId w:val="5"/>
        </w:numPr>
        <w:rPr>
          <w:lang w:eastAsia="zh-CN"/>
        </w:rPr>
      </w:pPr>
      <w:r>
        <w:rPr>
          <w:rFonts w:ascii="SimHei" w:hAnsi="SimHei" w:eastAsia="黑体"/>
          <w:lang w:eastAsia="zh-CN"/>
        </w:rPr>
        <w:t>风险可控原则：在职责界定和任务划分时，遵循中国网通内控和风险管理的要求，确保相关准则的有效执行。</w:t>
      </w:r>
    </w:p>
    <w:p>
      <w:pPr>
        <w:pStyle w:val="Normal"/>
        <w:jc w:val="both"/>
        <w:rPr>
          <w:rFonts w:ascii="宋体" w:hAnsi="宋体" w:cs="宋体"/>
          <w:b/>
          <w:b/>
          <w:szCs w:val="24"/>
          <w:lang w:eastAsia="zh-CN"/>
        </w:rPr>
      </w:pPr>
      <w:r>
        <w:rPr>
          <w:rFonts w:cs="宋体" w:ascii="SimHei" w:hAnsi="SimHei" w:eastAsia="黑体"/>
          <w:b/>
          <w:szCs w:val="24"/>
          <w:lang w:eastAsia="zh-CN"/>
        </w:rPr>
        <w:t xml:space="preserve">2. </w:t>
      </w:r>
      <w:r>
        <w:rPr>
          <w:rFonts w:ascii="SimHei" w:hAnsi="SimHei" w:cs="宋体" w:eastAsia="黑体"/>
          <w:b/>
          <w:szCs w:val="24"/>
          <w:lang w:eastAsia="zh-CN"/>
        </w:rPr>
        <w:t xml:space="preserve">岗位级别    </w:t>
      </w:r>
    </w:p>
    <w:p>
      <w:pPr>
        <w:pStyle w:val="Style13"/>
        <w:rPr/>
      </w:pPr>
      <w:r>
        <w:rPr>
          <w:rFonts w:ascii="SimHei" w:hAnsi="SimHei" w:eastAsia="黑体"/>
        </w:rPr>
        <w:t>岗位级别是一个岗位在公司岗位价值等级体系中的等级，岗位级别并不代表一个岗位的绝对价值，而是反映了岗位和组织中其他岗位的相对价值关系。岗位级别的高低取决于岗位对员工知识、技能的胜任要求，岗位所承担的职责大小，解决问题的复杂难易程度，以及岗位对组织的贡献大小。</w:t>
      </w:r>
    </w:p>
    <w:p>
      <w:pPr>
        <w:pStyle w:val="Style13"/>
        <w:rPr/>
      </w:pPr>
      <w:r>
        <w:rPr>
          <w:rFonts w:ascii="SimHei" w:hAnsi="SimHei" w:eastAsia="黑体"/>
        </w:rPr>
        <w:t>大多数情况下，一个岗位级别对应一个薪酬范围，即通常所说的岗位级别等同于相应的薪酬级别。但是有时会出现岗位级别与任职者的薪酬级别有一定错位，这通常出现在岗位体系管理不够成熟的过渡时期。岗位管理体系的发展目标是岗位级别与薪酬级别的一致。</w:t>
      </w:r>
    </w:p>
    <w:p>
      <w:pPr>
        <w:pStyle w:val="Normal"/>
        <w:jc w:val="both"/>
        <w:rPr>
          <w:rFonts w:ascii="宋体" w:hAnsi="宋体" w:cs="宋体"/>
          <w:b/>
          <w:b/>
          <w:szCs w:val="24"/>
          <w:lang w:eastAsia="zh-CN"/>
        </w:rPr>
      </w:pPr>
      <w:r>
        <w:rPr>
          <w:rFonts w:cs="宋体" w:ascii="SimHei" w:hAnsi="SimHei" w:eastAsia="黑体"/>
          <w:b/>
          <w:szCs w:val="24"/>
          <w:lang w:eastAsia="zh-CN"/>
        </w:rPr>
        <w:t xml:space="preserve">3. </w:t>
      </w:r>
      <w:r>
        <w:rPr>
          <w:rFonts w:ascii="SimHei" w:hAnsi="SimHei" w:cs="宋体" w:eastAsia="黑体"/>
          <w:b/>
          <w:szCs w:val="24"/>
          <w:lang w:eastAsia="zh-CN"/>
        </w:rPr>
        <w:t xml:space="preserve">基准岗位列表    </w:t>
      </w:r>
    </w:p>
    <w:p>
      <w:pPr>
        <w:pStyle w:val="Normal"/>
        <w:ind w:firstLine="480"/>
        <w:jc w:val="both"/>
        <w:rPr>
          <w:rFonts w:ascii="宋体" w:hAnsi="宋体" w:cs="宋体"/>
          <w:szCs w:val="24"/>
          <w:lang w:eastAsia="zh-CN"/>
        </w:rPr>
      </w:pPr>
      <w:r>
        <w:rPr>
          <w:rFonts w:ascii="SimHei" w:hAnsi="SimHei" w:cs="宋体" w:eastAsia="黑体"/>
          <w:szCs w:val="24"/>
          <w:lang w:eastAsia="zh-CN"/>
        </w:rPr>
        <w:t>基准岗位是指网通内部长期稳定并广泛存在，具有代表性，职责分工具有普遍性的典型岗位。</w:t>
      </w:r>
    </w:p>
    <w:p>
      <w:pPr>
        <w:pStyle w:val="Normal"/>
        <w:ind w:firstLine="480"/>
        <w:jc w:val="both"/>
        <w:rPr>
          <w:rFonts w:ascii="宋体" w:hAnsi="宋体" w:cs="宋体"/>
          <w:szCs w:val="24"/>
          <w:lang w:eastAsia="zh-CN"/>
        </w:rPr>
      </w:pPr>
      <w:r>
        <w:rPr>
          <w:rFonts w:ascii="SimHei" w:hAnsi="SimHei" w:cs="宋体" w:eastAsia="黑体"/>
          <w:szCs w:val="24"/>
          <w:lang w:eastAsia="zh-CN"/>
        </w:rPr>
        <w:t>经过了省、市、县分公司的试点调研，提取了基准岗位的初稿，某集团业务管理部门的审阅，根据业务管理部门的专业意见进行了修改，之后又经过了各省市分公司的验证，某集团的基准岗位列表。</w:t>
      </w:r>
    </w:p>
    <w:p>
      <w:pPr>
        <w:pStyle w:val="Normal"/>
        <w:ind w:firstLine="480"/>
        <w:jc w:val="both"/>
        <w:rPr>
          <w:rFonts w:ascii="宋体" w:hAnsi="宋体" w:cs="宋体"/>
          <w:szCs w:val="24"/>
          <w:lang w:eastAsia="zh-CN"/>
        </w:rPr>
      </w:pPr>
      <w:r>
        <w:rPr>
          <w:rFonts w:ascii="SimHei" w:hAnsi="SimHei" w:cs="宋体" w:eastAsia="黑体"/>
          <w:szCs w:val="24"/>
          <w:lang w:eastAsia="zh-CN"/>
        </w:rPr>
        <w:t>基准岗位的提炼遵循了以下主要原则：</w:t>
      </w:r>
    </w:p>
    <w:p>
      <w:pPr>
        <w:pStyle w:val="Normal"/>
        <w:numPr>
          <w:ilvl w:val="0"/>
          <w:numId w:val="5"/>
        </w:numPr>
        <w:rPr>
          <w:lang w:eastAsia="zh-CN"/>
        </w:rPr>
      </w:pPr>
      <w:r>
        <w:rPr>
          <w:rFonts w:ascii="SimHei" w:hAnsi="SimHei" w:eastAsia="黑体"/>
          <w:lang w:eastAsia="zh-CN"/>
        </w:rPr>
        <w:t>全面性与代表性：基准职位的设置确定经历了自上而下的功能分解过程。从职能分解至子职能到职位，保证了基准职位的覆盖性；同时，基准职位是现实职位的自下而上的提炼和规范化，突出核心职责，突出代表性。保证基准职位之间的职责界定明确清晰，少重叠</w:t>
      </w:r>
    </w:p>
    <w:p>
      <w:pPr>
        <w:pStyle w:val="Normal"/>
        <w:numPr>
          <w:ilvl w:val="0"/>
          <w:numId w:val="5"/>
        </w:numPr>
        <w:rPr>
          <w:lang w:val="en-US" w:eastAsia="zh-CN"/>
        </w:rPr>
      </w:pPr>
      <w:r>
        <w:rPr>
          <w:rFonts w:ascii="SimHei" w:hAnsi="SimHei" w:eastAsia="黑体"/>
          <w:lang w:eastAsia="zh-CN"/>
        </w:rPr>
        <w:t>前瞻性与规范性：基于业务的流程，选择反映优化运营模式、不远的将来趋势的岗位设置进入基准列表；基准岗位的提炼中有意识保持专业职责集中、层次集中，减少职责组合的随意性；基准职位的核心职责描述尽可能过滤掉因人设岗的影响</w:t>
      </w:r>
    </w:p>
    <w:p>
      <w:pPr>
        <w:pStyle w:val="Normal"/>
        <w:numPr>
          <w:ilvl w:val="0"/>
          <w:numId w:val="5"/>
        </w:numPr>
        <w:rPr>
          <w:lang w:val="en-US" w:eastAsia="zh-CN"/>
        </w:rPr>
      </w:pPr>
      <w:r>
        <w:rPr>
          <w:rFonts w:ascii="SimHei" w:hAnsi="SimHei" w:eastAsia="黑体"/>
          <w:lang w:eastAsia="zh-CN"/>
        </w:rPr>
        <w:t>现实性与可行性：基准职位从现实职位中提炼，并经过验证，保证绝大多数的基准职位和现实职位的核心职责有较好的匹配；基准职位列表考虑规模不同的公司，其职位分工精细程度的差异，既包含“典型岗位”以涵盖精细分工的情况，也包含</w:t>
      </w:r>
      <w:r>
        <w:rPr>
          <w:rFonts w:ascii="SimHei" w:hAnsi="SimHei" w:eastAsia="黑体"/>
          <w:lang w:eastAsia="zh-CN"/>
        </w:rPr>
        <w:t>“</w:t>
      </w:r>
      <w:r>
        <w:rPr>
          <w:rFonts w:ascii="SimHei" w:hAnsi="SimHei" w:eastAsia="黑体"/>
          <w:lang w:eastAsia="zh-CN"/>
        </w:rPr>
        <w:t>职责类别</w:t>
      </w:r>
      <w:r>
        <w:rPr>
          <w:rFonts w:ascii="SimHei" w:hAnsi="SimHei" w:eastAsia="黑体"/>
          <w:lang w:eastAsia="zh-CN"/>
        </w:rPr>
        <w:t>”</w:t>
      </w:r>
      <w:r>
        <w:rPr>
          <w:rFonts w:ascii="SimHei" w:hAnsi="SimHei" w:eastAsia="黑体"/>
          <w:lang w:eastAsia="zh-CN"/>
        </w:rPr>
        <w:t>以兼顾宽泛的设岗情况；在基准岗位套入办法中，考虑一对一，一对多等不同的匹配情况，并给出对照方法和规范化建议</w:t>
      </w:r>
    </w:p>
    <w:p>
      <w:pPr>
        <w:pStyle w:val="Normal"/>
        <w:numPr>
          <w:ilvl w:val="0"/>
          <w:numId w:val="5"/>
        </w:numPr>
        <w:rPr>
          <w:lang w:eastAsia="zh-CN"/>
        </w:rPr>
      </w:pPr>
      <w:r>
        <w:rPr>
          <w:rFonts w:ascii="SimHei" w:hAnsi="SimHei" w:eastAsia="黑体"/>
          <w:lang w:eastAsia="zh-CN"/>
        </w:rPr>
        <w:t>灵活性与适应性：职位设置兼顾不同运作模式，并指出方案应用条件。方便各机构参照；在提供基准职位的同时，提供一般规范设岗原则，促进机构自行规范设岗</w:t>
      </w:r>
    </w:p>
    <w:p>
      <w:pPr>
        <w:pStyle w:val="Normal"/>
        <w:numPr>
          <w:ilvl w:val="0"/>
          <w:numId w:val="5"/>
        </w:numPr>
        <w:rPr>
          <w:lang w:eastAsia="zh-CN"/>
        </w:rPr>
      </w:pPr>
      <w:r>
        <w:rPr>
          <w:rFonts w:ascii="SimHei" w:hAnsi="SimHei" w:eastAsia="黑体"/>
          <w:lang w:eastAsia="zh-CN"/>
        </w:rPr>
        <w:t>科学性：符合科学的设岗原则来选择设立基准岗位，依据因事设岗、专业集中、专业层次集中、工作量、业务流程</w:t>
      </w:r>
      <w:r>
        <w:rPr>
          <w:rFonts w:ascii="SimHei" w:hAnsi="SimHei" w:eastAsia="黑体"/>
          <w:lang w:eastAsia="zh-CN"/>
        </w:rPr>
        <w:t>/</w:t>
      </w:r>
      <w:r>
        <w:rPr>
          <w:rFonts w:ascii="SimHei" w:hAnsi="SimHei" w:eastAsia="黑体"/>
          <w:lang w:eastAsia="zh-CN"/>
        </w:rPr>
        <w:t>功能导向等设岗</w:t>
      </w:r>
    </w:p>
    <w:p>
      <w:pPr>
        <w:pStyle w:val="Normal"/>
        <w:ind w:firstLine="480"/>
        <w:jc w:val="both"/>
        <w:rPr>
          <w:rFonts w:ascii="宋体" w:hAnsi="宋体" w:cs="宋体"/>
          <w:szCs w:val="24"/>
          <w:lang w:eastAsia="zh-CN"/>
        </w:rPr>
      </w:pPr>
      <w:r>
        <w:rPr>
          <w:rFonts w:ascii="SimHei" w:hAnsi="SimHei" w:cs="宋体" w:eastAsia="黑体"/>
          <w:szCs w:val="24"/>
          <w:lang w:eastAsia="zh-CN"/>
        </w:rPr>
        <w:t>每个基准岗位都配有相应的级别。基准岗位级别的确定是在对试点标杆岗位评估的基础上，综合平衡了不同发展阶段的各分公司的企业规模、组织层次等因素，根据企业内部岗位分布情况、岗位管理需要等因素，形成适合网通企业运作需要的内部职级体系，反映了网通企业内部各机构、各层级岗位的相对应关系</w:t>
      </w:r>
    </w:p>
    <w:p>
      <w:pPr>
        <w:pStyle w:val="Normal"/>
        <w:ind w:firstLine="480"/>
        <w:jc w:val="both"/>
        <w:rPr>
          <w:rFonts w:ascii="宋体" w:hAnsi="宋体" w:cs="宋体"/>
          <w:szCs w:val="24"/>
          <w:lang w:eastAsia="zh-CN"/>
        </w:rPr>
      </w:pPr>
      <w:r>
        <w:rPr>
          <w:rFonts w:ascii="SimHei" w:hAnsi="SimHei" w:cs="宋体" w:eastAsia="黑体"/>
          <w:szCs w:val="24"/>
          <w:lang w:eastAsia="zh-CN"/>
        </w:rPr>
        <w:t>网通的基准岗位列表分为南方、北方两套，体现了南方省公司、北方省公司不同的组织特点，涵盖了市场线、技术线、综合线各个专业类别、各个岗位层级的典型岗位。基准岗位列表中同时显示了各个基准岗位的岗位等级范围。某集团的基准岗位包括</w:t>
      </w:r>
      <w:r>
        <w:rPr>
          <w:rFonts w:cs="宋体" w:ascii="SimHei" w:hAnsi="SimHei" w:eastAsia="黑体"/>
          <w:szCs w:val="24"/>
          <w:lang w:eastAsia="zh-CN"/>
        </w:rPr>
        <w:t>522</w:t>
      </w:r>
      <w:r>
        <w:rPr>
          <w:rFonts w:ascii="SimHei" w:hAnsi="SimHei" w:cs="宋体" w:eastAsia="黑体"/>
          <w:szCs w:val="24"/>
          <w:lang w:eastAsia="zh-CN"/>
        </w:rPr>
        <w:t>个，某集团目前</w:t>
      </w:r>
      <w:r>
        <w:rPr>
          <w:rFonts w:cs="宋体" w:ascii="SimHei" w:hAnsi="SimHei" w:eastAsia="黑体"/>
          <w:szCs w:val="24"/>
          <w:lang w:eastAsia="zh-CN"/>
        </w:rPr>
        <w:t>90%</w:t>
      </w:r>
      <w:r>
        <w:rPr>
          <w:rFonts w:ascii="SimHei" w:hAnsi="SimHei" w:cs="宋体" w:eastAsia="黑体"/>
          <w:szCs w:val="24"/>
          <w:lang w:eastAsia="zh-CN"/>
        </w:rPr>
        <w:t>的现实岗位。某集团进行岗位管理的基础工具。是各省分公司岗位设置的参照标杆。</w:t>
      </w:r>
    </w:p>
    <w:p>
      <w:pPr>
        <w:pStyle w:val="Normal"/>
        <w:ind w:firstLine="480"/>
        <w:jc w:val="both"/>
        <w:rPr>
          <w:rFonts w:ascii="宋体" w:hAnsi="宋体" w:cs="宋体"/>
          <w:szCs w:val="24"/>
          <w:lang w:eastAsia="zh-CN"/>
        </w:rPr>
      </w:pPr>
      <w:r>
        <w:rPr>
          <w:rFonts w:ascii="SimHei" w:hAnsi="SimHei" w:cs="宋体" w:eastAsia="黑体"/>
          <w:szCs w:val="24"/>
          <w:lang w:eastAsia="zh-CN"/>
        </w:rPr>
        <w:t>基准岗位列表涵盖了行政管理类岗位和专业类岗位。本管理办法中着重于非行政类岗位。</w:t>
      </w:r>
    </w:p>
    <w:p>
      <w:pPr>
        <w:pStyle w:val="Normal"/>
        <w:ind w:firstLine="480"/>
        <w:jc w:val="both"/>
        <w:rPr>
          <w:rFonts w:ascii="宋体" w:hAnsi="宋体" w:cs="宋体"/>
          <w:szCs w:val="24"/>
          <w:lang w:eastAsia="zh-CN"/>
        </w:rPr>
      </w:pPr>
      <w:r>
        <w:rPr>
          <w:rFonts w:ascii="SimHei" w:hAnsi="SimHei" w:cs="宋体" w:eastAsia="黑体"/>
          <w:szCs w:val="24"/>
          <w:lang w:eastAsia="zh-CN"/>
        </w:rPr>
        <w:t>基准岗位列表详见附件。</w:t>
      </w:r>
    </w:p>
    <w:p>
      <w:pPr>
        <w:pStyle w:val="Normal"/>
        <w:jc w:val="both"/>
        <w:rPr>
          <w:rFonts w:ascii="宋体" w:hAnsi="宋体" w:cs="宋体"/>
          <w:b/>
          <w:b/>
          <w:szCs w:val="24"/>
          <w:lang w:eastAsia="zh-CN"/>
        </w:rPr>
      </w:pPr>
      <w:r>
        <w:rPr>
          <w:rFonts w:cs="宋体" w:ascii="SimHei" w:hAnsi="SimHei" w:eastAsia="黑体"/>
          <w:b/>
          <w:szCs w:val="24"/>
          <w:lang w:eastAsia="zh-CN"/>
        </w:rPr>
        <w:t xml:space="preserve">4. </w:t>
      </w:r>
      <w:r>
        <w:rPr>
          <w:rFonts w:ascii="SimHei" w:hAnsi="SimHei" w:cs="宋体" w:eastAsia="黑体"/>
          <w:b/>
          <w:szCs w:val="24"/>
          <w:lang w:eastAsia="zh-CN"/>
        </w:rPr>
        <w:t>某集团的岗位等级体系</w:t>
      </w:r>
    </w:p>
    <w:p>
      <w:pPr>
        <w:pStyle w:val="Normal"/>
        <w:ind w:firstLine="480"/>
        <w:jc w:val="both"/>
        <w:rPr>
          <w:rFonts w:ascii="宋体" w:hAnsi="宋体" w:cs="宋体"/>
          <w:szCs w:val="24"/>
          <w:lang w:eastAsia="zh-CN"/>
        </w:rPr>
      </w:pPr>
      <w:r>
        <w:rPr>
          <w:rFonts w:ascii="SimHei" w:hAnsi="SimHei" w:cs="宋体" w:eastAsia="黑体"/>
          <w:szCs w:val="24"/>
          <w:lang w:eastAsia="zh-CN"/>
        </w:rPr>
        <w:t>某集团的岗位等级体系包括</w:t>
      </w:r>
      <w:r>
        <w:rPr>
          <w:rFonts w:cs="宋体" w:ascii="SimHei" w:hAnsi="SimHei" w:eastAsia="黑体"/>
          <w:szCs w:val="24"/>
          <w:lang w:eastAsia="zh-CN"/>
        </w:rPr>
        <w:t>22</w:t>
      </w:r>
      <w:r>
        <w:rPr>
          <w:rFonts w:ascii="SimHei" w:hAnsi="SimHei" w:cs="宋体" w:eastAsia="黑体"/>
          <w:szCs w:val="24"/>
          <w:lang w:eastAsia="zh-CN"/>
        </w:rPr>
        <w:t>个岗位等级，某集团总部和省、市、县分公司各级机构所有岗位。每个岗位的岗位等级通过岗位所需要的业务专长、专业知识、解决问题的复杂程度、领导能力、沟通能力等一系列重要的岗位价值评价因素决定。</w:t>
      </w:r>
    </w:p>
    <w:p>
      <w:pPr>
        <w:pStyle w:val="Normal"/>
        <w:ind w:firstLine="480"/>
        <w:jc w:val="both"/>
        <w:rPr>
          <w:rFonts w:ascii="宋体" w:hAnsi="宋体" w:cs="宋体"/>
          <w:szCs w:val="24"/>
          <w:lang w:eastAsia="zh-CN"/>
        </w:rPr>
      </w:pPr>
      <w:r>
        <w:rPr>
          <w:rFonts w:ascii="SimHei" w:hAnsi="SimHei" w:cs="宋体" w:eastAsia="黑体"/>
          <w:szCs w:val="24"/>
          <w:lang w:eastAsia="zh-CN"/>
        </w:rPr>
        <w:t>行政管理层级别在网通是统一定义的，基于评估的基础，经由评估工具的计算，充分考虑了与现实的对接性，某集团党组批准。将直接应用到各省市分公司相关岗位。</w:t>
      </w:r>
    </w:p>
    <w:p>
      <w:pPr>
        <w:pStyle w:val="Normal"/>
        <w:numPr>
          <w:ilvl w:val="0"/>
          <w:numId w:val="5"/>
        </w:numPr>
        <w:rPr>
          <w:lang w:eastAsia="zh-CN"/>
        </w:rPr>
      </w:pPr>
      <w:r>
        <w:rPr>
          <w:rFonts w:ascii="SimHei" w:hAnsi="SimHei" w:eastAsia="黑体"/>
          <w:lang w:eastAsia="zh-CN"/>
        </w:rPr>
        <w:t>集团总公司的部门总经理岗位分成两类级别</w:t>
      </w:r>
    </w:p>
    <w:p>
      <w:pPr>
        <w:pStyle w:val="Normal"/>
        <w:numPr>
          <w:ilvl w:val="0"/>
          <w:numId w:val="5"/>
        </w:numPr>
        <w:rPr>
          <w:lang w:eastAsia="zh-CN"/>
        </w:rPr>
      </w:pPr>
      <w:r>
        <w:rPr>
          <w:rFonts w:ascii="SimHei" w:hAnsi="SimHei" w:eastAsia="黑体"/>
          <w:lang w:eastAsia="zh-CN"/>
        </w:rPr>
        <w:t>省市公司负责人岗位级别的确定，考虑了组织规模、</w:t>
      </w:r>
      <w:r>
        <w:rPr>
          <w:rFonts w:ascii="SimHei" w:hAnsi="SimHei" w:eastAsia="黑体"/>
          <w:lang w:eastAsia="zh-CN"/>
        </w:rPr>
        <w:t>KPI</w:t>
      </w:r>
      <w:r>
        <w:rPr>
          <w:rFonts w:ascii="SimHei" w:hAnsi="SimHei" w:eastAsia="黑体"/>
          <w:lang w:eastAsia="zh-CN"/>
        </w:rPr>
        <w:t>考核指标、营业收入等综合因素</w:t>
      </w:r>
    </w:p>
    <w:p>
      <w:pPr>
        <w:pStyle w:val="Normal"/>
        <w:numPr>
          <w:ilvl w:val="0"/>
          <w:numId w:val="5"/>
        </w:numPr>
        <w:rPr>
          <w:lang w:eastAsia="zh-CN"/>
        </w:rPr>
      </w:pPr>
      <w:r>
        <w:rPr>
          <w:rFonts w:ascii="SimHei" w:hAnsi="SimHei" w:eastAsia="黑体"/>
          <w:lang w:eastAsia="zh-CN"/>
        </w:rPr>
        <w:t>省市公司职能部门负责人和主要专业中心负责人的级别分成两类，主要考虑部门和中心所承担的职责以及在企业价值链中所处的位置等因素进行划分，这里所指的职能部门和专业中心是网通的组织建设指导意见中所涵盖的主要部门和中心</w:t>
      </w:r>
    </w:p>
    <w:p>
      <w:pPr>
        <w:pStyle w:val="Normal"/>
        <w:numPr>
          <w:ilvl w:val="0"/>
          <w:numId w:val="5"/>
        </w:numPr>
        <w:rPr>
          <w:lang w:eastAsia="zh-CN"/>
        </w:rPr>
      </w:pPr>
      <w:r>
        <w:rPr>
          <w:rFonts w:ascii="SimHei" w:hAnsi="SimHei" w:eastAsia="黑体"/>
          <w:lang w:eastAsia="zh-CN"/>
        </w:rPr>
        <w:t>对于各分公司的自设部门和中心负责人的岗位级别的确定，比照本公司其他职能部门和中心负责人岗位级别进行插入，原则上不超过职能部门负责人岗位级别的最高限</w:t>
      </w:r>
    </w:p>
    <w:p>
      <w:pPr>
        <w:pStyle w:val="Normal"/>
        <w:numPr>
          <w:ilvl w:val="0"/>
          <w:numId w:val="5"/>
        </w:numPr>
        <w:rPr>
          <w:lang w:eastAsia="zh-CN"/>
        </w:rPr>
      </w:pPr>
      <w:r>
        <w:rPr>
          <w:rFonts w:ascii="SimHei" w:hAnsi="SimHei" w:eastAsia="黑体"/>
          <w:lang w:eastAsia="zh-CN"/>
        </w:rPr>
        <w:t>行政层级的岗位级别的示意图如下：</w:t>
      </w:r>
    </w:p>
    <w:p>
      <w:pPr>
        <w:pStyle w:val="NormalIndent2"/>
        <w:ind w:start="-283" w:hanging="0"/>
        <w:rPr>
          <w:lang w:eastAsia="zh-CN"/>
        </w:rPr>
      </w:pPr>
      <w:r>
        <w:rPr>
          <w:rFonts w:ascii="SimHei" w:hAnsi="SimHei" w:eastAsia="黑体"/>
          <w:lang w:eastAsia="zh-CN"/>
        </w:rPr>
      </w:r>
    </w:p>
    <w:p>
      <w:pPr>
        <w:pStyle w:val="NormalIndent2"/>
        <w:ind w:start="0" w:firstLine="360"/>
        <w:rPr>
          <w:lang w:eastAsia="zh-CN"/>
        </w:rPr>
      </w:pPr>
      <w:r>
        <w:rPr>
          <w:rFonts w:ascii="SimHei" w:hAnsi="SimHei" w:eastAsia="黑体"/>
          <w:lang w:eastAsia="zh-CN"/>
        </w:rPr>
        <w:t>非行政类岗位的级别确定是通过基准岗位的级别给与统一的指导线。各机构遵循本文第</w:t>
      </w:r>
      <w:r>
        <w:rPr>
          <w:rFonts w:ascii="SimHei" w:hAnsi="SimHei" w:eastAsia="黑体"/>
          <w:lang w:eastAsia="zh-CN"/>
        </w:rPr>
        <w:t>4</w:t>
      </w:r>
      <w:r>
        <w:rPr>
          <w:rFonts w:ascii="SimHei" w:hAnsi="SimHei" w:eastAsia="黑体"/>
          <w:lang w:eastAsia="zh-CN"/>
        </w:rPr>
        <w:t>章所述的管理办法，在将现实岗位与基准岗位对应后，原则上采用基准岗位的职级。网通非行政岗位级别的分布特点包括：</w:t>
      </w:r>
    </w:p>
    <w:p>
      <w:pPr>
        <w:pStyle w:val="Normal"/>
        <w:numPr>
          <w:ilvl w:val="0"/>
          <w:numId w:val="5"/>
        </w:numPr>
        <w:tabs>
          <w:tab w:val="clear" w:pos="360"/>
          <w:tab w:val="left" w:pos="720" w:leader="none"/>
          <w:tab w:val="left" w:pos="780" w:leader="none"/>
        </w:tabs>
        <w:rPr>
          <w:lang w:val="en-US" w:eastAsia="zh-CN"/>
        </w:rPr>
      </w:pPr>
      <w:r>
        <w:rPr>
          <w:rFonts w:ascii="SimHei" w:hAnsi="SimHei" w:eastAsia="黑体"/>
          <w:lang w:val="en-US" w:eastAsia="zh-CN"/>
        </w:rPr>
        <w:t>整体而言，非行政类岗位的分布趋势与市场上岗位级别的分布趋势基本一致</w:t>
      </w:r>
    </w:p>
    <w:p>
      <w:pPr>
        <w:pStyle w:val="Normal"/>
        <w:numPr>
          <w:ilvl w:val="0"/>
          <w:numId w:val="5"/>
        </w:numPr>
        <w:tabs>
          <w:tab w:val="clear" w:pos="360"/>
          <w:tab w:val="left" w:pos="720" w:leader="none"/>
          <w:tab w:val="left" w:pos="780" w:leader="none"/>
        </w:tabs>
        <w:rPr>
          <w:lang w:val="en-US" w:eastAsia="zh-CN"/>
        </w:rPr>
      </w:pPr>
      <w:r>
        <w:rPr>
          <w:rFonts w:ascii="SimHei" w:hAnsi="SimHei" w:eastAsia="黑体"/>
          <w:lang w:val="en-US" w:eastAsia="zh-CN"/>
        </w:rPr>
        <w:t>非行政类岗位在网通包含两类：专业性岗位和操作性岗位。专业性岗位和操作性岗位的职级与其组织规模相关性较小或没有关联，其岗位价值更多的取决于岗位工作内容本身</w:t>
      </w:r>
    </w:p>
    <w:p>
      <w:pPr>
        <w:pStyle w:val="Normal"/>
        <w:numPr>
          <w:ilvl w:val="0"/>
          <w:numId w:val="5"/>
        </w:numPr>
        <w:tabs>
          <w:tab w:val="clear" w:pos="360"/>
          <w:tab w:val="left" w:pos="720" w:leader="none"/>
          <w:tab w:val="left" w:pos="780" w:leader="none"/>
        </w:tabs>
        <w:rPr>
          <w:lang w:val="en-US" w:eastAsia="zh-CN"/>
        </w:rPr>
      </w:pPr>
      <w:r>
        <w:rPr>
          <w:rFonts w:ascii="SimHei" w:hAnsi="SimHei" w:eastAsia="黑体"/>
          <w:lang w:val="en-US" w:eastAsia="zh-CN"/>
        </w:rPr>
        <w:t>基于以上原因，不同组织规模、不同层级机构的专业性岗位和操作性岗位的职级分布范围差距不大，在</w:t>
      </w:r>
      <w:r>
        <w:rPr>
          <w:rFonts w:ascii="SimHei" w:hAnsi="SimHei" w:eastAsia="黑体"/>
          <w:lang w:val="en-US" w:eastAsia="zh-CN"/>
        </w:rPr>
        <w:t>2</w:t>
      </w:r>
      <w:r>
        <w:rPr>
          <w:rFonts w:ascii="SimHei" w:hAnsi="SimHei" w:eastAsia="黑体"/>
          <w:lang w:val="en-US" w:eastAsia="zh-CN"/>
        </w:rPr>
        <w:t>级至</w:t>
      </w:r>
      <w:r>
        <w:rPr>
          <w:rFonts w:ascii="SimHei" w:hAnsi="SimHei" w:eastAsia="黑体"/>
          <w:lang w:val="en-US" w:eastAsia="zh-CN"/>
        </w:rPr>
        <w:t>13</w:t>
      </w:r>
      <w:r>
        <w:rPr>
          <w:rFonts w:ascii="SimHei" w:hAnsi="SimHei" w:eastAsia="黑体"/>
          <w:lang w:val="en-US" w:eastAsia="zh-CN"/>
        </w:rPr>
        <w:t>级之间</w:t>
      </w:r>
    </w:p>
    <w:p>
      <w:pPr>
        <w:pStyle w:val="Normal"/>
        <w:numPr>
          <w:ilvl w:val="0"/>
          <w:numId w:val="5"/>
        </w:numPr>
        <w:rPr>
          <w:lang w:eastAsia="zh-CN"/>
        </w:rPr>
      </w:pPr>
      <w:r>
        <w:rPr>
          <w:rFonts w:ascii="SimHei" w:hAnsi="SimHei" w:eastAsia="黑体"/>
          <w:lang w:eastAsia="zh-CN"/>
        </w:rPr>
        <w:t>以基准岗位为基础的岗位定级结果，某集团统一的职数比例控制</w:t>
      </w:r>
    </w:p>
    <w:p>
      <w:pPr>
        <w:pStyle w:val="Normal"/>
        <w:numPr>
          <w:ilvl w:val="0"/>
          <w:numId w:val="5"/>
        </w:numPr>
        <w:rPr>
          <w:lang w:eastAsia="zh-CN"/>
        </w:rPr>
      </w:pPr>
      <w:r>
        <w:rPr>
          <w:rFonts w:ascii="SimHei" w:hAnsi="SimHei" w:eastAsia="黑体"/>
          <w:lang w:eastAsia="zh-CN"/>
        </w:rPr>
        <w:t>非行政管理类的基准岗位级别分布图见附件</w:t>
      </w:r>
    </w:p>
    <w:p>
      <w:pPr>
        <w:pStyle w:val="Normal"/>
        <w:jc w:val="both"/>
        <w:rPr>
          <w:rFonts w:ascii="宋体" w:hAnsi="宋体" w:cs="宋体"/>
          <w:b/>
          <w:b/>
          <w:szCs w:val="24"/>
          <w:lang w:eastAsia="zh-CN"/>
        </w:rPr>
      </w:pPr>
      <w:r>
        <w:rPr>
          <w:rFonts w:cs="宋体" w:ascii="SimHei" w:hAnsi="SimHei" w:eastAsia="黑体"/>
          <w:b/>
          <w:szCs w:val="24"/>
          <w:lang w:eastAsia="zh-CN"/>
        </w:rPr>
        <w:t xml:space="preserve">5. </w:t>
      </w:r>
      <w:r>
        <w:rPr>
          <w:rFonts w:ascii="SimHei" w:hAnsi="SimHei" w:cs="宋体" w:eastAsia="黑体"/>
          <w:b/>
          <w:szCs w:val="24"/>
          <w:lang w:eastAsia="zh-CN"/>
        </w:rPr>
        <w:t>岗位序列</w:t>
      </w:r>
    </w:p>
    <w:p>
      <w:pPr>
        <w:pStyle w:val="Normal"/>
        <w:ind w:firstLine="480"/>
        <w:jc w:val="both"/>
        <w:rPr>
          <w:rFonts w:ascii="宋体" w:hAnsi="宋体" w:cs="宋体"/>
          <w:szCs w:val="24"/>
          <w:lang w:val="en-US" w:eastAsia="zh-CN"/>
        </w:rPr>
      </w:pPr>
      <w:r>
        <w:rPr>
          <w:rFonts w:ascii="SimHei" w:hAnsi="SimHei" w:cs="宋体" w:eastAsia="黑体"/>
          <w:szCs w:val="24"/>
          <w:lang w:val="en-US" w:eastAsia="zh-CN"/>
        </w:rPr>
        <w:t>岗位序列是一系列从事类似工作，需要类似的知识、技能和素质要求（尽管要求的等级不同）的岗位组合。岗位序列是对岗位进行的宏观的、提纲挈领的管理方式，并且是连接岗位和能力管理的桥梁。岗位序列的划分精度取决于公司业务特性、管理应用需求。</w:t>
      </w:r>
    </w:p>
    <w:p>
      <w:pPr>
        <w:pStyle w:val="Normal"/>
        <w:ind w:firstLine="480"/>
        <w:jc w:val="both"/>
        <w:rPr>
          <w:rFonts w:ascii="宋体" w:hAnsi="宋体" w:cs="宋体"/>
          <w:szCs w:val="24"/>
          <w:lang w:val="en-US" w:eastAsia="zh-CN"/>
        </w:rPr>
      </w:pPr>
      <w:r>
        <w:rPr>
          <w:rFonts w:ascii="SimHei" w:hAnsi="SimHei" w:cs="宋体" w:eastAsia="黑体"/>
          <w:szCs w:val="24"/>
          <w:lang w:val="en-US" w:eastAsia="zh-CN"/>
        </w:rPr>
        <w:t>中国网通的岗位被划分为行政管理序列和销售序列、市场序列、技术序列、支撑序列四个专业序列，专业序列进而被划分为：客户经理、销售服务、业务管理、营销策划、工程建设、技术管理、运行维护、信息技术、监视值守、财务审计、人力资源、法律事务、采购物流、综合行政、党群政工共</w:t>
      </w:r>
      <w:r>
        <w:rPr>
          <w:rFonts w:cs="宋体" w:ascii="SimHei" w:hAnsi="SimHei" w:eastAsia="黑体"/>
          <w:szCs w:val="24"/>
          <w:lang w:val="en-US" w:eastAsia="zh-CN"/>
        </w:rPr>
        <w:t>15</w:t>
      </w:r>
      <w:r>
        <w:rPr>
          <w:rFonts w:ascii="SimHei" w:hAnsi="SimHei" w:cs="宋体" w:eastAsia="黑体"/>
          <w:szCs w:val="24"/>
          <w:lang w:val="en-US" w:eastAsia="zh-CN"/>
        </w:rPr>
        <w:t>个专业子序列。</w:t>
      </w:r>
    </w:p>
    <w:p>
      <w:pPr>
        <w:pStyle w:val="Normal"/>
        <w:ind w:firstLine="480"/>
        <w:jc w:val="both"/>
        <w:rPr>
          <w:rFonts w:ascii="宋体" w:hAnsi="宋体" w:cs="宋体"/>
          <w:szCs w:val="24"/>
          <w:lang w:val="en-US" w:eastAsia="zh-CN"/>
        </w:rPr>
      </w:pPr>
      <w:r>
        <w:rPr>
          <w:rFonts w:ascii="SimHei" w:hAnsi="SimHei" w:cs="宋体" w:eastAsia="黑体"/>
          <w:szCs w:val="24"/>
          <w:lang w:val="en-US" w:eastAsia="zh-CN"/>
        </w:rPr>
        <w:t>网通岗位序列的划分如下图所示：</w:t>
      </w:r>
    </w:p>
    <w:p>
      <w:pPr>
        <w:pStyle w:val="Normal"/>
        <w:ind w:firstLine="480"/>
        <w:jc w:val="both"/>
        <w:rPr>
          <w:rFonts w:ascii="宋体" w:hAnsi="宋体" w:cs="宋体"/>
          <w:color w:val="FF00FF"/>
          <w:szCs w:val="24"/>
          <w:lang w:val="en-US" w:eastAsia="zh-CN"/>
        </w:rPr>
      </w:pPr>
      <w:r>
        <w:rPr>
          <w:rFonts w:cs="宋体" w:ascii="SimHei" w:hAnsi="SimHei" w:eastAsia="黑体"/>
          <w:color w:val="FF00FF"/>
          <w:szCs w:val="24"/>
          <w:lang w:val="en-US" w:eastAsia="zh-CN"/>
        </w:rPr>
      </w:r>
    </w:p>
    <w:p>
      <w:pPr>
        <w:pStyle w:val="Normal"/>
        <w:ind w:firstLine="480"/>
        <w:rPr>
          <w:lang w:val="en-US" w:eastAsia="zh-CN"/>
        </w:rPr>
      </w:pPr>
      <w:r>
        <w:rPr>
          <w:rFonts w:ascii="SimHei" w:hAnsi="SimHei" w:eastAsia="黑体"/>
          <w:lang w:val="en-US" w:eastAsia="zh-CN"/>
        </w:rPr>
        <w:t>网通的专业岗位序列在纵向上分为</w:t>
      </w:r>
      <w:r>
        <w:rPr>
          <w:rFonts w:ascii="SimHei" w:hAnsi="SimHei" w:eastAsia="黑体"/>
          <w:lang w:val="en-US" w:eastAsia="zh-CN"/>
        </w:rPr>
        <w:t>7</w:t>
      </w:r>
      <w:r>
        <w:rPr>
          <w:rFonts w:ascii="SimHei" w:hAnsi="SimHei" w:eastAsia="黑体"/>
          <w:lang w:val="en-US" w:eastAsia="zh-CN"/>
        </w:rPr>
        <w:t>个层级，每个层级涵盖了</w:t>
      </w:r>
      <w:r>
        <w:rPr>
          <w:rFonts w:ascii="SimHei" w:hAnsi="SimHei" w:eastAsia="黑体"/>
          <w:lang w:val="en-US" w:eastAsia="zh-CN"/>
        </w:rPr>
        <w:t>3</w:t>
      </w:r>
      <w:r>
        <w:rPr>
          <w:rFonts w:ascii="SimHei" w:hAnsi="SimHei" w:eastAsia="黑体"/>
          <w:lang w:val="en-US" w:eastAsia="zh-CN"/>
        </w:rPr>
        <w:t>个岗位职级。专业层级的名称分别标示为</w:t>
      </w:r>
      <w:r>
        <w:rPr>
          <w:rFonts w:ascii="SimHei" w:hAnsi="SimHei" w:eastAsia="黑体"/>
          <w:lang w:val="en-US" w:eastAsia="zh-CN"/>
        </w:rPr>
        <w:t>W1-W3</w:t>
      </w:r>
      <w:r>
        <w:rPr>
          <w:rFonts w:ascii="SimHei" w:hAnsi="SimHei" w:eastAsia="黑体"/>
          <w:lang w:val="en-US" w:eastAsia="zh-CN"/>
        </w:rPr>
        <w:t>，</w:t>
      </w:r>
      <w:r>
        <w:rPr>
          <w:rFonts w:ascii="SimHei" w:hAnsi="SimHei" w:eastAsia="黑体"/>
          <w:lang w:val="en-US" w:eastAsia="zh-CN"/>
        </w:rPr>
        <w:t>T1-T5</w:t>
      </w:r>
      <w:r>
        <w:rPr>
          <w:rFonts w:ascii="SimHei" w:hAnsi="SimHei" w:eastAsia="黑体"/>
          <w:lang w:val="en-US" w:eastAsia="zh-CN"/>
        </w:rPr>
        <w:t>，其中</w:t>
      </w:r>
      <w:r>
        <w:rPr>
          <w:rFonts w:ascii="SimHei" w:hAnsi="SimHei" w:eastAsia="黑体"/>
          <w:lang w:val="en-US" w:eastAsia="zh-CN"/>
        </w:rPr>
        <w:t>W1-W3</w:t>
      </w:r>
      <w:r>
        <w:rPr>
          <w:rFonts w:ascii="SimHei" w:hAnsi="SimHei" w:eastAsia="黑体"/>
          <w:lang w:val="en-US" w:eastAsia="zh-CN"/>
        </w:rPr>
        <w:t>为基础专业层级，</w:t>
      </w:r>
      <w:r>
        <w:rPr>
          <w:rFonts w:ascii="SimHei" w:hAnsi="SimHei" w:eastAsia="黑体"/>
          <w:lang w:val="en-US" w:eastAsia="zh-CN"/>
        </w:rPr>
        <w:t>T1-T5</w:t>
      </w:r>
      <w:r>
        <w:rPr>
          <w:rFonts w:ascii="SimHei" w:hAnsi="SimHei" w:eastAsia="黑体"/>
          <w:lang w:val="en-US" w:eastAsia="zh-CN"/>
        </w:rPr>
        <w:t>为专业层级。行政管理岗位序列划分为</w:t>
      </w:r>
      <w:r>
        <w:rPr>
          <w:rFonts w:ascii="SimHei" w:hAnsi="SimHei" w:eastAsia="黑体"/>
          <w:lang w:val="en-US" w:eastAsia="zh-CN"/>
        </w:rPr>
        <w:t>6</w:t>
      </w:r>
      <w:r>
        <w:rPr>
          <w:rFonts w:ascii="SimHei" w:hAnsi="SimHei" w:eastAsia="黑体"/>
          <w:lang w:val="en-US" w:eastAsia="zh-CN"/>
        </w:rPr>
        <w:t>个层级，分别标示为</w:t>
      </w:r>
      <w:r>
        <w:rPr>
          <w:rFonts w:ascii="SimHei" w:hAnsi="SimHei" w:eastAsia="黑体"/>
          <w:lang w:val="en-US" w:eastAsia="zh-CN"/>
        </w:rPr>
        <w:t>M1- M6</w:t>
      </w:r>
      <w:r>
        <w:rPr>
          <w:rFonts w:ascii="SimHei" w:hAnsi="SimHei" w:eastAsia="黑体"/>
          <w:lang w:val="en-US" w:eastAsia="zh-CN"/>
        </w:rPr>
        <w:t>。</w:t>
      </w:r>
    </w:p>
    <w:p>
      <w:pPr>
        <w:pStyle w:val="Normal"/>
        <w:ind w:firstLine="480"/>
        <w:rPr>
          <w:lang w:val="en-US" w:eastAsia="zh-CN"/>
        </w:rPr>
      </w:pPr>
      <w:r>
        <w:rPr>
          <w:rFonts w:ascii="SimHei" w:hAnsi="SimHei" w:eastAsia="黑体"/>
          <w:lang w:val="en-US" w:eastAsia="zh-CN"/>
        </w:rPr>
        <w:t>同时，专业序列在不同的层级上都设定了相应的职衔，每个职衔内依据所对应的职级配以一定的称谓作为任职者的头衔。</w:t>
      </w:r>
    </w:p>
    <w:p>
      <w:pPr>
        <w:pStyle w:val="Normal"/>
        <w:ind w:firstLine="480"/>
        <w:rPr>
          <w:rFonts w:ascii="宋体" w:hAnsi="宋体" w:cs="宋体"/>
          <w:color w:val="FF00FF"/>
          <w:szCs w:val="24"/>
          <w:lang w:val="en-US" w:eastAsia="zh-CN"/>
        </w:rPr>
      </w:pPr>
      <w:r>
        <w:rPr>
          <w:rFonts w:ascii="SimHei" w:hAnsi="SimHei" w:eastAsia="黑体"/>
          <w:lang w:val="en-US" w:eastAsia="zh-CN"/>
        </w:rPr>
        <w:t>岗位序列的层级设置具体呈现如下图：</w:t>
      </w:r>
    </w:p>
    <w:p>
      <w:pPr>
        <w:pStyle w:val="Normal"/>
        <w:ind w:firstLine="480"/>
        <w:jc w:val="both"/>
        <w:rPr>
          <w:rFonts w:ascii="宋体" w:hAnsi="宋体" w:cs="宋体"/>
          <w:szCs w:val="24"/>
          <w:lang w:val="en-US" w:eastAsia="zh-CN"/>
        </w:rPr>
      </w:pPr>
      <w:r>
        <w:rPr>
          <w:rFonts w:ascii="SimHei" w:hAnsi="SimHei" w:cs="宋体" w:eastAsia="黑体"/>
          <w:szCs w:val="24"/>
          <w:lang w:val="en-US" w:eastAsia="zh-CN"/>
        </w:rPr>
        <w:t>网通专业岗位序列的定义、分级等具体描述请见“员工职业生涯管理办法”等相关文件。</w:t>
      </w:r>
    </w:p>
    <w:p>
      <w:pPr>
        <w:pStyle w:val="SectionStart"/>
        <w:numPr>
          <w:ilvl w:val="0"/>
          <w:numId w:val="9"/>
        </w:numPr>
        <w:shd w:fill="CCCCCC" w:val="clear"/>
        <w:ind w:end="6840" w:hanging="0"/>
        <w:rPr>
          <w:rFonts w:ascii="宋体" w:hAnsi="宋体" w:cs="宋体"/>
          <w:szCs w:val="24"/>
          <w:lang w:val="en-US" w:eastAsia="zh-CN"/>
        </w:rPr>
      </w:pPr>
      <w:r>
        <w:rPr>
          <w:rFonts w:cs="宋体" w:ascii="SimHei" w:hAnsi="SimHei" w:eastAsia="黑体"/>
          <w:szCs w:val="24"/>
          <w:lang w:val="en-US" w:eastAsia="zh-CN"/>
        </w:rPr>
      </w:r>
    </w:p>
    <w:p>
      <w:pPr>
        <w:pStyle w:val="Heading1"/>
        <w:numPr>
          <w:ilvl w:val="0"/>
          <w:numId w:val="0"/>
        </w:numPr>
        <w:ind w:start="0" w:hanging="0"/>
        <w:rPr>
          <w:rFonts w:ascii="宋体" w:hAnsi="宋体" w:cs="宋体"/>
          <w:b/>
          <w:b/>
          <w:lang w:eastAsia="zh-CN"/>
        </w:rPr>
      </w:pPr>
      <w:bookmarkStart w:id="7" w:name="__RefHeading___Toc142984672"/>
      <w:bookmarkEnd w:id="7"/>
      <w:r>
        <w:rPr>
          <w:rFonts w:ascii="SimHei" w:hAnsi="SimHei" w:cs="宋体" w:eastAsia="黑体"/>
          <w:b/>
          <w:lang w:eastAsia="zh-CN"/>
        </w:rPr>
        <w:t>某集团的岗位体系</w:t>
      </w:r>
    </w:p>
    <w:p>
      <w:pPr>
        <w:pStyle w:val="Style12"/>
        <w:numPr>
          <w:ilvl w:val="0"/>
          <w:numId w:val="0"/>
        </w:numPr>
        <w:ind w:start="0" w:firstLine="480"/>
        <w:rPr>
          <w:lang w:eastAsia="zh-CN"/>
        </w:rPr>
      </w:pPr>
      <w:r>
        <w:rPr>
          <w:rFonts w:ascii="SimHei" w:hAnsi="SimHei" w:eastAsia="黑体"/>
          <w:lang w:eastAsia="zh-CN"/>
        </w:rPr>
        <w:t>某集团的岗位体系由基准岗位、岗位等级、岗位序列三个主要元素构成。这三个元素之间的关系如下图所示：</w:t>
      </w:r>
    </w:p>
    <w:p>
      <w:pPr>
        <w:pStyle w:val="Style12"/>
        <w:numPr>
          <w:ilvl w:val="0"/>
          <w:numId w:val="0"/>
        </w:numPr>
        <w:ind w:start="0" w:hanging="0"/>
        <w:rPr>
          <w:color w:val="FF00FF"/>
          <w:lang w:eastAsia="zh-CN"/>
        </w:rPr>
      </w:pPr>
      <w:r>
        <w:rPr>
          <w:rFonts w:ascii="SimHei" w:hAnsi="SimHei" w:eastAsia="黑体"/>
          <w:color w:val="FF00FF"/>
          <w:lang w:val="en-US" w:eastAsia="zh-CN"/>
        </w:rPr>
      </w:r>
    </w:p>
    <w:p>
      <w:pPr>
        <w:pStyle w:val="Style12"/>
        <w:numPr>
          <w:ilvl w:val="0"/>
          <w:numId w:val="0"/>
        </w:numPr>
        <w:ind w:start="0" w:firstLine="480"/>
        <w:rPr>
          <w:lang w:eastAsia="zh-CN"/>
        </w:rPr>
      </w:pPr>
      <w:r>
        <w:rPr>
          <w:rFonts w:ascii="SimHei" w:hAnsi="SimHei" w:eastAsia="黑体"/>
          <w:lang w:eastAsia="zh-CN"/>
        </w:rPr>
        <w:t>基准岗位是体系的基础元素，每个基准岗位都配有相应的岗位等级，某集团统一的</w:t>
      </w:r>
      <w:r>
        <w:rPr>
          <w:rFonts w:ascii="SimHei" w:hAnsi="SimHei" w:eastAsia="黑体"/>
          <w:lang w:eastAsia="zh-CN"/>
        </w:rPr>
        <w:t>22</w:t>
      </w:r>
      <w:r>
        <w:rPr>
          <w:rFonts w:ascii="SimHei" w:hAnsi="SimHei" w:eastAsia="黑体"/>
          <w:lang w:eastAsia="zh-CN"/>
        </w:rPr>
        <w:t>级等级体系中；每个基准岗位都归属于一定的专业序列、子序列、和专业序列层级。</w:t>
      </w:r>
    </w:p>
    <w:p>
      <w:pPr>
        <w:pStyle w:val="Style12"/>
        <w:numPr>
          <w:ilvl w:val="0"/>
          <w:numId w:val="0"/>
        </w:numPr>
        <w:ind w:start="0" w:firstLine="480"/>
        <w:rPr>
          <w:lang w:eastAsia="zh-CN"/>
        </w:rPr>
      </w:pPr>
      <w:r>
        <w:rPr>
          <w:rFonts w:ascii="SimHei" w:hAnsi="SimHei" w:eastAsia="黑体"/>
          <w:lang w:eastAsia="zh-CN"/>
        </w:rPr>
        <w:t>基准岗位的内容和工作职责的范围、重要程度等因素，决定了该岗位在组织中的相对价值，因此相应确定了基准岗位的等级，岗位级别确定后，岗位内容不发生变化的情况下，岗位级别不会发生变化。基准岗位设置体现了职责分工，工作性质的分类决定了岗位序列的划分。依据基准岗位的级别，确定基准岗位所处的序列层级，并因此而对应了一个任职者职衔。</w:t>
      </w:r>
    </w:p>
    <w:p>
      <w:pPr>
        <w:pStyle w:val="Style13"/>
        <w:rPr>
          <w:b/>
          <w:b/>
        </w:rPr>
      </w:pPr>
      <w:r>
        <w:rPr>
          <w:rFonts w:ascii="SimHei" w:hAnsi="SimHei" w:eastAsia="黑体"/>
        </w:rPr>
        <w:t>在历史上，网通对岗位级别的定义通常与岗位任职者的级别结合，在本制度中岗位级别反映的是岗位的相对价值，任职者的级别是以其职衔反映的，由所在岗位的级别和对个人能力评价结果的综合判断。因此，岗位级别是决定任职者级别与薪酬级别的基础。这一点与网通历史上由任职者级别为管理基础是主要区别。</w:t>
      </w:r>
    </w:p>
    <w:p>
      <w:pPr>
        <w:pStyle w:val="Style12"/>
        <w:numPr>
          <w:ilvl w:val="0"/>
          <w:numId w:val="0"/>
        </w:numPr>
        <w:ind w:start="0" w:firstLine="480"/>
        <w:rPr>
          <w:lang w:eastAsia="zh-CN"/>
        </w:rPr>
      </w:pPr>
      <w:r>
        <w:rPr>
          <w:rFonts w:ascii="SimHei" w:hAnsi="SimHei" w:eastAsia="黑体"/>
          <w:lang w:eastAsia="zh-CN"/>
        </w:rPr>
        <w:t>某集团的岗位体系解决了岗位、级别、人岗匹配三者之间的关系。某集团人力资源管理系统中，并将为人力资源管理其他模块的完善提供基础：</w:t>
      </w:r>
    </w:p>
    <w:p>
      <w:pPr>
        <w:pStyle w:val="Style12"/>
        <w:numPr>
          <w:ilvl w:val="0"/>
          <w:numId w:val="0"/>
        </w:numPr>
        <w:ind w:start="0" w:firstLine="480"/>
        <w:rPr>
          <w:lang w:eastAsia="zh-CN"/>
        </w:rPr>
      </w:pPr>
      <w:r>
        <w:rPr>
          <w:rFonts w:ascii="SimHei" w:hAnsi="SimHei" w:eastAsia="黑体"/>
          <w:lang w:eastAsia="zh-CN"/>
        </w:rPr>
        <w:t>明确的岗位分工和岗位职责为绩效管理体系的建设提供</w:t>
      </w:r>
      <w:r>
        <w:rPr>
          <w:rFonts w:ascii="SimHei" w:hAnsi="SimHei" w:eastAsia="黑体"/>
          <w:lang w:eastAsia="zh-CN"/>
        </w:rPr>
        <w:t>KPI</w:t>
      </w:r>
      <w:r>
        <w:rPr>
          <w:rFonts w:ascii="SimHei" w:hAnsi="SimHei" w:eastAsia="黑体"/>
          <w:lang w:eastAsia="zh-CN"/>
        </w:rPr>
        <w:t>指标设置的依据；同时岗位职责和岗位的能力要求将会为培训工作提供清晰的培训需求分析方向和确定培训目标的依据。</w:t>
      </w:r>
    </w:p>
    <w:p>
      <w:pPr>
        <w:pStyle w:val="Style12"/>
        <w:numPr>
          <w:ilvl w:val="0"/>
          <w:numId w:val="0"/>
        </w:numPr>
        <w:ind w:start="0" w:firstLine="480"/>
        <w:rPr>
          <w:lang w:eastAsia="zh-CN"/>
        </w:rPr>
      </w:pPr>
      <w:r>
        <w:rPr>
          <w:rFonts w:ascii="SimHei" w:hAnsi="SimHei" w:eastAsia="黑体"/>
          <w:lang w:eastAsia="zh-CN"/>
        </w:rPr>
        <w:t>清晰界定的岗位职级体系为建立具有内部公平性、外部市场竞争力的薪酬体系提供基础。</w:t>
      </w:r>
    </w:p>
    <w:p>
      <w:pPr>
        <w:pStyle w:val="Style12"/>
        <w:numPr>
          <w:ilvl w:val="0"/>
          <w:numId w:val="0"/>
        </w:numPr>
        <w:ind w:start="0" w:firstLine="480"/>
        <w:rPr>
          <w:lang w:eastAsia="zh-CN"/>
        </w:rPr>
      </w:pPr>
      <w:r>
        <w:rPr>
          <w:rFonts w:ascii="SimHei" w:hAnsi="SimHei" w:eastAsia="黑体"/>
          <w:lang w:eastAsia="zh-CN"/>
        </w:rPr>
        <w:t>岗位体系中通过岗位序列进行的岗位分类管理和对人岗匹配的规范，为员工多渠道职业发展和企业内人才流动机制的搭建了体系结构。</w:t>
      </w:r>
    </w:p>
    <w:p>
      <w:pPr>
        <w:pStyle w:val="Style12"/>
        <w:numPr>
          <w:ilvl w:val="0"/>
          <w:numId w:val="0"/>
        </w:numPr>
        <w:ind w:start="0" w:firstLine="480"/>
        <w:rPr>
          <w:color w:val="FF00FF"/>
          <w:lang w:eastAsia="zh-CN"/>
        </w:rPr>
      </w:pPr>
      <w:r>
        <w:rPr>
          <w:rFonts w:ascii="SimHei" w:hAnsi="SimHei" w:eastAsia="黑体"/>
          <w:lang w:eastAsia="zh-CN"/>
        </w:rPr>
        <w:t>某集团岗位体系整体的规范和统一，将为人力资源信息系统提供准确清晰的信息输入。</w:t>
      </w:r>
    </w:p>
    <w:p>
      <w:pPr>
        <w:pStyle w:val="Normal"/>
        <w:jc w:val="both"/>
        <w:rPr>
          <w:rFonts w:ascii="宋体" w:hAnsi="宋体" w:cs="宋体"/>
          <w:b/>
          <w:b/>
          <w:szCs w:val="24"/>
          <w:lang w:eastAsia="zh-CN"/>
        </w:rPr>
      </w:pPr>
      <w:r>
        <w:rPr>
          <w:rFonts w:cs="宋体" w:ascii="SimHei" w:hAnsi="SimHei" w:eastAsia="黑体"/>
          <w:b/>
          <w:szCs w:val="24"/>
          <w:lang w:eastAsia="zh-CN"/>
        </w:rPr>
        <w:t xml:space="preserve">7. </w:t>
      </w:r>
      <w:r>
        <w:rPr>
          <w:rFonts w:ascii="SimHei" w:hAnsi="SimHei" w:cs="宋体" w:eastAsia="黑体"/>
          <w:b/>
          <w:szCs w:val="24"/>
          <w:lang w:eastAsia="zh-CN"/>
        </w:rPr>
        <w:t>岗位管理</w:t>
      </w:r>
    </w:p>
    <w:p>
      <w:pPr>
        <w:pStyle w:val="Style12"/>
        <w:numPr>
          <w:ilvl w:val="0"/>
          <w:numId w:val="0"/>
        </w:numPr>
        <w:ind w:start="0" w:firstLine="360"/>
        <w:rPr>
          <w:rFonts w:ascii="宋体" w:hAnsi="宋体" w:cs="宋体"/>
          <w:lang w:eastAsia="zh-CN"/>
        </w:rPr>
      </w:pPr>
      <w:r>
        <w:rPr>
          <w:rFonts w:ascii="SimHei" w:hAnsi="SimHei" w:cs="宋体" w:eastAsia="黑体"/>
          <w:lang w:eastAsia="zh-CN"/>
        </w:rPr>
        <w:t>与岗位体系的三个元素相对应，某集团的岗位管理包括三个方面：</w:t>
      </w:r>
    </w:p>
    <w:p>
      <w:pPr>
        <w:pStyle w:val="Style12"/>
        <w:numPr>
          <w:ilvl w:val="0"/>
          <w:numId w:val="8"/>
        </w:numPr>
        <w:tabs>
          <w:tab w:val="left" w:pos="360" w:leader="none"/>
          <w:tab w:val="left" w:pos="1080" w:leader="none"/>
        </w:tabs>
        <w:rPr>
          <w:rFonts w:ascii="宋体" w:hAnsi="宋体" w:cs="宋体"/>
          <w:lang w:eastAsia="zh-CN"/>
        </w:rPr>
      </w:pPr>
      <w:r>
        <w:rPr>
          <w:rFonts w:ascii="SimHei" w:hAnsi="SimHei" w:cs="宋体" w:eastAsia="黑体"/>
          <w:lang w:eastAsia="zh-CN"/>
        </w:rPr>
        <w:t>岗位设置管理：通过对岗位设置进行规范，体现对岗位工作内容的管理；</w:t>
      </w:r>
    </w:p>
    <w:p>
      <w:pPr>
        <w:pStyle w:val="Style12"/>
        <w:numPr>
          <w:ilvl w:val="0"/>
          <w:numId w:val="8"/>
        </w:numPr>
        <w:tabs>
          <w:tab w:val="left" w:pos="360" w:leader="none"/>
          <w:tab w:val="left" w:pos="1080" w:leader="none"/>
        </w:tabs>
        <w:rPr>
          <w:lang w:eastAsia="zh-CN"/>
        </w:rPr>
      </w:pPr>
      <w:r>
        <w:rPr>
          <w:rFonts w:ascii="SimHei" w:hAnsi="SimHei" w:cs="宋体" w:eastAsia="黑体"/>
          <w:lang w:eastAsia="zh-CN"/>
        </w:rPr>
        <w:t>岗位等级管理：</w:t>
      </w:r>
      <w:r>
        <w:rPr>
          <w:rFonts w:ascii="SimHei" w:hAnsi="SimHei" w:eastAsia="黑体"/>
          <w:lang w:eastAsia="zh-CN"/>
        </w:rPr>
        <w:t>规范后的岗位内容决定了岗位在组织中的相对价值，并通过岗位评估形成整体职级结构，从而实现对岗位价值的管理；</w:t>
      </w:r>
    </w:p>
    <w:p>
      <w:pPr>
        <w:pStyle w:val="Style12"/>
        <w:numPr>
          <w:ilvl w:val="0"/>
          <w:numId w:val="8"/>
        </w:numPr>
        <w:tabs>
          <w:tab w:val="left" w:pos="360" w:leader="none"/>
          <w:tab w:val="left" w:pos="1080" w:leader="none"/>
        </w:tabs>
        <w:rPr>
          <w:lang w:eastAsia="zh-CN"/>
        </w:rPr>
      </w:pPr>
      <w:r>
        <w:rPr>
          <w:rFonts w:ascii="SimHei" w:hAnsi="SimHei" w:eastAsia="黑体"/>
          <w:lang w:eastAsia="zh-CN"/>
        </w:rPr>
        <w:t>岗位序列管理：通过对岗位类别进行划分，从而可以实现对岗位进行分类管理。</w:t>
      </w:r>
    </w:p>
    <w:p>
      <w:pPr>
        <w:pStyle w:val="Style12"/>
        <w:numPr>
          <w:ilvl w:val="0"/>
          <w:numId w:val="0"/>
        </w:numPr>
        <w:ind w:start="0" w:firstLine="480"/>
        <w:rPr>
          <w:lang w:eastAsia="zh-CN"/>
        </w:rPr>
      </w:pPr>
      <w:r>
        <w:rPr>
          <w:rFonts w:ascii="SimHei" w:hAnsi="SimHei" w:eastAsia="黑体"/>
          <w:lang w:eastAsia="zh-CN"/>
        </w:rPr>
        <w:t>本制度中对岗位体系进行管理的方法和流程主要针对岗位的设置管理和岗位等级的管理。某集团相关制度文件。</w:t>
      </w:r>
    </w:p>
    <w:p>
      <w:pPr>
        <w:pStyle w:val="Normal"/>
        <w:jc w:val="both"/>
        <w:rPr>
          <w:rFonts w:ascii="宋体" w:hAnsi="宋体" w:cs="宋体"/>
          <w:szCs w:val="24"/>
          <w:lang w:eastAsia="zh-CN"/>
        </w:rPr>
      </w:pPr>
      <w:r>
        <w:rPr>
          <w:rFonts w:cs="宋体" w:ascii="SimHei" w:hAnsi="SimHei" w:eastAsia="黑体"/>
          <w:szCs w:val="24"/>
          <w:lang w:eastAsia="zh-CN"/>
        </w:rPr>
      </w:r>
    </w:p>
    <w:p>
      <w:pPr>
        <w:pStyle w:val="SectionStart"/>
        <w:numPr>
          <w:ilvl w:val="0"/>
          <w:numId w:val="9"/>
        </w:numPr>
        <w:shd w:fill="CCCCCC" w:val="clear"/>
        <w:tabs>
          <w:tab w:val="left" w:pos="360" w:leader="none"/>
          <w:tab w:val="left" w:pos="644" w:leader="none"/>
          <w:tab w:val="left" w:pos="1800" w:leader="none"/>
        </w:tabs>
        <w:ind w:start="644" w:end="6867" w:hanging="360"/>
        <w:rPr>
          <w:rFonts w:ascii="宋体" w:hAnsi="宋体" w:cs="宋体"/>
          <w:szCs w:val="24"/>
          <w:lang w:val="en-US" w:eastAsia="zh-CN"/>
        </w:rPr>
      </w:pPr>
      <w:r>
        <w:rPr>
          <w:rFonts w:cs="宋体" w:ascii="SimHei" w:hAnsi="SimHei" w:eastAsia="黑体"/>
          <w:szCs w:val="24"/>
          <w:lang w:val="en-US" w:eastAsia="zh-CN"/>
        </w:rPr>
      </w:r>
    </w:p>
    <w:p>
      <w:pPr>
        <w:pStyle w:val="Heading1"/>
        <w:numPr>
          <w:ilvl w:val="0"/>
          <w:numId w:val="0"/>
        </w:numPr>
        <w:ind w:start="0" w:hanging="0"/>
        <w:rPr>
          <w:rFonts w:ascii="宋体" w:hAnsi="宋体" w:cs="宋体"/>
          <w:b/>
          <w:b/>
          <w:lang w:eastAsia="zh-CN"/>
        </w:rPr>
      </w:pPr>
      <w:bookmarkStart w:id="8" w:name="__RefHeading___Toc142984673"/>
      <w:bookmarkEnd w:id="8"/>
      <w:r>
        <w:rPr>
          <w:rFonts w:ascii="SimHei" w:hAnsi="SimHei" w:cs="宋体" w:eastAsia="黑体"/>
          <w:b/>
          <w:lang w:eastAsia="zh-CN"/>
        </w:rPr>
        <w:t>省市分公司岗位管理流程</w:t>
      </w:r>
    </w:p>
    <w:p>
      <w:pPr>
        <w:pStyle w:val="Style12"/>
        <w:numPr>
          <w:ilvl w:val="0"/>
          <w:numId w:val="0"/>
        </w:numPr>
        <w:ind w:start="0" w:firstLine="480"/>
        <w:rPr>
          <w:lang w:eastAsia="zh-CN"/>
        </w:rPr>
      </w:pPr>
      <w:r>
        <w:rPr>
          <w:rFonts w:ascii="SimHei" w:hAnsi="SimHei" w:eastAsia="黑体"/>
          <w:lang w:eastAsia="zh-CN"/>
        </w:rPr>
        <w:t>在集团各部门或各分支机构完成了岗位体系的初始化之后，进入了岗位体系稳定运行的阶段。随着自身业务发展变化和人员能力发展的需要，省市分公司需要重新审视现有岗位设置，将会面临新增岗位、岗位职责变动、和原有岗位撤销的情况。各级分公司需要分析岗位变动的具体情景，某集团的基准岗位设置及其职级体系，某集团人力资源部，确定变动后岗位的设置和岗位职级，以及在岗位序列中所处的职业层级。</w:t>
      </w:r>
    </w:p>
    <w:p>
      <w:pPr>
        <w:pStyle w:val="Heading2"/>
        <w:rPr>
          <w:rFonts w:ascii="宋体" w:hAnsi="宋体" w:cs="宋体"/>
          <w:b/>
          <w:b/>
          <w:sz w:val="24"/>
          <w:szCs w:val="24"/>
          <w:lang w:val="en-US" w:eastAsia="zh-CN"/>
        </w:rPr>
      </w:pPr>
      <w:bookmarkStart w:id="9" w:name="__RefHeading___Toc142984674"/>
      <w:bookmarkEnd w:id="9"/>
      <w:r>
        <w:rPr>
          <w:rFonts w:cs="宋体" w:ascii="SimHei" w:hAnsi="SimHei" w:eastAsia="黑体"/>
          <w:b/>
          <w:sz w:val="24"/>
          <w:szCs w:val="24"/>
          <w:lang w:val="en-US" w:eastAsia="zh-CN"/>
        </w:rPr>
        <w:t>4</w:t>
      </w:r>
      <w:r>
        <w:rPr>
          <w:rFonts w:ascii="SimHei" w:hAnsi="SimHei" w:cs="宋体" w:eastAsia="黑体"/>
          <w:b/>
          <w:sz w:val="24"/>
          <w:szCs w:val="24"/>
          <w:lang w:val="en-US" w:eastAsia="zh-CN"/>
        </w:rPr>
        <w:t>．</w:t>
      </w:r>
      <w:r>
        <w:rPr>
          <w:rFonts w:cs="宋体" w:ascii="SimHei" w:hAnsi="SimHei" w:eastAsia="黑体"/>
          <w:b/>
          <w:sz w:val="24"/>
          <w:szCs w:val="24"/>
          <w:lang w:val="en-US" w:eastAsia="zh-CN"/>
        </w:rPr>
        <w:t xml:space="preserve">1 </w:t>
      </w:r>
      <w:r>
        <w:rPr>
          <w:rFonts w:ascii="SimHei" w:hAnsi="SimHei" w:cs="宋体" w:eastAsia="黑体"/>
          <w:b/>
          <w:sz w:val="24"/>
          <w:szCs w:val="24"/>
          <w:lang w:val="en-US" w:eastAsia="zh-CN"/>
        </w:rPr>
        <w:t>省市分公司岗位管理流程</w:t>
      </w:r>
      <w:r>
        <w:rPr>
          <w:rFonts w:cs="宋体" w:ascii="SimHei" w:hAnsi="SimHei" w:eastAsia="黑体"/>
          <w:b/>
          <w:sz w:val="24"/>
          <w:szCs w:val="24"/>
          <w:lang w:val="en-US" w:eastAsia="zh-CN"/>
        </w:rPr>
        <w:t>:</w:t>
      </w:r>
    </w:p>
    <w:p>
      <w:pPr>
        <w:pStyle w:val="Normal"/>
        <w:rPr>
          <w:rFonts w:ascii="宋体" w:hAnsi="宋体" w:cs="宋体"/>
          <w:b/>
          <w:b/>
          <w:sz w:val="23"/>
          <w:szCs w:val="23"/>
          <w:lang w:val="en-US" w:eastAsia="zh-CN"/>
        </w:rPr>
      </w:pPr>
      <w:r>
        <w:rPr>
          <w:rFonts w:cs="宋体" w:ascii="SimHei" w:hAnsi="SimHei" w:eastAsia="黑体"/>
          <w:b/>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Normal"/>
        <w:rPr>
          <w:rFonts w:ascii="宋体" w:hAnsi="宋体" w:cs="宋体"/>
          <w:sz w:val="23"/>
          <w:szCs w:val="23"/>
          <w:lang w:val="en-US" w:eastAsia="zh-CN"/>
        </w:rPr>
      </w:pPr>
      <w:r>
        <w:rPr>
          <w:rFonts w:cs="宋体" w:ascii="SimHei" w:hAnsi="SimHei" w:eastAsia="黑体"/>
          <w:sz w:val="23"/>
          <w:szCs w:val="23"/>
          <w:lang w:val="en-US" w:eastAsia="zh-CN"/>
        </w:rPr>
      </w:r>
    </w:p>
    <w:p>
      <w:pPr>
        <w:pStyle w:val="Heading2"/>
        <w:jc w:val="both"/>
        <w:rPr>
          <w:rFonts w:ascii="宋体" w:hAnsi="宋体" w:cs="宋体"/>
          <w:b/>
          <w:b/>
          <w:sz w:val="24"/>
          <w:lang w:val="en-US" w:eastAsia="zh-CN"/>
        </w:rPr>
      </w:pPr>
      <w:bookmarkStart w:id="10" w:name="__RefHeading___Toc142984675"/>
      <w:bookmarkEnd w:id="10"/>
      <w:r>
        <w:rPr>
          <w:rFonts w:cs="宋体" w:ascii="SimHei" w:hAnsi="SimHei" w:eastAsia="黑体"/>
          <w:b/>
          <w:sz w:val="24"/>
          <w:lang w:val="en-US" w:eastAsia="zh-CN"/>
        </w:rPr>
        <w:t>4</w:t>
      </w:r>
      <w:r>
        <w:rPr>
          <w:rFonts w:ascii="SimHei" w:hAnsi="SimHei" w:cs="宋体" w:eastAsia="黑体"/>
          <w:b/>
          <w:sz w:val="24"/>
          <w:lang w:val="en-US" w:eastAsia="zh-CN"/>
        </w:rPr>
        <w:t>．</w:t>
      </w:r>
      <w:r>
        <w:rPr>
          <w:rFonts w:cs="宋体" w:ascii="SimHei" w:hAnsi="SimHei" w:eastAsia="黑体"/>
          <w:b/>
          <w:sz w:val="24"/>
          <w:lang w:val="en-US" w:eastAsia="zh-CN"/>
        </w:rPr>
        <w:t xml:space="preserve">2 </w:t>
      </w:r>
      <w:r>
        <w:rPr>
          <w:rFonts w:ascii="SimHei" w:hAnsi="SimHei" w:cs="宋体" w:eastAsia="黑体"/>
          <w:b/>
          <w:sz w:val="24"/>
          <w:lang w:val="en-US" w:eastAsia="zh-CN"/>
        </w:rPr>
        <w:t>省市分公司岗位管理流程步骤说明</w:t>
      </w:r>
    </w:p>
    <w:p>
      <w:pPr>
        <w:pStyle w:val="2"/>
        <w:rPr>
          <w:rFonts w:ascii="宋体" w:hAnsi="宋体" w:cs="宋体"/>
          <w:b/>
          <w:b/>
          <w:lang w:val="en-US" w:eastAsia="zh-CN"/>
        </w:rPr>
      </w:pPr>
      <w:r>
        <w:rPr>
          <w:rFonts w:ascii="SimHei" w:hAnsi="SimHei" w:cs="宋体" w:eastAsia="黑体"/>
          <w:b/>
          <w:lang w:val="en-US" w:eastAsia="zh-CN"/>
        </w:rPr>
        <w:t>步骤一：业务部门提出岗位设置或变动的需求</w:t>
      </w:r>
    </w:p>
    <w:p>
      <w:pPr>
        <w:pStyle w:val="Style12"/>
        <w:numPr>
          <w:ilvl w:val="0"/>
          <w:numId w:val="0"/>
        </w:numPr>
        <w:ind w:start="0" w:firstLine="480"/>
        <w:rPr>
          <w:lang w:eastAsia="zh-CN"/>
        </w:rPr>
      </w:pPr>
      <w:r>
        <w:rPr>
          <w:rFonts w:ascii="SimHei" w:hAnsi="SimHei" w:eastAsia="黑体"/>
          <w:lang w:eastAsia="zh-CN"/>
        </w:rPr>
        <w:t>省市分公司自身岗位与职级的修正、变更由业务部门提出。业务部门根据自身的业务发展和人员发展情况，审视目前的岗位设置，找出需要更新或者变动的岗位，这种更新或者变动主要包括三个方面：</w:t>
      </w:r>
    </w:p>
    <w:p>
      <w:pPr>
        <w:pStyle w:val="Style12"/>
        <w:numPr>
          <w:ilvl w:val="6"/>
          <w:numId w:val="7"/>
        </w:numPr>
        <w:tabs>
          <w:tab w:val="left" w:pos="360" w:leader="none"/>
          <w:tab w:val="left" w:pos="720" w:leader="none"/>
        </w:tabs>
        <w:rPr>
          <w:lang w:eastAsia="zh-CN"/>
        </w:rPr>
      </w:pPr>
      <w:r>
        <w:rPr>
          <w:rFonts w:ascii="SimHei" w:hAnsi="SimHei" w:eastAsia="黑体"/>
          <w:lang w:eastAsia="zh-CN"/>
        </w:rPr>
        <w:t>伴随业务发展出现新的工作职责和任务，且工作量饱满，符合岗位设置的原则，需要新增岗位，业务部门需要确定新增岗位名称、工作职责定位、任职资格要求、所归属的专业岗位序列；</w:t>
      </w:r>
    </w:p>
    <w:p>
      <w:pPr>
        <w:pStyle w:val="Style12"/>
        <w:numPr>
          <w:ilvl w:val="6"/>
          <w:numId w:val="7"/>
        </w:numPr>
        <w:tabs>
          <w:tab w:val="left" w:pos="360" w:leader="none"/>
          <w:tab w:val="left" w:pos="720" w:leader="none"/>
        </w:tabs>
        <w:rPr>
          <w:lang w:eastAsia="zh-CN"/>
        </w:rPr>
      </w:pPr>
      <w:r>
        <w:rPr>
          <w:rFonts w:ascii="SimHei" w:hAnsi="SimHei" w:eastAsia="黑体"/>
          <w:lang w:eastAsia="zh-CN"/>
        </w:rPr>
        <w:t>伴随业务发展出现工作职责和任务发生部分变化，但岗位内容变化的部分不足以独立设置新岗位，需要对原有岗位职责分配等内容作出调整，包括需要重新确定岗位名称、工作职责描述、任职资格要求、所归属的专业岗位序列；</w:t>
      </w:r>
    </w:p>
    <w:p>
      <w:pPr>
        <w:pStyle w:val="Style12"/>
        <w:numPr>
          <w:ilvl w:val="6"/>
          <w:numId w:val="7"/>
        </w:numPr>
        <w:tabs>
          <w:tab w:val="left" w:pos="360" w:leader="none"/>
          <w:tab w:val="left" w:pos="720" w:leader="none"/>
        </w:tabs>
        <w:rPr>
          <w:lang w:eastAsia="zh-CN"/>
        </w:rPr>
      </w:pPr>
      <w:r>
        <w:rPr>
          <w:rFonts w:ascii="SimHei" w:hAnsi="SimHei" w:eastAsia="黑体"/>
          <w:lang w:eastAsia="zh-CN"/>
        </w:rPr>
        <w:t>如果某些岗位设置不再符合业务发展和人员发展的需要，业务部门需要提出取消现有岗位的要求。</w:t>
      </w:r>
    </w:p>
    <w:p>
      <w:pPr>
        <w:pStyle w:val="2"/>
        <w:ind w:start="992" w:hanging="992"/>
        <w:rPr>
          <w:rFonts w:ascii="宋体" w:hAnsi="宋体" w:cs="宋体"/>
          <w:b/>
          <w:b/>
          <w:lang w:val="en-US" w:eastAsia="zh-CN"/>
        </w:rPr>
      </w:pPr>
      <w:r>
        <w:rPr>
          <w:rFonts w:ascii="SimHei" w:hAnsi="SimHei" w:cs="宋体" w:eastAsia="黑体"/>
          <w:b/>
          <w:lang w:val="en-US" w:eastAsia="zh-CN"/>
        </w:rPr>
        <w:t>步骤二：人力资源部与业务部门共同确定变动的岗位是否可以纳入基准岗位的管理范畴</w:t>
      </w:r>
    </w:p>
    <w:p>
      <w:pPr>
        <w:pStyle w:val="Style12"/>
        <w:numPr>
          <w:ilvl w:val="0"/>
          <w:numId w:val="0"/>
        </w:numPr>
        <w:ind w:start="0" w:firstLine="480"/>
        <w:rPr>
          <w:lang w:eastAsia="zh-CN"/>
        </w:rPr>
      </w:pPr>
      <w:r>
        <w:rPr>
          <w:rFonts w:ascii="SimHei" w:hAnsi="SimHei" w:eastAsia="黑体"/>
          <w:lang w:eastAsia="zh-CN"/>
        </w:rPr>
        <w:t>省市分公司人力资源部在接到业务部门的岗位变动要求后，需要组织业务部门的专家共同进行岗位变动的讨论，以验证岗位变更要求的必要性。业务部门需要提出明确的例证、或清晰地说明岗位调整要求的具体情况。</w:t>
      </w:r>
    </w:p>
    <w:p>
      <w:pPr>
        <w:pStyle w:val="Style12"/>
        <w:numPr>
          <w:ilvl w:val="0"/>
          <w:numId w:val="0"/>
        </w:numPr>
        <w:ind w:start="0" w:firstLine="480"/>
        <w:rPr>
          <w:lang w:eastAsia="zh-CN"/>
        </w:rPr>
      </w:pPr>
      <w:r>
        <w:rPr>
          <w:rFonts w:ascii="SimHei" w:hAnsi="SimHei" w:eastAsia="黑体"/>
          <w:lang w:eastAsia="zh-CN"/>
        </w:rPr>
        <w:t>业务部门专家和人力资源部分析岗位变动的具体情况，当岗位变动属于步骤一中第</w:t>
      </w:r>
      <w:r>
        <w:rPr>
          <w:rFonts w:ascii="SimHei" w:hAnsi="SimHei" w:eastAsia="黑体"/>
          <w:lang w:eastAsia="zh-CN"/>
        </w:rPr>
        <w:t>1</w:t>
      </w:r>
      <w:r>
        <w:rPr>
          <w:rFonts w:ascii="SimHei" w:hAnsi="SimHei" w:eastAsia="黑体"/>
          <w:lang w:eastAsia="zh-CN"/>
        </w:rPr>
        <w:t>）种或第</w:t>
      </w:r>
      <w:r>
        <w:rPr>
          <w:rFonts w:ascii="SimHei" w:hAnsi="SimHei" w:eastAsia="黑体"/>
          <w:lang w:eastAsia="zh-CN"/>
        </w:rPr>
        <w:t>2</w:t>
      </w:r>
      <w:r>
        <w:rPr>
          <w:rFonts w:ascii="SimHei" w:hAnsi="SimHei" w:eastAsia="黑体"/>
          <w:lang w:eastAsia="zh-CN"/>
        </w:rPr>
        <w:t>）种情况时，需要按照《中国网通岗位体系套入实施办法》，将调整后的岗位与基准岗位进行对照套入，验证是否能够纳入基准岗位的管理范畴。当岗位变动属于步骤一中第</w:t>
      </w:r>
      <w:r>
        <w:rPr>
          <w:rFonts w:ascii="SimHei" w:hAnsi="SimHei" w:eastAsia="黑体"/>
          <w:lang w:eastAsia="zh-CN"/>
        </w:rPr>
        <w:t>3</w:t>
      </w:r>
      <w:r>
        <w:rPr>
          <w:rFonts w:ascii="SimHei" w:hAnsi="SimHei" w:eastAsia="黑体"/>
          <w:lang w:eastAsia="zh-CN"/>
        </w:rPr>
        <w:t>）种情况时，业务部门专家和人力资源部需要通过共同分析论证，确定是否取消岗位的决定，某集团人力资源部批准备案。</w:t>
      </w:r>
    </w:p>
    <w:p>
      <w:pPr>
        <w:pStyle w:val="2"/>
        <w:ind w:firstLine="480"/>
        <w:rPr>
          <w:lang w:eastAsia="zh-CN"/>
        </w:rPr>
      </w:pPr>
      <w:r>
        <w:rPr>
          <w:rFonts w:ascii="SimHei" w:hAnsi="SimHei" w:eastAsia="黑体"/>
          <w:lang w:eastAsia="zh-CN"/>
        </w:rPr>
        <w:t>当变动后的岗位可以按照基准岗位进行套入时，人力资源部和业务部门专家共同确认的岗位修订意见。在决定新的岗位设置之后，必须对岗位的价值等级进行确定，由于此类岗位可以在基准岗位中找到对应的岗位，可以直接根据基准岗位的等级范围确定岗位等级，某集团人力资源部批准备案</w:t>
      </w:r>
    </w:p>
    <w:p>
      <w:pPr>
        <w:pStyle w:val="Style12"/>
        <w:numPr>
          <w:ilvl w:val="0"/>
          <w:numId w:val="0"/>
        </w:numPr>
        <w:ind w:start="0" w:firstLine="480"/>
        <w:rPr>
          <w:lang w:eastAsia="zh-CN"/>
        </w:rPr>
      </w:pPr>
      <w:r>
        <w:rPr>
          <w:rFonts w:ascii="SimHei" w:hAnsi="SimHei" w:eastAsia="黑体"/>
          <w:lang w:eastAsia="zh-CN"/>
        </w:rPr>
        <w:t>当变动后的岗位不能纳入基准岗位体系的管理范畴时，需要进入岗位管理的步骤三进行判断。</w:t>
      </w:r>
    </w:p>
    <w:p>
      <w:pPr>
        <w:pStyle w:val="2"/>
        <w:ind w:start="992" w:hanging="992"/>
        <w:rPr>
          <w:rFonts w:ascii="宋体" w:hAnsi="宋体" w:cs="宋体"/>
          <w:b/>
          <w:b/>
          <w:lang w:val="en-US" w:eastAsia="zh-CN"/>
        </w:rPr>
      </w:pPr>
      <w:r>
        <w:rPr>
          <w:rFonts w:ascii="SimHei" w:hAnsi="SimHei" w:cs="宋体" w:eastAsia="黑体"/>
          <w:b/>
          <w:lang w:val="en-US" w:eastAsia="zh-CN"/>
        </w:rPr>
        <w:t>步骤三：人力资源部与业务部门共同确定变动的岗位是否属于分层设岗</w:t>
      </w:r>
    </w:p>
    <w:p>
      <w:pPr>
        <w:pStyle w:val="Style12"/>
        <w:numPr>
          <w:ilvl w:val="0"/>
          <w:numId w:val="0"/>
        </w:numPr>
        <w:ind w:start="0" w:firstLine="480"/>
        <w:rPr>
          <w:lang w:val="en-US" w:eastAsia="zh-CN"/>
        </w:rPr>
      </w:pPr>
      <w:r>
        <w:rPr>
          <w:rFonts w:ascii="SimHei" w:hAnsi="SimHei" w:eastAsia="黑体"/>
          <w:lang w:eastAsia="zh-CN"/>
        </w:rPr>
        <w:t>当变动的岗位经过基准岗位套入证明不能纳入基准体系进行管理时，人力</w:t>
      </w:r>
      <w:r>
        <w:rPr>
          <w:rFonts w:ascii="SimHei" w:hAnsi="SimHei" w:eastAsia="黑体"/>
          <w:lang w:val="en-US" w:eastAsia="zh-CN"/>
        </w:rPr>
        <w:t>资源部与业务部门需要共同确定该岗位是否属于分层设岗的情况。</w:t>
      </w:r>
    </w:p>
    <w:p>
      <w:pPr>
        <w:pStyle w:val="Style12"/>
        <w:numPr>
          <w:ilvl w:val="0"/>
          <w:numId w:val="0"/>
        </w:numPr>
        <w:ind w:start="0" w:firstLine="480"/>
        <w:rPr>
          <w:lang w:eastAsia="zh-CN"/>
        </w:rPr>
      </w:pPr>
      <w:r>
        <w:rPr>
          <w:rFonts w:ascii="SimHei" w:hAnsi="SimHei" w:eastAsia="黑体"/>
          <w:lang w:eastAsia="zh-CN"/>
        </w:rPr>
        <w:t>在现实运作中一个基准岗位可能衍生出工作职责和活动相似，但是层次不同的岗位，表现为：权限、工作产出要求、解决问题难易、任职资格的不同。对此类岗位，省分公司可以分层设岗。但分层设岗出了遵循岗位设置原则之外，还必须满足以下要求：</w:t>
      </w:r>
    </w:p>
    <w:p>
      <w:pPr>
        <w:pStyle w:val="2"/>
        <w:numPr>
          <w:ilvl w:val="6"/>
          <w:numId w:val="12"/>
        </w:numPr>
        <w:rPr>
          <w:lang w:eastAsia="zh-CN"/>
        </w:rPr>
      </w:pPr>
      <w:r>
        <w:rPr>
          <w:rFonts w:ascii="SimHei" w:hAnsi="SimHei" w:eastAsia="黑体"/>
          <w:lang w:eastAsia="zh-CN"/>
        </w:rPr>
        <w:t>职数控制比例允许，分层设岗是自设岗位的范畴，属于基准岗位套入中</w:t>
      </w:r>
      <w:r>
        <w:rPr>
          <w:rFonts w:ascii="SimHei" w:hAnsi="SimHei" w:eastAsia="黑体"/>
          <w:lang w:eastAsia="zh-CN"/>
        </w:rPr>
        <w:t>D</w:t>
      </w:r>
      <w:r>
        <w:rPr>
          <w:rFonts w:ascii="SimHei" w:hAnsi="SimHei" w:eastAsia="黑体"/>
          <w:lang w:eastAsia="zh-CN"/>
        </w:rPr>
        <w:t>类岗位所限定的</w:t>
      </w:r>
      <w:r>
        <w:rPr>
          <w:rFonts w:ascii="SimHei" w:hAnsi="SimHei" w:eastAsia="黑体"/>
          <w:lang w:eastAsia="zh-CN"/>
        </w:rPr>
        <w:t>10%</w:t>
      </w:r>
      <w:r>
        <w:rPr>
          <w:rFonts w:ascii="SimHei" w:hAnsi="SimHei" w:eastAsia="黑体"/>
          <w:lang w:eastAsia="zh-CN"/>
        </w:rPr>
        <w:t>的比例内的岗位；</w:t>
      </w:r>
    </w:p>
    <w:p>
      <w:pPr>
        <w:pStyle w:val="2"/>
        <w:numPr>
          <w:ilvl w:val="6"/>
          <w:numId w:val="7"/>
        </w:numPr>
        <w:rPr>
          <w:lang w:eastAsia="zh-CN"/>
        </w:rPr>
      </w:pPr>
      <w:r>
        <w:rPr>
          <w:rFonts w:ascii="SimHei" w:hAnsi="SimHei" w:eastAsia="黑体"/>
          <w:lang w:eastAsia="zh-CN"/>
        </w:rPr>
        <w:t>设岗后的工作职责、工作产出可以与原有岗位有明确的区分，并且形成岗位说明书；</w:t>
      </w:r>
    </w:p>
    <w:p>
      <w:pPr>
        <w:pStyle w:val="2"/>
        <w:numPr>
          <w:ilvl w:val="6"/>
          <w:numId w:val="7"/>
        </w:numPr>
        <w:rPr>
          <w:lang w:eastAsia="zh-CN"/>
        </w:rPr>
      </w:pPr>
      <w:r>
        <w:rPr>
          <w:rFonts w:ascii="SimHei" w:hAnsi="SimHei" w:eastAsia="黑体"/>
          <w:lang w:eastAsia="zh-CN"/>
        </w:rPr>
        <w:t>设立的岗位不能空置；</w:t>
      </w:r>
    </w:p>
    <w:p>
      <w:pPr>
        <w:pStyle w:val="2"/>
        <w:numPr>
          <w:ilvl w:val="6"/>
          <w:numId w:val="7"/>
        </w:numPr>
        <w:rPr>
          <w:lang w:eastAsia="zh-CN"/>
        </w:rPr>
      </w:pPr>
      <w:r>
        <w:rPr>
          <w:rFonts w:ascii="SimHei" w:hAnsi="SimHei" w:eastAsia="黑体"/>
          <w:lang w:eastAsia="zh-CN"/>
        </w:rPr>
        <w:t>序列层级为</w:t>
      </w:r>
      <w:r>
        <w:rPr>
          <w:rFonts w:ascii="SimHei" w:hAnsi="SimHei" w:eastAsia="黑体"/>
          <w:lang w:eastAsia="zh-CN"/>
        </w:rPr>
        <w:t>W</w:t>
      </w:r>
      <w:r>
        <w:rPr>
          <w:rFonts w:ascii="SimHei" w:hAnsi="SimHei" w:eastAsia="黑体"/>
          <w:lang w:eastAsia="zh-CN"/>
        </w:rPr>
        <w:t>的岗位原则上不能分层；</w:t>
      </w:r>
    </w:p>
    <w:p>
      <w:pPr>
        <w:pStyle w:val="2"/>
        <w:numPr>
          <w:ilvl w:val="6"/>
          <w:numId w:val="7"/>
        </w:numPr>
        <w:rPr>
          <w:lang w:eastAsia="zh-CN"/>
        </w:rPr>
      </w:pPr>
      <w:r>
        <w:rPr>
          <w:rFonts w:ascii="SimHei" w:hAnsi="SimHei" w:eastAsia="黑体"/>
          <w:lang w:eastAsia="zh-CN"/>
        </w:rPr>
        <w:t>序列层级为</w:t>
      </w:r>
      <w:r>
        <w:rPr>
          <w:rFonts w:ascii="SimHei" w:hAnsi="SimHei" w:eastAsia="黑体"/>
          <w:lang w:eastAsia="zh-CN"/>
        </w:rPr>
        <w:t>T</w:t>
      </w:r>
      <w:r>
        <w:rPr>
          <w:rFonts w:ascii="SimHei" w:hAnsi="SimHei" w:eastAsia="黑体"/>
          <w:lang w:eastAsia="zh-CN"/>
        </w:rPr>
        <w:t>的岗位可以分层设岗，但是新设岗的最高级别不能超过该序列的最高级别；专业岗位的级别不能高于所在组织负责人的级别。</w:t>
      </w:r>
    </w:p>
    <w:p>
      <w:pPr>
        <w:pStyle w:val="Style12"/>
        <w:numPr>
          <w:ilvl w:val="0"/>
          <w:numId w:val="0"/>
        </w:numPr>
        <w:ind w:start="0" w:firstLine="480"/>
        <w:rPr>
          <w:lang w:eastAsia="zh-CN"/>
        </w:rPr>
      </w:pPr>
      <w:r>
        <w:rPr>
          <w:rFonts w:ascii="SimHei" w:hAnsi="SimHei" w:eastAsia="黑体"/>
          <w:lang w:eastAsia="zh-CN"/>
        </w:rPr>
        <w:t>如果判定岗位设置属于分层设岗，且符合上述原则，那么流程可以进入步骤四进行下一步判断。</w:t>
      </w:r>
    </w:p>
    <w:p>
      <w:pPr>
        <w:pStyle w:val="Style12"/>
        <w:numPr>
          <w:ilvl w:val="0"/>
          <w:numId w:val="0"/>
        </w:numPr>
        <w:ind w:start="0" w:firstLine="480"/>
        <w:rPr>
          <w:lang w:eastAsia="zh-CN"/>
        </w:rPr>
      </w:pPr>
      <w:r>
        <w:rPr>
          <w:rFonts w:ascii="SimHei" w:hAnsi="SimHei" w:eastAsia="黑体"/>
          <w:lang w:eastAsia="zh-CN"/>
        </w:rPr>
        <w:t>如果判定岗位设置不属于分层设岗的范畴，那么流程进入步骤五进行另一种判断和处理。</w:t>
      </w:r>
    </w:p>
    <w:p>
      <w:pPr>
        <w:pStyle w:val="2"/>
        <w:ind w:start="992" w:hanging="992"/>
        <w:rPr>
          <w:rFonts w:ascii="宋体" w:hAnsi="宋体" w:cs="宋体"/>
          <w:b/>
          <w:b/>
          <w:lang w:val="en-US" w:eastAsia="zh-CN"/>
        </w:rPr>
      </w:pPr>
      <w:r>
        <w:rPr>
          <w:rFonts w:ascii="SimHei" w:hAnsi="SimHei" w:cs="宋体" w:eastAsia="黑体"/>
          <w:b/>
          <w:lang w:val="en-US" w:eastAsia="zh-CN"/>
        </w:rPr>
        <w:t>步骤四：人力资源部判断变动的岗位是否属于</w:t>
      </w:r>
      <w:r>
        <w:rPr>
          <w:rFonts w:cs="宋体" w:ascii="SimHei" w:hAnsi="SimHei" w:eastAsia="黑体"/>
          <w:b/>
          <w:lang w:val="en-US" w:eastAsia="zh-CN"/>
        </w:rPr>
        <w:t>T4/T5</w:t>
      </w:r>
      <w:r>
        <w:rPr>
          <w:rFonts w:ascii="SimHei" w:hAnsi="SimHei" w:cs="宋体" w:eastAsia="黑体"/>
          <w:b/>
          <w:lang w:val="en-US" w:eastAsia="zh-CN"/>
        </w:rPr>
        <w:t>层级：</w:t>
      </w:r>
    </w:p>
    <w:p>
      <w:pPr>
        <w:pStyle w:val="Style12"/>
        <w:numPr>
          <w:ilvl w:val="0"/>
          <w:numId w:val="0"/>
        </w:numPr>
        <w:ind w:start="0" w:firstLine="480"/>
        <w:rPr>
          <w:lang w:eastAsia="zh-CN"/>
        </w:rPr>
      </w:pPr>
      <w:r>
        <w:rPr>
          <w:rFonts w:ascii="SimHei" w:hAnsi="SimHei" w:eastAsia="黑体"/>
          <w:lang w:eastAsia="zh-CN"/>
        </w:rPr>
        <w:t>在业务部门提出的岗位设置属于分层设岗的情况下，人力资源部需要判断该岗位是否属于其所在专业序列中的高层级岗位，即</w:t>
      </w:r>
      <w:r>
        <w:rPr>
          <w:rFonts w:ascii="SimHei" w:hAnsi="SimHei" w:eastAsia="黑体"/>
          <w:lang w:eastAsia="zh-CN"/>
        </w:rPr>
        <w:t>T4</w:t>
      </w:r>
      <w:r>
        <w:rPr>
          <w:rFonts w:ascii="SimHei" w:hAnsi="SimHei" w:eastAsia="黑体"/>
          <w:lang w:eastAsia="zh-CN"/>
        </w:rPr>
        <w:t>或</w:t>
      </w:r>
      <w:r>
        <w:rPr>
          <w:rFonts w:ascii="SimHei" w:hAnsi="SimHei" w:eastAsia="黑体"/>
          <w:lang w:eastAsia="zh-CN"/>
        </w:rPr>
        <w:t>T5</w:t>
      </w:r>
      <w:r>
        <w:rPr>
          <w:rFonts w:ascii="SimHei" w:hAnsi="SimHei" w:eastAsia="黑体"/>
          <w:lang w:eastAsia="zh-CN"/>
        </w:rPr>
        <w:t>层级的岗位。</w:t>
      </w:r>
    </w:p>
    <w:p>
      <w:pPr>
        <w:pStyle w:val="Style12"/>
        <w:numPr>
          <w:ilvl w:val="0"/>
          <w:numId w:val="0"/>
        </w:numPr>
        <w:ind w:start="0" w:firstLine="480"/>
        <w:rPr>
          <w:lang w:eastAsia="zh-CN"/>
        </w:rPr>
      </w:pPr>
      <w:r>
        <w:rPr>
          <w:rFonts w:ascii="SimHei" w:hAnsi="SimHei" w:eastAsia="黑体"/>
          <w:lang w:eastAsia="zh-CN"/>
        </w:rPr>
        <w:t>如果需变动的岗位属于</w:t>
      </w:r>
      <w:r>
        <w:rPr>
          <w:rFonts w:ascii="SimHei" w:hAnsi="SimHei" w:eastAsia="黑体"/>
          <w:lang w:eastAsia="zh-CN"/>
        </w:rPr>
        <w:t>T4/T5</w:t>
      </w:r>
      <w:r>
        <w:rPr>
          <w:rFonts w:ascii="SimHei" w:hAnsi="SimHei" w:eastAsia="黑体"/>
          <w:lang w:eastAsia="zh-CN"/>
        </w:rPr>
        <w:t>层级，则省公司人力资源部需要拟定岗位设置申请，某集团人力资源部审批，某集团党组会的审批。</w:t>
      </w:r>
    </w:p>
    <w:p>
      <w:pPr>
        <w:pStyle w:val="Style12"/>
        <w:numPr>
          <w:ilvl w:val="0"/>
          <w:numId w:val="0"/>
        </w:numPr>
        <w:ind w:start="0" w:firstLine="480"/>
        <w:rPr>
          <w:lang w:eastAsia="zh-CN"/>
        </w:rPr>
      </w:pPr>
      <w:r>
        <w:rPr>
          <w:rFonts w:ascii="SimHei" w:hAnsi="SimHei" w:eastAsia="黑体"/>
          <w:lang w:eastAsia="zh-CN"/>
        </w:rPr>
        <w:t>如果该岗位设置不属于</w:t>
      </w:r>
      <w:r>
        <w:rPr>
          <w:rFonts w:ascii="SimHei" w:hAnsi="SimHei" w:eastAsia="黑体"/>
          <w:lang w:eastAsia="zh-CN"/>
        </w:rPr>
        <w:t>T4/T5</w:t>
      </w:r>
      <w:r>
        <w:rPr>
          <w:rFonts w:ascii="SimHei" w:hAnsi="SimHei" w:eastAsia="黑体"/>
          <w:lang w:eastAsia="zh-CN"/>
        </w:rPr>
        <w:t>层级，则可以将该岗位纳入分公司自行设岗的范围，具体要求见步骤六。</w:t>
      </w:r>
    </w:p>
    <w:p>
      <w:pPr>
        <w:pStyle w:val="2"/>
        <w:ind w:start="992" w:hanging="992"/>
        <w:rPr>
          <w:rFonts w:ascii="宋体" w:hAnsi="宋体" w:cs="宋体"/>
          <w:b/>
          <w:b/>
          <w:lang w:val="en-US" w:eastAsia="zh-CN"/>
        </w:rPr>
      </w:pPr>
      <w:r>
        <w:rPr>
          <w:rFonts w:ascii="SimHei" w:hAnsi="SimHei" w:cs="宋体" w:eastAsia="黑体"/>
          <w:b/>
          <w:lang w:val="en-US" w:eastAsia="zh-CN"/>
        </w:rPr>
        <w:t>步骤五：某集团：</w:t>
      </w:r>
    </w:p>
    <w:p>
      <w:pPr>
        <w:pStyle w:val="Style12"/>
        <w:numPr>
          <w:ilvl w:val="0"/>
          <w:numId w:val="0"/>
        </w:numPr>
        <w:ind w:start="0" w:firstLine="480"/>
        <w:rPr>
          <w:lang w:eastAsia="zh-CN"/>
        </w:rPr>
      </w:pPr>
      <w:r>
        <w:rPr>
          <w:rFonts w:ascii="SimHei" w:hAnsi="SimHei" w:eastAsia="黑体"/>
          <w:lang w:eastAsia="zh-CN"/>
        </w:rPr>
        <w:t>当对变更的岗位设置判断不属于分层设岗的范畴时，某集团。</w:t>
      </w:r>
    </w:p>
    <w:p>
      <w:pPr>
        <w:pStyle w:val="Style12"/>
        <w:numPr>
          <w:ilvl w:val="0"/>
          <w:numId w:val="0"/>
        </w:numPr>
        <w:ind w:start="0" w:firstLine="480"/>
        <w:rPr>
          <w:lang w:eastAsia="zh-CN"/>
        </w:rPr>
      </w:pPr>
      <w:r>
        <w:rPr>
          <w:rFonts w:ascii="SimHei" w:hAnsi="SimHei" w:eastAsia="黑体"/>
          <w:lang w:eastAsia="zh-CN"/>
        </w:rPr>
        <w:t>当判断该岗位需要作为基准岗位上报时，人力资源部拟定基准岗位设置的申请，某集团人力资源部，某集团基准岗位体系维护流程进行管理，具体办法和步骤见本制度第五章。</w:t>
      </w:r>
    </w:p>
    <w:p>
      <w:pPr>
        <w:pStyle w:val="Style12"/>
        <w:numPr>
          <w:ilvl w:val="0"/>
          <w:numId w:val="0"/>
        </w:numPr>
        <w:ind w:start="0" w:firstLine="480"/>
        <w:rPr>
          <w:lang w:eastAsia="zh-CN"/>
        </w:rPr>
      </w:pPr>
      <w:r>
        <w:rPr>
          <w:rFonts w:ascii="SimHei" w:hAnsi="SimHei" w:eastAsia="黑体"/>
          <w:lang w:eastAsia="zh-CN"/>
        </w:rPr>
        <w:t>当判断该岗位不需要作为基准岗位上报时，则可以将该岗位纳入分公司自行设岗的范围，具体要求见步骤六。</w:t>
      </w:r>
    </w:p>
    <w:p>
      <w:pPr>
        <w:pStyle w:val="2"/>
        <w:ind w:start="992" w:hanging="992"/>
        <w:rPr>
          <w:rFonts w:ascii="宋体" w:hAnsi="宋体" w:cs="宋体"/>
          <w:b/>
          <w:b/>
          <w:lang w:val="en-US" w:eastAsia="zh-CN"/>
        </w:rPr>
      </w:pPr>
      <w:r>
        <w:rPr>
          <w:rFonts w:ascii="SimHei" w:hAnsi="SimHei" w:cs="宋体" w:eastAsia="黑体"/>
          <w:b/>
          <w:lang w:val="en-US" w:eastAsia="zh-CN"/>
        </w:rPr>
        <w:t>步骤六：省市分公司自行设岗管理：</w:t>
      </w:r>
    </w:p>
    <w:p>
      <w:pPr>
        <w:pStyle w:val="Style12"/>
        <w:numPr>
          <w:ilvl w:val="0"/>
          <w:numId w:val="0"/>
        </w:numPr>
        <w:ind w:start="0" w:firstLine="480"/>
        <w:rPr>
          <w:lang w:eastAsia="zh-CN"/>
        </w:rPr>
      </w:pPr>
      <w:r>
        <w:rPr>
          <w:rFonts w:ascii="SimHei" w:hAnsi="SimHei" w:eastAsia="黑体"/>
          <w:lang w:eastAsia="zh-CN"/>
        </w:rPr>
        <w:t>不属于</w:t>
      </w:r>
      <w:r>
        <w:rPr>
          <w:rFonts w:ascii="SimHei" w:hAnsi="SimHei" w:eastAsia="黑体"/>
          <w:lang w:eastAsia="zh-CN"/>
        </w:rPr>
        <w:t>T4/T5</w:t>
      </w:r>
      <w:r>
        <w:rPr>
          <w:rFonts w:ascii="SimHei" w:hAnsi="SimHei" w:eastAsia="黑体"/>
          <w:lang w:eastAsia="zh-CN"/>
        </w:rPr>
        <w:t>层级的分层设立的岗位、某集团的岗位变更，都可以纳入分公司自行设岗管理的范畴。某集团统一规定的职数比例限制</w:t>
      </w:r>
      <w:r>
        <w:rPr>
          <w:rFonts w:ascii="SimHei" w:hAnsi="SimHei" w:eastAsia="黑体"/>
          <w:lang w:eastAsia="zh-CN"/>
        </w:rPr>
        <w:t>—</w:t>
      </w:r>
      <w:r>
        <w:rPr>
          <w:rFonts w:ascii="SimHei" w:hAnsi="SimHei" w:eastAsia="黑体"/>
          <w:lang w:eastAsia="zh-CN"/>
        </w:rPr>
        <w:t>即自行设岗管理的岗位数量占岗位总体数量的</w:t>
      </w:r>
      <w:r>
        <w:rPr>
          <w:rFonts w:ascii="SimHei" w:hAnsi="SimHei" w:eastAsia="黑体"/>
          <w:lang w:eastAsia="zh-CN"/>
        </w:rPr>
        <w:t>10%</w:t>
      </w:r>
      <w:r>
        <w:rPr>
          <w:rFonts w:ascii="SimHei" w:hAnsi="SimHei" w:eastAsia="黑体"/>
          <w:lang w:eastAsia="zh-CN"/>
        </w:rPr>
        <w:t>以内。</w:t>
      </w:r>
    </w:p>
    <w:p>
      <w:pPr>
        <w:pStyle w:val="Style13"/>
        <w:rPr/>
      </w:pPr>
      <w:r>
        <w:rPr>
          <w:rFonts w:ascii="SimHei" w:hAnsi="SimHei" w:eastAsia="黑体"/>
        </w:rPr>
        <w:t>自行设岗管理的岗位是不能在基准岗位体系中找到职级对应的，其岗位级别可以通过岗位评估而确定。岗位评估是指通过在组织内部使用一致且科学的工具，对岗位的价值进行评估。最典型的岗位评估的方法包括因素评估法和标杆插入法，因素评估法通过在组织内部使用一致且科学的价值评价因素来确定各岗位的相对价值关系。标杆插入法以评出级别的岗位为标杆，其它岗位与标杆岗位进行对比从而确定其价值，采取标杆插入的前提是经过岗位评估已经确定了标杆岗位的级别（标杆岗位是指岗位职责稳定、具有代表性的岗位，利用标杆岗位就可以搭建职级体系）。</w:t>
      </w:r>
    </w:p>
    <w:p>
      <w:pPr>
        <w:pStyle w:val="2"/>
        <w:ind w:start="992" w:hanging="992"/>
        <w:rPr>
          <w:rFonts w:ascii="宋体" w:hAnsi="宋体" w:cs="宋体"/>
          <w:b/>
          <w:b/>
          <w:lang w:val="en-US" w:eastAsia="zh-CN"/>
        </w:rPr>
      </w:pPr>
      <w:r>
        <w:rPr>
          <w:rFonts w:ascii="SimHei" w:hAnsi="SimHei" w:cs="宋体" w:eastAsia="黑体"/>
          <w:b/>
          <w:lang w:val="en-US" w:eastAsia="zh-CN"/>
        </w:rPr>
        <w:t>步骤七：集团人力资源部审批与备案：</w:t>
      </w:r>
    </w:p>
    <w:p>
      <w:pPr>
        <w:pStyle w:val="Style13"/>
        <w:rPr/>
      </w:pPr>
      <w:r>
        <w:rPr>
          <w:rFonts w:ascii="SimHei" w:hAnsi="SimHei" w:eastAsia="黑体"/>
        </w:rPr>
        <w:t>各分公司的任何岗位设置和岗位级别的调整，某集团人力资源部审批和备案。</w:t>
      </w:r>
    </w:p>
    <w:p>
      <w:pPr>
        <w:pStyle w:val="Style13"/>
        <w:rPr/>
      </w:pPr>
      <w:r>
        <w:rPr>
          <w:rFonts w:ascii="SimHei" w:hAnsi="SimHei" w:eastAsia="黑体"/>
        </w:rPr>
        <w:t>某集团人力资源部报送，某集团及省分公司的岗位设置情况进行备案。</w:t>
      </w:r>
    </w:p>
    <w:p>
      <w:pPr>
        <w:pStyle w:val="SectionStart"/>
        <w:numPr>
          <w:ilvl w:val="0"/>
          <w:numId w:val="9"/>
        </w:numPr>
        <w:shd w:fill="CCCCCC" w:val="clear"/>
        <w:tabs>
          <w:tab w:val="left" w:pos="360" w:leader="none"/>
          <w:tab w:val="left" w:pos="644" w:leader="none"/>
          <w:tab w:val="left" w:pos="1800" w:leader="none"/>
        </w:tabs>
        <w:ind w:start="644" w:end="6867" w:hanging="360"/>
        <w:rPr>
          <w:rFonts w:ascii="宋体" w:hAnsi="宋体" w:cs="宋体"/>
          <w:lang w:val="en-US" w:eastAsia="zh-CN"/>
        </w:rPr>
      </w:pPr>
      <w:r>
        <w:rPr>
          <w:rFonts w:cs="宋体" w:ascii="SimHei" w:hAnsi="SimHei" w:eastAsia="黑体"/>
          <w:lang w:val="en-US" w:eastAsia="zh-CN"/>
        </w:rPr>
      </w:r>
    </w:p>
    <w:p>
      <w:pPr>
        <w:pStyle w:val="Heading1"/>
        <w:numPr>
          <w:ilvl w:val="0"/>
          <w:numId w:val="0"/>
        </w:numPr>
        <w:ind w:start="0" w:hanging="0"/>
        <w:rPr>
          <w:rFonts w:ascii="宋体" w:hAnsi="宋体" w:cs="宋体"/>
          <w:b/>
          <w:b/>
          <w:lang w:eastAsia="zh-CN"/>
        </w:rPr>
      </w:pPr>
      <w:bookmarkStart w:id="11" w:name="__RefHeading___Toc142984676"/>
      <w:bookmarkEnd w:id="11"/>
      <w:r>
        <w:rPr>
          <w:rFonts w:ascii="SimHei" w:hAnsi="SimHei" w:cs="宋体" w:eastAsia="黑体"/>
          <w:b/>
          <w:lang w:eastAsia="zh-CN"/>
        </w:rPr>
        <w:t>基准岗位体系的管理与维护</w:t>
      </w:r>
    </w:p>
    <w:p>
      <w:pPr>
        <w:pStyle w:val="Style13"/>
        <w:rPr/>
      </w:pPr>
      <w:r>
        <w:rPr>
          <w:rFonts w:ascii="SimHei" w:hAnsi="SimHei" w:eastAsia="黑体"/>
        </w:rPr>
        <w:t>某集团进行岗位管理的主要工具，基准岗位的管理与维护，某集团岗位管理的核心工作。在岗位体系稳定运行阶段，基准岗位体系的维护根据发起的时机不同，可以分为两种，某集团发起并组织对基准岗位列表进行常规维护，某集团各部门或各分支机构发起，集团组织对基准岗位列表进行择机维护。两种情况下的基准岗位变动之后，都需要对新的基准岗位的职级进行重新确定。随后，根据新的基准岗位的职责内容，对中国网通的岗位序列划分以及序列中职业阶梯的划分进行重新分析和评估。</w:t>
      </w:r>
    </w:p>
    <w:p>
      <w:pPr>
        <w:pStyle w:val="Heading2"/>
        <w:rPr>
          <w:rFonts w:ascii="宋体" w:hAnsi="宋体" w:cs="宋体"/>
          <w:b/>
          <w:b/>
          <w:sz w:val="24"/>
          <w:szCs w:val="24"/>
          <w:lang w:val="en-US" w:eastAsia="zh-CN"/>
        </w:rPr>
      </w:pPr>
      <w:bookmarkStart w:id="12" w:name="__RefHeading___Toc142984677"/>
      <w:bookmarkEnd w:id="12"/>
      <w:r>
        <w:rPr>
          <w:rFonts w:cs="宋体" w:ascii="SimHei" w:hAnsi="SimHei" w:eastAsia="黑体"/>
          <w:b/>
          <w:sz w:val="24"/>
          <w:szCs w:val="24"/>
          <w:lang w:val="en-US" w:eastAsia="zh-CN"/>
        </w:rPr>
        <w:t>5</w:t>
      </w:r>
      <w:r>
        <w:rPr>
          <w:rFonts w:ascii="SimHei" w:hAnsi="SimHei" w:cs="宋体" w:eastAsia="黑体"/>
          <w:b/>
          <w:sz w:val="24"/>
          <w:szCs w:val="24"/>
          <w:lang w:val="en-US" w:eastAsia="zh-CN"/>
        </w:rPr>
        <w:t>．</w:t>
      </w:r>
      <w:r>
        <w:rPr>
          <w:rFonts w:cs="宋体" w:ascii="SimHei" w:hAnsi="SimHei" w:eastAsia="黑体"/>
          <w:b/>
          <w:sz w:val="24"/>
          <w:szCs w:val="24"/>
          <w:lang w:val="en-US" w:eastAsia="zh-CN"/>
        </w:rPr>
        <w:t xml:space="preserve">1 </w:t>
      </w:r>
      <w:r>
        <w:rPr>
          <w:rFonts w:ascii="SimHei" w:hAnsi="SimHei" w:cs="宋体" w:eastAsia="黑体"/>
          <w:b/>
          <w:sz w:val="24"/>
          <w:szCs w:val="24"/>
          <w:lang w:val="en-US" w:eastAsia="zh-CN"/>
        </w:rPr>
        <w:t>基准岗位体系定期管理与维护的流程</w:t>
      </w:r>
    </w:p>
    <w:p>
      <w:pPr>
        <w:pStyle w:val="Normal"/>
        <w:rPr>
          <w:rFonts w:ascii="宋体" w:hAnsi="宋体" w:cs="宋体"/>
          <w:b/>
          <w:b/>
          <w:sz w:val="24"/>
          <w:szCs w:val="24"/>
          <w:lang w:val="en-US" w:eastAsia="zh-CN"/>
        </w:rPr>
      </w:pPr>
      <w:r>
        <w:rPr>
          <w:rFonts w:cs="宋体" w:ascii="SimHei" w:hAnsi="SimHei" w:eastAsia="黑体"/>
          <w:b/>
          <w:sz w:val="24"/>
          <w:szCs w:val="24"/>
          <w:lang w:val="en-US" w:eastAsia="zh-CN"/>
        </w:rPr>
      </w:r>
    </w:p>
    <w:p>
      <w:pPr>
        <w:pStyle w:val="Heading2"/>
        <w:jc w:val="both"/>
        <w:rPr>
          <w:rFonts w:ascii="宋体" w:hAnsi="宋体" w:cs="宋体"/>
          <w:b/>
          <w:b/>
          <w:sz w:val="24"/>
          <w:lang w:val="en-US" w:eastAsia="zh-CN"/>
        </w:rPr>
      </w:pPr>
      <w:bookmarkStart w:id="13" w:name="__RefHeading___Toc142984678"/>
      <w:bookmarkEnd w:id="13"/>
      <w:r>
        <w:rPr>
          <w:rFonts w:cs="宋体" w:ascii="SimHei" w:hAnsi="SimHei" w:eastAsia="黑体"/>
          <w:b/>
          <w:sz w:val="24"/>
          <w:lang w:val="en-US" w:eastAsia="zh-CN"/>
        </w:rPr>
        <w:t>5</w:t>
      </w:r>
      <w:r>
        <w:rPr>
          <w:rFonts w:ascii="SimHei" w:hAnsi="SimHei" w:cs="宋体" w:eastAsia="黑体"/>
          <w:b/>
          <w:sz w:val="24"/>
          <w:lang w:val="en-US" w:eastAsia="zh-CN"/>
        </w:rPr>
        <w:t>．</w:t>
      </w:r>
      <w:r>
        <w:rPr>
          <w:rFonts w:cs="宋体" w:ascii="SimHei" w:hAnsi="SimHei" w:eastAsia="黑体"/>
          <w:b/>
          <w:sz w:val="24"/>
          <w:lang w:val="en-US" w:eastAsia="zh-CN"/>
        </w:rPr>
        <w:t xml:space="preserve">2 </w:t>
      </w:r>
      <w:r>
        <w:rPr>
          <w:rFonts w:ascii="SimHei" w:hAnsi="SimHei" w:cs="宋体" w:eastAsia="黑体"/>
          <w:b/>
          <w:sz w:val="24"/>
          <w:lang w:val="en-US" w:eastAsia="zh-CN"/>
        </w:rPr>
        <w:t>基准岗位体系定期管理与维护的流程步骤说明</w:t>
      </w:r>
    </w:p>
    <w:p>
      <w:pPr>
        <w:pStyle w:val="2"/>
        <w:ind w:start="992" w:hanging="992"/>
        <w:rPr>
          <w:rFonts w:ascii="宋体" w:hAnsi="宋体" w:cs="宋体"/>
          <w:b/>
          <w:b/>
          <w:lang w:val="en-US" w:eastAsia="zh-CN"/>
        </w:rPr>
      </w:pPr>
      <w:r>
        <w:rPr>
          <w:rFonts w:ascii="SimHei" w:hAnsi="SimHei" w:cs="宋体" w:eastAsia="黑体"/>
          <w:b/>
          <w:lang w:val="en-US" w:eastAsia="zh-CN"/>
        </w:rPr>
        <w:t>步骤一：集团人力资源部进行基准岗位变更审核：</w:t>
      </w:r>
    </w:p>
    <w:p>
      <w:pPr>
        <w:pStyle w:val="Style13"/>
        <w:rPr/>
      </w:pPr>
      <w:r>
        <w:rPr>
          <w:rFonts w:ascii="SimHei" w:hAnsi="SimHei" w:eastAsia="黑体"/>
        </w:rPr>
        <w:t>某集团业务战略、各级分支机构组织结构的转变情况，判断进行基准岗位重新设置的时机，某集团需要每年对基准岗位的设置、基准岗位的职级进行重新审视。</w:t>
      </w:r>
    </w:p>
    <w:p>
      <w:pPr>
        <w:pStyle w:val="2"/>
        <w:ind w:start="992" w:hanging="992"/>
        <w:rPr>
          <w:rFonts w:ascii="宋体" w:hAnsi="宋体" w:cs="宋体"/>
          <w:b/>
          <w:b/>
          <w:lang w:val="en-US" w:eastAsia="zh-CN"/>
        </w:rPr>
      </w:pPr>
      <w:r>
        <w:rPr>
          <w:rFonts w:ascii="SimHei" w:hAnsi="SimHei" w:cs="宋体" w:eastAsia="黑体"/>
          <w:b/>
          <w:lang w:val="en-US" w:eastAsia="zh-CN"/>
        </w:rPr>
        <w:t>步骤二：集团人力资源部发起基准岗位调研：</w:t>
      </w:r>
    </w:p>
    <w:p>
      <w:pPr>
        <w:pStyle w:val="Style13"/>
        <w:rPr/>
      </w:pPr>
      <w:r>
        <w:rPr>
          <w:rFonts w:ascii="SimHei" w:hAnsi="SimHei" w:eastAsia="黑体"/>
        </w:rPr>
        <w:t>一旦确定要进行基准岗位重新设置之后，由集团人力资源部发起进行基准岗位的调研工作，集团人力资源部首先详细的调研计划，选择在业务规模、业务模式、员工队伍、组织结构设置等各方面都具有代表性的省市分公司，作为基准岗位设置调研的对象。</w:t>
      </w:r>
    </w:p>
    <w:p>
      <w:pPr>
        <w:pStyle w:val="2"/>
        <w:ind w:start="992" w:hanging="992"/>
        <w:rPr>
          <w:rFonts w:ascii="宋体" w:hAnsi="宋体" w:cs="宋体"/>
          <w:b/>
          <w:b/>
          <w:lang w:val="en-US" w:eastAsia="zh-CN"/>
        </w:rPr>
      </w:pPr>
      <w:r>
        <w:rPr>
          <w:rFonts w:ascii="SimHei" w:hAnsi="SimHei" w:cs="宋体" w:eastAsia="黑体"/>
          <w:b/>
          <w:lang w:val="en-US" w:eastAsia="zh-CN"/>
        </w:rPr>
        <w:t>步骤三：省公司人力资源部组织本省公司进行基准岗位调研：</w:t>
      </w:r>
    </w:p>
    <w:p>
      <w:pPr>
        <w:pStyle w:val="Style13"/>
        <w:rPr/>
      </w:pPr>
      <w:r>
        <w:rPr>
          <w:rFonts w:ascii="SimHei" w:hAnsi="SimHei" w:eastAsia="黑体"/>
        </w:rPr>
        <w:t>某集团人力资源部的调研计划，试点省分公司人力资源部组织本省公司各部门，市分公司各部门的部门领导参与基准岗位设置调研。调研方式可采取座谈、访谈、或者辅之以下发岗位分析问卷的方式进行。</w:t>
      </w:r>
    </w:p>
    <w:p>
      <w:pPr>
        <w:pStyle w:val="2"/>
        <w:ind w:start="992" w:hanging="992"/>
        <w:rPr>
          <w:rFonts w:ascii="宋体" w:hAnsi="宋体" w:cs="宋体"/>
          <w:b/>
          <w:b/>
          <w:lang w:val="en-US" w:eastAsia="zh-CN"/>
        </w:rPr>
      </w:pPr>
      <w:r>
        <w:rPr>
          <w:rFonts w:ascii="SimHei" w:hAnsi="SimHei" w:cs="宋体" w:eastAsia="黑体"/>
          <w:b/>
          <w:lang w:val="en-US" w:eastAsia="zh-CN"/>
        </w:rPr>
        <w:t>步骤四：省市分公司各业务部门参与基准岗位调研：</w:t>
      </w:r>
    </w:p>
    <w:p>
      <w:pPr>
        <w:pStyle w:val="Style13"/>
        <w:rPr/>
      </w:pPr>
      <w:r>
        <w:rPr>
          <w:rFonts w:ascii="SimHei" w:hAnsi="SimHei" w:eastAsia="黑体"/>
        </w:rPr>
        <w:t>在人力资源部组织进行的基准岗位的调研过程中，各业务部门根据各业务条线的业务需要，提出针对基准岗位设置的修改意见，主要包括三个方面：（</w:t>
      </w:r>
      <w:r>
        <w:rPr>
          <w:rFonts w:ascii="SimHei" w:hAnsi="SimHei" w:eastAsia="黑体"/>
        </w:rPr>
        <w:t>1</w:t>
      </w:r>
      <w:r>
        <w:rPr>
          <w:rFonts w:ascii="SimHei" w:hAnsi="SimHei" w:eastAsia="黑体"/>
        </w:rPr>
        <w:t>）伴随业务发展出现新的工作职责和任务，且工作量饱满，符合设置新岗位的原则，提出新基准岗位的设置建议，包括岗位名称、职责描述、任职资格要求、所归属的序列；（</w:t>
      </w:r>
      <w:r>
        <w:rPr>
          <w:rFonts w:ascii="SimHei" w:hAnsi="SimHei" w:eastAsia="黑体"/>
        </w:rPr>
        <w:t>2</w:t>
      </w:r>
      <w:r>
        <w:rPr>
          <w:rFonts w:ascii="SimHei" w:hAnsi="SimHei" w:eastAsia="黑体"/>
        </w:rPr>
        <w:t>）伴随业务发展出现新的职责和任务，但工作量不饱满，不符合设置新岗位的原则，或者原有职责分配发生规律性调整，提出基准岗位的调整建议，包括调整前后的岗位名称、职责描述、任职资格要求、所归属的序列；（</w:t>
      </w:r>
      <w:r>
        <w:rPr>
          <w:rFonts w:ascii="SimHei" w:hAnsi="SimHei" w:eastAsia="黑体"/>
        </w:rPr>
        <w:t>3</w:t>
      </w:r>
      <w:r>
        <w:rPr>
          <w:rFonts w:ascii="SimHei" w:hAnsi="SimHei" w:eastAsia="黑体"/>
        </w:rPr>
        <w:t>）如果某些基准岗位设置不再符合业务发展和人员发展的需要，提出取消原有基准岗位的建议。</w:t>
      </w:r>
    </w:p>
    <w:p>
      <w:pPr>
        <w:pStyle w:val="2"/>
        <w:ind w:start="992" w:hanging="992"/>
        <w:rPr>
          <w:rFonts w:ascii="宋体" w:hAnsi="宋体" w:cs="宋体"/>
          <w:b/>
          <w:b/>
          <w:lang w:val="en-US" w:eastAsia="zh-CN"/>
        </w:rPr>
      </w:pPr>
      <w:r>
        <w:rPr>
          <w:rFonts w:ascii="SimHei" w:hAnsi="SimHei" w:cs="宋体" w:eastAsia="黑体"/>
          <w:b/>
          <w:lang w:val="en-US" w:eastAsia="zh-CN"/>
        </w:rPr>
        <w:t>步骤五：省分公司人力资源部整理本省公司基准岗位设置调研信息：</w:t>
      </w:r>
    </w:p>
    <w:p>
      <w:pPr>
        <w:pStyle w:val="Style13"/>
        <w:rPr/>
      </w:pPr>
      <w:r>
        <w:rPr>
          <w:rFonts w:ascii="SimHei" w:hAnsi="SimHei" w:eastAsia="黑体"/>
        </w:rPr>
        <w:t>某集团人力资源部的要求，将在本省分公司调研过程中，各部门提出的关于基准岗位设置的建议进行整理，某集团人力资源部。</w:t>
      </w:r>
    </w:p>
    <w:p>
      <w:pPr>
        <w:pStyle w:val="2"/>
        <w:ind w:start="992" w:hanging="992"/>
        <w:rPr>
          <w:rFonts w:ascii="宋体" w:hAnsi="宋体" w:cs="宋体"/>
          <w:b/>
          <w:b/>
          <w:lang w:val="en-US" w:eastAsia="zh-CN"/>
        </w:rPr>
      </w:pPr>
      <w:r>
        <w:rPr>
          <w:rFonts w:ascii="SimHei" w:hAnsi="SimHei" w:cs="宋体" w:eastAsia="黑体"/>
          <w:b/>
          <w:lang w:val="en-US" w:eastAsia="zh-CN"/>
        </w:rPr>
        <w:t>步骤六：集团人力资源部整理调研信息，并组织专家研讨会议：</w:t>
      </w:r>
    </w:p>
    <w:p>
      <w:pPr>
        <w:pStyle w:val="Style13"/>
        <w:rPr/>
      </w:pPr>
      <w:r>
        <w:rPr>
          <w:rFonts w:ascii="SimHei" w:hAnsi="SimHei" w:eastAsia="黑体"/>
        </w:rPr>
        <w:t>集团人力资源部根据前期在试点省市分公司的调研信息，将基准岗位设置的调整意见进行整理；并且，将在试点省分公司的调研结果，以书面的方式向其他的省分公司征求意见，并进一步加以整理。之后，某集团总部、省分公司各业务条线的业务专家参加基准岗位设置研讨会议。</w:t>
      </w:r>
    </w:p>
    <w:p>
      <w:pPr>
        <w:pStyle w:val="2"/>
        <w:ind w:start="992" w:hanging="992"/>
        <w:rPr>
          <w:rFonts w:ascii="宋体" w:hAnsi="宋体" w:cs="宋体"/>
          <w:b/>
          <w:b/>
          <w:lang w:val="en-US" w:eastAsia="zh-CN"/>
        </w:rPr>
      </w:pPr>
      <w:r>
        <w:rPr>
          <w:rFonts w:ascii="SimHei" w:hAnsi="SimHei" w:cs="宋体" w:eastAsia="黑体"/>
          <w:b/>
          <w:lang w:val="en-US" w:eastAsia="zh-CN"/>
        </w:rPr>
        <w:t>步骤七：各业务部门组织业务条线专家参加专家研讨会议：</w:t>
      </w:r>
    </w:p>
    <w:p>
      <w:pPr>
        <w:pStyle w:val="Style13"/>
        <w:rPr/>
      </w:pPr>
      <w:r>
        <w:rPr>
          <w:rFonts w:ascii="SimHei" w:hAnsi="SimHei" w:eastAsia="黑体"/>
        </w:rPr>
        <w:t>某集团范围内，挑选相关业务条线的专家参与基准岗位设置研讨会议，在研讨会议上，确定哪些建议属于个性问题，不具有推广意义，不予调整基准岗位列表；哪些建议属于共性问题，需要调整基准岗位列表。</w:t>
      </w:r>
    </w:p>
    <w:p>
      <w:pPr>
        <w:pStyle w:val="2"/>
        <w:ind w:start="992" w:hanging="992"/>
        <w:rPr>
          <w:rFonts w:ascii="宋体" w:hAnsi="宋体" w:cs="宋体"/>
          <w:b/>
          <w:b/>
          <w:lang w:val="en-US" w:eastAsia="zh-CN"/>
        </w:rPr>
      </w:pPr>
      <w:r>
        <w:rPr>
          <w:rFonts w:ascii="SimHei" w:hAnsi="SimHei" w:cs="宋体" w:eastAsia="黑体"/>
          <w:b/>
          <w:lang w:val="en-US" w:eastAsia="zh-CN"/>
        </w:rPr>
        <w:t>步骤八：集团人力资源部决定是否调整基准岗位设置：</w:t>
      </w:r>
    </w:p>
    <w:p>
      <w:pPr>
        <w:pStyle w:val="Style13"/>
        <w:rPr/>
      </w:pPr>
      <w:r>
        <w:rPr>
          <w:rFonts w:ascii="SimHei" w:hAnsi="SimHei" w:eastAsia="黑体"/>
        </w:rPr>
        <w:t>集团人力资源部采纳多方建议后形成基准岗位的调整意见，包括岗位名称、岗位职责、任职资格要求和所属序列，根据岗位设置的原则，确定是否对基准岗位设置进行调整。如果经过多个角度分析，不需要进行调整，则基准岗位定期维护的过程到此结束。</w:t>
      </w:r>
    </w:p>
    <w:p>
      <w:pPr>
        <w:pStyle w:val="2"/>
        <w:ind w:start="992" w:hanging="992"/>
        <w:rPr>
          <w:rFonts w:ascii="宋体" w:hAnsi="宋体" w:cs="宋体"/>
          <w:b/>
          <w:b/>
          <w:lang w:val="en-US" w:eastAsia="zh-CN"/>
        </w:rPr>
      </w:pPr>
      <w:r>
        <w:rPr>
          <w:rFonts w:ascii="SimHei" w:hAnsi="SimHei" w:cs="宋体" w:eastAsia="黑体"/>
          <w:b/>
          <w:lang w:val="en-US" w:eastAsia="zh-CN"/>
        </w:rPr>
        <w:t>步骤九：集团人力资源部调整基准岗位并评估新岗位的级别：</w:t>
      </w:r>
    </w:p>
    <w:p>
      <w:pPr>
        <w:pStyle w:val="Style13"/>
        <w:rPr/>
      </w:pPr>
      <w:r>
        <w:rPr>
          <w:rFonts w:ascii="SimHei" w:hAnsi="SimHei" w:eastAsia="黑体"/>
        </w:rPr>
        <w:t>在对基准岗位进行调整之后，集团人力资源部选择合适的岗位评估方式，对基准岗位的价值进行评估，确定新的基准岗位在中国网通职级结构中的级别。某集团岗位序列及序列层级划分的方案，确定新的岗位对应的职业阶梯，及可能对应的岗位头衔。如果新的基准岗位设置需求，需要对现有的岗位序列进行修改，集团人力资源部即对岗位序列进行重新划分，具体步骤参见《岗位序列管理办法》。</w:t>
      </w:r>
    </w:p>
    <w:p>
      <w:pPr>
        <w:pStyle w:val="2"/>
        <w:ind w:start="992" w:hanging="992"/>
        <w:rPr>
          <w:rFonts w:ascii="宋体" w:hAnsi="宋体" w:cs="宋体"/>
          <w:b/>
          <w:b/>
          <w:lang w:val="en-US" w:eastAsia="zh-CN"/>
        </w:rPr>
      </w:pPr>
      <w:r>
        <w:rPr>
          <w:rFonts w:ascii="SimHei" w:hAnsi="SimHei" w:cs="宋体" w:eastAsia="黑体"/>
          <w:b/>
          <w:lang w:val="en-US" w:eastAsia="zh-CN"/>
        </w:rPr>
        <w:t>步骤十：集团党组会审批基准岗位修订意见：</w:t>
      </w:r>
    </w:p>
    <w:p>
      <w:pPr>
        <w:pStyle w:val="Style13"/>
        <w:rPr/>
      </w:pPr>
      <w:r>
        <w:rPr>
          <w:rFonts w:ascii="SimHei" w:hAnsi="SimHei" w:eastAsia="黑体"/>
        </w:rPr>
        <w:t>集团人力资源部就更新后的基准岗位设置、基准岗位的职级形成报告，某集团党组会审批，集团党组会从全局的角度，对更新后的基准岗位体系进行审核，某集团基准岗位体系。</w:t>
      </w:r>
    </w:p>
    <w:p>
      <w:pPr>
        <w:pStyle w:val="2"/>
        <w:ind w:start="992" w:hanging="992"/>
        <w:rPr>
          <w:rFonts w:ascii="宋体" w:hAnsi="宋体" w:cs="宋体"/>
          <w:b/>
          <w:b/>
          <w:lang w:val="en-US" w:eastAsia="zh-CN"/>
        </w:rPr>
      </w:pPr>
      <w:r>
        <w:rPr>
          <w:rFonts w:ascii="SimHei" w:hAnsi="SimHei" w:cs="宋体" w:eastAsia="黑体"/>
          <w:b/>
          <w:lang w:val="en-US" w:eastAsia="zh-CN"/>
        </w:rPr>
        <w:t>步骤十一：某集团基准岗位修订通知：</w:t>
      </w:r>
    </w:p>
    <w:p>
      <w:pPr>
        <w:pStyle w:val="Style13"/>
        <w:rPr/>
      </w:pPr>
      <w:r>
        <w:rPr>
          <w:rFonts w:ascii="SimHei" w:hAnsi="SimHei" w:eastAsia="黑体"/>
        </w:rPr>
        <w:t>某集团党组会的审批结果，某集团基准岗位修订的通知；并要求各省分公司按照新的基准岗位列表，对本省分公司的岗位设置，进行调整，具体调整步骤与方法，可参见《岗位体系套入实施办法》。</w:t>
      </w:r>
    </w:p>
    <w:p>
      <w:pPr>
        <w:pStyle w:val="Normal"/>
        <w:rPr>
          <w:rFonts w:ascii="宋体" w:hAnsi="宋体" w:cs="宋体"/>
          <w:lang w:val="en-US" w:eastAsia="zh-CN"/>
        </w:rPr>
      </w:pPr>
      <w:r>
        <w:rPr>
          <w:rFonts w:cs="宋体" w:ascii="SimHei" w:hAnsi="SimHei" w:eastAsia="黑体"/>
          <w:lang w:val="en-US" w:eastAsia="zh-CN"/>
        </w:rPr>
      </w:r>
    </w:p>
    <w:p>
      <w:pPr>
        <w:pStyle w:val="Heading2"/>
        <w:rPr>
          <w:rFonts w:ascii="宋体" w:hAnsi="宋体" w:cs="宋体"/>
          <w:b/>
          <w:b/>
          <w:sz w:val="24"/>
          <w:lang w:val="en-US" w:eastAsia="zh-CN"/>
        </w:rPr>
      </w:pPr>
      <w:bookmarkStart w:id="14" w:name="__RefHeading___Toc142984679"/>
      <w:bookmarkEnd w:id="14"/>
      <w:r>
        <w:rPr>
          <w:rFonts w:cs="宋体" w:ascii="SimHei" w:hAnsi="SimHei" w:eastAsia="黑体"/>
          <w:b/>
          <w:sz w:val="24"/>
          <w:lang w:val="en-US" w:eastAsia="zh-CN"/>
        </w:rPr>
        <w:t>5</w:t>
      </w:r>
      <w:r>
        <w:rPr>
          <w:rFonts w:ascii="SimHei" w:hAnsi="SimHei" w:cs="宋体" w:eastAsia="黑体"/>
          <w:b/>
          <w:sz w:val="24"/>
          <w:lang w:val="en-US" w:eastAsia="zh-CN"/>
        </w:rPr>
        <w:t>．</w:t>
      </w:r>
      <w:r>
        <w:rPr>
          <w:rFonts w:cs="宋体" w:ascii="SimHei" w:hAnsi="SimHei" w:eastAsia="黑体"/>
          <w:b/>
          <w:sz w:val="24"/>
          <w:lang w:val="en-US" w:eastAsia="zh-CN"/>
        </w:rPr>
        <w:t xml:space="preserve">3 </w:t>
      </w:r>
      <w:r>
        <w:rPr>
          <w:rFonts w:ascii="SimHei" w:hAnsi="SimHei" w:cs="宋体" w:eastAsia="黑体"/>
          <w:b/>
          <w:sz w:val="24"/>
          <w:lang w:val="en-US" w:eastAsia="zh-CN"/>
        </w:rPr>
        <w:t>基准岗位体系择机管理与维护的流程</w:t>
      </w:r>
    </w:p>
    <w:p>
      <w:pPr>
        <w:pStyle w:val="Normal"/>
        <w:rPr>
          <w:rFonts w:ascii="宋体" w:hAnsi="宋体" w:cs="宋体"/>
          <w:b/>
          <w:b/>
          <w:sz w:val="24"/>
          <w:lang w:val="en-US" w:eastAsia="zh-CN"/>
        </w:rPr>
      </w:pPr>
      <w:r>
        <w:rPr>
          <w:rFonts w:cs="宋体" w:ascii="SimHei" w:hAnsi="SimHei" w:eastAsia="黑体"/>
          <w:b/>
          <w:sz w:val="24"/>
          <w:lang w:val="en-US" w:eastAsia="zh-CN"/>
        </w:rPr>
      </w:r>
    </w:p>
    <w:p>
      <w:pPr>
        <w:pStyle w:val="Heading2"/>
        <w:jc w:val="both"/>
        <w:rPr>
          <w:rFonts w:ascii="宋体" w:hAnsi="宋体" w:cs="宋体"/>
          <w:b/>
          <w:b/>
          <w:sz w:val="24"/>
          <w:lang w:val="en-US" w:eastAsia="zh-CN"/>
        </w:rPr>
      </w:pPr>
      <w:bookmarkStart w:id="15" w:name="__RefHeading___Toc142984680"/>
      <w:bookmarkEnd w:id="15"/>
      <w:r>
        <w:rPr>
          <w:rFonts w:cs="宋体" w:ascii="SimHei" w:hAnsi="SimHei" w:eastAsia="黑体"/>
          <w:b/>
          <w:sz w:val="24"/>
          <w:lang w:val="en-US" w:eastAsia="zh-CN"/>
        </w:rPr>
        <w:t>5</w:t>
      </w:r>
      <w:r>
        <w:rPr>
          <w:rFonts w:ascii="SimHei" w:hAnsi="SimHei" w:cs="宋体" w:eastAsia="黑体"/>
          <w:b/>
          <w:sz w:val="24"/>
          <w:lang w:val="en-US" w:eastAsia="zh-CN"/>
        </w:rPr>
        <w:t>．</w:t>
      </w:r>
      <w:r>
        <w:rPr>
          <w:rFonts w:cs="宋体" w:ascii="SimHei" w:hAnsi="SimHei" w:eastAsia="黑体"/>
          <w:b/>
          <w:sz w:val="24"/>
          <w:lang w:val="en-US" w:eastAsia="zh-CN"/>
        </w:rPr>
        <w:t xml:space="preserve">4 </w:t>
      </w:r>
      <w:r>
        <w:rPr>
          <w:rFonts w:ascii="SimHei" w:hAnsi="SimHei" w:cs="宋体" w:eastAsia="黑体"/>
          <w:b/>
          <w:sz w:val="24"/>
          <w:lang w:val="en-US" w:eastAsia="zh-CN"/>
        </w:rPr>
        <w:t>基准岗位体系择机管理与维护的流程步骤说明</w:t>
      </w:r>
    </w:p>
    <w:p>
      <w:pPr>
        <w:pStyle w:val="2"/>
        <w:ind w:start="992" w:hanging="992"/>
        <w:rPr>
          <w:rFonts w:ascii="宋体" w:hAnsi="宋体" w:cs="宋体"/>
          <w:b/>
          <w:b/>
          <w:lang w:val="en-US" w:eastAsia="zh-CN"/>
        </w:rPr>
      </w:pPr>
      <w:r>
        <w:rPr>
          <w:rFonts w:ascii="SimHei" w:hAnsi="SimHei" w:cs="宋体" w:eastAsia="黑体"/>
          <w:b/>
          <w:lang w:val="en-US" w:eastAsia="zh-CN"/>
        </w:rPr>
        <w:t>步骤一：集团总部、省分公司提出基准岗位设置的变更申请：</w:t>
      </w:r>
    </w:p>
    <w:p>
      <w:pPr>
        <w:pStyle w:val="Style13"/>
        <w:rPr/>
      </w:pPr>
      <w:r>
        <w:rPr>
          <w:rFonts w:ascii="SimHei" w:hAnsi="SimHei" w:eastAsia="黑体"/>
        </w:rPr>
        <w:t>基准岗位体系择机维护是在非定期维护期间，由业务部门提出基准岗位设置需求，其提出的背景是由于业务发展，和人员变动情况，某集团现有的基准岗位设置里找到对应，主要包括三个方面：（</w:t>
      </w:r>
      <w:r>
        <w:rPr>
          <w:rFonts w:ascii="SimHei" w:hAnsi="SimHei" w:eastAsia="黑体"/>
        </w:rPr>
        <w:t>1</w:t>
      </w:r>
      <w:r>
        <w:rPr>
          <w:rFonts w:ascii="SimHei" w:hAnsi="SimHei" w:eastAsia="黑体"/>
        </w:rPr>
        <w:t>）伴随业务发展出现新的工作职责和任务，且工作量饱满，符合设置新岗位的原则，提出新基准岗位的设置建议，包括岗位名称、工作职责描述、任职资格要求、所归属的序列；（</w:t>
      </w:r>
      <w:r>
        <w:rPr>
          <w:rFonts w:ascii="SimHei" w:hAnsi="SimHei" w:eastAsia="黑体"/>
        </w:rPr>
        <w:t>2</w:t>
      </w:r>
      <w:r>
        <w:rPr>
          <w:rFonts w:ascii="SimHei" w:hAnsi="SimHei" w:eastAsia="黑体"/>
        </w:rPr>
        <w:t>）伴随业务发展出现新的工作职责和任务，但工作量不饱满，不符合设置新岗位的原则，或者原有职责分配发生规律性调整，提出基准岗位的调整建议，包括调整前后的岗位名称、工作职责描述、任职资格要求、所归属的序列；（</w:t>
      </w:r>
      <w:r>
        <w:rPr>
          <w:rFonts w:ascii="SimHei" w:hAnsi="SimHei" w:eastAsia="黑体"/>
        </w:rPr>
        <w:t>3</w:t>
      </w:r>
      <w:r>
        <w:rPr>
          <w:rFonts w:ascii="SimHei" w:hAnsi="SimHei" w:eastAsia="黑体"/>
        </w:rPr>
        <w:t>）如果某些基准岗位设置不再符合业务发展和人员发展的需要，提出取消原有基准岗位的建议。省分公司各部门可以向省分公司人力资源部提出修订申请，某集团总部对应的上级部门提出修订申请，某集团人力资源部提出。</w:t>
      </w:r>
    </w:p>
    <w:p>
      <w:pPr>
        <w:pStyle w:val="2"/>
        <w:ind w:start="992" w:hanging="992"/>
        <w:rPr>
          <w:rFonts w:ascii="宋体" w:hAnsi="宋体" w:cs="宋体"/>
          <w:b/>
          <w:b/>
          <w:lang w:val="en-US" w:eastAsia="zh-CN"/>
        </w:rPr>
      </w:pPr>
      <w:r>
        <w:rPr>
          <w:rFonts w:ascii="SimHei" w:hAnsi="SimHei" w:cs="宋体" w:eastAsia="黑体"/>
          <w:b/>
          <w:lang w:val="en-US" w:eastAsia="zh-CN"/>
        </w:rPr>
        <w:t>步骤二：省分公司人力资源部整理反馈本省公司关于基准岗位修订的申请：</w:t>
      </w:r>
    </w:p>
    <w:p>
      <w:pPr>
        <w:pStyle w:val="Style13"/>
        <w:rPr/>
      </w:pPr>
      <w:r>
        <w:rPr>
          <w:rFonts w:ascii="SimHei" w:hAnsi="SimHei" w:eastAsia="黑体"/>
        </w:rPr>
        <w:t>省分公司接收到各部门更改基准岗位设置的申请之后，必须对其进行分析，如果新提出的基准岗位设置需求能在现有的基准岗位设置中得到满足，则和相关部门进行讨论如何将新的基准岗位设置需求通过《岗位套入办法》得以实现，如果不能，则将修订申请整理后，向集团人力资源部进行反馈。</w:t>
      </w:r>
    </w:p>
    <w:p>
      <w:pPr>
        <w:pStyle w:val="2"/>
        <w:ind w:start="992" w:hanging="992"/>
        <w:rPr>
          <w:rFonts w:ascii="宋体" w:hAnsi="宋体" w:cs="宋体"/>
          <w:b/>
          <w:b/>
          <w:lang w:val="en-US" w:eastAsia="zh-CN"/>
        </w:rPr>
      </w:pPr>
      <w:r>
        <w:rPr>
          <w:rFonts w:ascii="SimHei" w:hAnsi="SimHei" w:cs="宋体" w:eastAsia="黑体"/>
          <w:b/>
          <w:lang w:val="en-US" w:eastAsia="zh-CN"/>
        </w:rPr>
        <w:t>步骤三：集团人力资源部对基准岗位修订申请进行分析，准备召开专家研讨会议：</w:t>
      </w:r>
    </w:p>
    <w:p>
      <w:pPr>
        <w:pStyle w:val="Style13"/>
        <w:rPr/>
      </w:pPr>
      <w:r>
        <w:rPr>
          <w:rFonts w:ascii="SimHei" w:hAnsi="SimHei" w:eastAsia="黑体"/>
        </w:rPr>
        <w:t>某集团总部各部门及省分公司提出的基准岗位修订需求，集团人力资源部首先进行研究分析，之后，准备召开专家研讨会议，某集团总部各部门委派相关业务条线专家参会。如果修订需求可以在现有的基准岗位设置中得以满足，某集团总部相关部门讨论如何将新的基准岗位设置需求通过《岗位套入办法》进行实现，如果不能则进入下一步骤。</w:t>
      </w:r>
    </w:p>
    <w:p>
      <w:pPr>
        <w:pStyle w:val="2"/>
        <w:ind w:start="992" w:hanging="992"/>
        <w:rPr>
          <w:rFonts w:ascii="宋体" w:hAnsi="宋体" w:cs="宋体"/>
          <w:b/>
          <w:b/>
          <w:lang w:val="en-US" w:eastAsia="zh-CN"/>
        </w:rPr>
      </w:pPr>
      <w:r>
        <w:rPr>
          <w:rFonts w:ascii="SimHei" w:hAnsi="SimHei" w:cs="宋体" w:eastAsia="黑体"/>
          <w:b/>
          <w:lang w:val="en-US" w:eastAsia="zh-CN"/>
        </w:rPr>
        <w:t>步骤四：集团总部各部门组织相关业务条线人员参加专家研讨会议：</w:t>
      </w:r>
    </w:p>
    <w:p>
      <w:pPr>
        <w:pStyle w:val="Style13"/>
        <w:rPr/>
      </w:pPr>
      <w:r>
        <w:rPr>
          <w:rFonts w:ascii="SimHei" w:hAnsi="SimHei" w:eastAsia="黑体"/>
        </w:rPr>
        <w:t>某集团范围内，挑选相关业务条线的专家参与基准岗位设置研讨会议，在研讨会议上，确定哪些建议属于个性问题，不具有推广意义，不予调整基准岗位列表；哪些建议属于共性问题，而且在现有的基准岗位设置中没有得到体现，需要调整基准岗位设置。</w:t>
      </w:r>
    </w:p>
    <w:p>
      <w:pPr>
        <w:pStyle w:val="2"/>
        <w:ind w:start="992" w:hanging="992"/>
        <w:rPr>
          <w:rFonts w:ascii="宋体" w:hAnsi="宋体" w:cs="宋体"/>
          <w:b/>
          <w:b/>
          <w:lang w:val="en-US" w:eastAsia="zh-CN"/>
        </w:rPr>
      </w:pPr>
      <w:r>
        <w:rPr>
          <w:rFonts w:ascii="SimHei" w:hAnsi="SimHei" w:cs="宋体" w:eastAsia="黑体"/>
          <w:b/>
          <w:lang w:val="en-US" w:eastAsia="zh-CN"/>
        </w:rPr>
        <w:t>步骤五：集团人力资源部决定是否调整基准岗位设置：</w:t>
      </w:r>
    </w:p>
    <w:p>
      <w:pPr>
        <w:pStyle w:val="Style13"/>
        <w:rPr/>
      </w:pPr>
      <w:r>
        <w:rPr>
          <w:rFonts w:ascii="SimHei" w:hAnsi="SimHei" w:eastAsia="黑体"/>
        </w:rPr>
        <w:t>集团人力资源部采纳多方建议后形成基准岗位的调整意见，包括岗位名称、岗位职责、任职资格要求和所属序列，根据岗位设置的原则，确定是否对基准岗位设置进行调整。如果经过多个角度分析，不需要进行调整，则基准岗位择机维护的过程到此结束。</w:t>
      </w:r>
    </w:p>
    <w:p>
      <w:pPr>
        <w:pStyle w:val="2"/>
        <w:ind w:start="992" w:hanging="992"/>
        <w:rPr>
          <w:rFonts w:ascii="宋体" w:hAnsi="宋体" w:cs="宋体"/>
          <w:b/>
          <w:b/>
          <w:lang w:val="en-US" w:eastAsia="zh-CN"/>
        </w:rPr>
      </w:pPr>
      <w:r>
        <w:rPr>
          <w:rFonts w:ascii="SimHei" w:hAnsi="SimHei" w:cs="宋体" w:eastAsia="黑体"/>
          <w:b/>
          <w:lang w:val="en-US" w:eastAsia="zh-CN"/>
        </w:rPr>
        <w:t>步骤六：集团人力资源部调整基准岗位并评估级别：</w:t>
      </w:r>
    </w:p>
    <w:p>
      <w:pPr>
        <w:pStyle w:val="Style13"/>
        <w:rPr/>
      </w:pPr>
      <w:r>
        <w:rPr>
          <w:rFonts w:ascii="SimHei" w:hAnsi="SimHei" w:eastAsia="黑体"/>
        </w:rPr>
        <w:t>在对基准岗位进行调整之后，集团人力资源部选择合适的岗位评估方式，对基准岗位的价值进行评估，确定新的基准岗位在中国网通职级结构中的级别。某集团岗位序列及序列层级划分的方案，确定新的岗位对应的职业阶梯，及可能对应的岗位头衔。如果新的基准岗位设置需求，需要对现有的岗位序列进行修改，集团人力资源部即对岗位序列进行重新划分，具体步骤参见</w:t>
      </w:r>
      <w:r>
        <w:rPr>
          <w:rFonts w:ascii="SimHei" w:hAnsi="SimHei" w:eastAsia="黑体"/>
          <w:color w:val="0000FF"/>
        </w:rPr>
        <w:t>《岗位序列管理办法》</w:t>
      </w:r>
      <w:r>
        <w:rPr>
          <w:rFonts w:ascii="SimHei" w:hAnsi="SimHei" w:eastAsia="黑体"/>
        </w:rPr>
        <w:t>。</w:t>
      </w:r>
    </w:p>
    <w:p>
      <w:pPr>
        <w:pStyle w:val="2"/>
        <w:ind w:start="992" w:hanging="992"/>
        <w:rPr>
          <w:rFonts w:ascii="宋体" w:hAnsi="宋体" w:cs="宋体"/>
          <w:b/>
          <w:b/>
          <w:lang w:val="en-US" w:eastAsia="zh-CN"/>
        </w:rPr>
      </w:pPr>
      <w:r>
        <w:rPr>
          <w:rFonts w:ascii="SimHei" w:hAnsi="SimHei" w:cs="宋体" w:eastAsia="黑体"/>
          <w:b/>
          <w:lang w:val="en-US" w:eastAsia="zh-CN"/>
        </w:rPr>
        <w:t>步骤七：集团党组会审批基准岗位修订意见：</w:t>
      </w:r>
    </w:p>
    <w:p>
      <w:pPr>
        <w:pStyle w:val="Style13"/>
        <w:rPr/>
      </w:pPr>
      <w:r>
        <w:rPr>
          <w:rFonts w:ascii="SimHei" w:hAnsi="SimHei" w:eastAsia="黑体"/>
        </w:rPr>
        <w:t>集团人力资源部就更新后的基准岗位设置、基准岗位的职级形成报告，某集团党组会审批，集团党组会从全局的角度，对更新后的基准岗位体系进行审核，某集团基准岗位体系。</w:t>
      </w:r>
    </w:p>
    <w:p>
      <w:pPr>
        <w:pStyle w:val="2"/>
        <w:ind w:start="992" w:hanging="992"/>
        <w:rPr>
          <w:rFonts w:ascii="宋体" w:hAnsi="宋体" w:cs="宋体"/>
          <w:b/>
          <w:b/>
          <w:lang w:val="en-US" w:eastAsia="zh-CN"/>
        </w:rPr>
      </w:pPr>
      <w:r>
        <w:rPr>
          <w:rFonts w:ascii="SimHei" w:hAnsi="SimHei" w:cs="宋体" w:eastAsia="黑体"/>
          <w:b/>
          <w:lang w:val="en-US" w:eastAsia="zh-CN"/>
        </w:rPr>
        <w:t>步骤八：某集团基准岗位修订通知：</w:t>
      </w:r>
    </w:p>
    <w:p>
      <w:pPr>
        <w:pStyle w:val="Style13"/>
        <w:rPr/>
      </w:pPr>
      <w:r>
        <w:rPr>
          <w:rFonts w:ascii="SimHei" w:hAnsi="SimHei" w:eastAsia="黑体"/>
        </w:rPr>
        <w:t>某集团党组会的审批结果，某集团基准岗位修订的通知；并要求各省分公司按照新的基准岗位列表，对本省分公司的岗位设置，进行调整，具体调整步骤与方法，可参见《岗位体系套入实施办法》。</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er"/>
        <w:tabs>
          <w:tab w:val="clear" w:pos="4153"/>
          <w:tab w:val="clear" w:pos="8306"/>
        </w:tabs>
        <w:spacing w:before="0" w:after="240"/>
        <w:rPr>
          <w:rFonts w:ascii="宋体" w:hAnsi="宋体" w:cs="宋体"/>
        </w:rPr>
      </w:pPr>
      <w:r>
        <w:rPr>
          <w:rFonts w:cs="宋体" w:ascii="SimHei" w:hAnsi="SimHei" w:eastAsia="黑体"/>
        </w:rPr>
      </w:r>
    </w:p>
    <w:sectPr>
      <w:headerReference w:type="default" r:id="rId5"/>
      <w:footerReference w:type="default" r:id="rId6"/>
      <w:type w:val="nextPage"/>
      <w:pgSz w:w="11906" w:h="16838"/>
      <w:pgMar w:left="1701" w:right="1133" w:header="547" w:top="1440" w:footer="14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Black">
    <w:charset w:val="00" w:characterSet="windows-1252"/>
    <w:family w:val="swiss"/>
    <w:pitch w:val="default"/>
  </w:font>
  <w:font w:name="Arial">
    <w:charset w:val="00" w:characterSet="windows-1252"/>
    <w:family w:val="swiss"/>
    <w:pitch w:val="default"/>
  </w:font>
  <w:font w:name="Wingdings">
    <w:charset w:val="02"/>
    <w:family w:val="auto"/>
    <w:pitch w:val="default"/>
  </w:font>
  <w:font w:name="Times NR">
    <w:altName w:val="Times New Roman"/>
    <w:charset w:val="00" w:characterSet="windows-1252"/>
    <w:family w:val="roman"/>
    <w:pitch w:val="default"/>
  </w:font>
  <w:font w:name="Times">
    <w:altName w:val="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rPr/>
    </w:lvl>
    <w:lvl w:ilvl="1">
      <w:start w:val="1"/>
      <w:pStyle w:val="Heading2"/>
      <w:numFmt w:val="none"/>
      <w:suff w:val="nothing"/>
      <w:lvlText w:val=""/>
      <w:lvlJc w:val="start"/>
      <w:pPr>
        <w:tabs>
          <w:tab w:val="num" w:pos="0"/>
        </w:tabs>
        <w:ind w:start="0" w:hanging="0"/>
      </w:pPr>
      <w:rPr/>
    </w:lvl>
    <w:lvl w:ilvl="2">
      <w:start w:val="1"/>
      <w:pStyle w:val="Heading3"/>
      <w:numFmt w:val="none"/>
      <w:suff w:val="nothing"/>
      <w:lvlText w:val=""/>
      <w:lvlJc w:val="start"/>
      <w:pPr>
        <w:tabs>
          <w:tab w:val="num" w:pos="0"/>
        </w:tabs>
        <w:ind w:start="0" w:hanging="0"/>
      </w:pPr>
      <w:rPr/>
    </w:lvl>
    <w:lvl w:ilvl="3">
      <w:start w:val="1"/>
      <w:pStyle w:val="Heading4"/>
      <w:numFmt w:val="none"/>
      <w:suff w:val="nothing"/>
      <w:lvlText w:val=""/>
      <w:lvlJc w:val="start"/>
      <w:pPr>
        <w:tabs>
          <w:tab w:val="num" w:pos="0"/>
        </w:tabs>
        <w:ind w:start="0" w:hanging="0"/>
      </w:pPr>
      <w:rPr/>
    </w:lvl>
    <w:lvl w:ilvl="4">
      <w:start w:val="1"/>
      <w:pStyle w:val="Heading5"/>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upperLetter"/>
      <w:lvlText w:val="Appendix %1"/>
      <w:lvlJc w:val="start"/>
      <w:pPr>
        <w:tabs>
          <w:tab w:val="num" w:pos="0"/>
        </w:tabs>
        <w:ind w:start="360" w:hanging="360"/>
      </w:pPr>
      <w:rPr/>
    </w:lvl>
    <w:lvl w:ilvl="1">
      <w:start w:val="1"/>
      <w:numFmt w:val="decimal"/>
      <w:lvlText w:val="%1.%2"/>
      <w:lvlJc w:val="start"/>
      <w:pPr>
        <w:tabs>
          <w:tab w:val="num" w:pos="0"/>
        </w:tabs>
        <w:ind w:start="992" w:hanging="567"/>
      </w:pPr>
      <w:rPr/>
    </w:lvl>
    <w:lvl w:ilvl="2">
      <w:start w:val="1"/>
      <w:numFmt w:val="decimal"/>
      <w:lvlText w:val="%1.%2.%3"/>
      <w:lvlJc w:val="start"/>
      <w:pPr>
        <w:tabs>
          <w:tab w:val="num" w:pos="0"/>
        </w:tabs>
        <w:ind w:start="1418" w:hanging="567"/>
      </w:pPr>
      <w:rPr/>
    </w:lvl>
    <w:lvl w:ilvl="3">
      <w:start w:val="1"/>
      <w:numFmt w:val="decimal"/>
      <w:lvlText w:val="%1.%2.%3.%4"/>
      <w:lvlJc w:val="start"/>
      <w:pPr>
        <w:tabs>
          <w:tab w:val="num" w:pos="0"/>
        </w:tabs>
        <w:ind w:start="1984" w:hanging="708"/>
      </w:pPr>
      <w:rPr/>
    </w:lvl>
    <w:lvl w:ilvl="4">
      <w:start w:val="1"/>
      <w:numFmt w:val="decimal"/>
      <w:lvlText w:val="%1.%2.%3.%4.%5"/>
      <w:lvlJc w:val="start"/>
      <w:pPr>
        <w:tabs>
          <w:tab w:val="num" w:pos="0"/>
        </w:tabs>
        <w:ind w:start="2551" w:hanging="850"/>
      </w:pPr>
      <w:rPr/>
    </w:lvl>
    <w:lvl w:ilvl="5">
      <w:start w:val="1"/>
      <w:numFmt w:val="decimal"/>
      <w:lvlText w:val="%1.%2.%3.%4.%5.%6"/>
      <w:lvlJc w:val="start"/>
      <w:pPr>
        <w:tabs>
          <w:tab w:val="num" w:pos="0"/>
        </w:tabs>
        <w:ind w:start="3260" w:hanging="1134"/>
      </w:pPr>
      <w:rPr/>
    </w:lvl>
    <w:lvl w:ilvl="6">
      <w:start w:val="1"/>
      <w:numFmt w:val="decimal"/>
      <w:lvlText w:val="%1.%2.%3.%4.%5.%6.%7"/>
      <w:lvlJc w:val="start"/>
      <w:pPr>
        <w:tabs>
          <w:tab w:val="num" w:pos="0"/>
        </w:tabs>
        <w:ind w:start="3827" w:hanging="1276"/>
      </w:pPr>
      <w:rPr/>
    </w:lvl>
    <w:lvl w:ilvl="7">
      <w:start w:val="1"/>
      <w:numFmt w:val="decimal"/>
      <w:lvlText w:val="%1.%2.%3.%4.%5.%6.%7.%8"/>
      <w:lvlJc w:val="start"/>
      <w:pPr>
        <w:tabs>
          <w:tab w:val="num" w:pos="0"/>
        </w:tabs>
        <w:ind w:start="4394" w:hanging="1418"/>
      </w:pPr>
      <w:rPr/>
    </w:lvl>
    <w:lvl w:ilvl="8">
      <w:start w:val="1"/>
      <w:numFmt w:val="decimal"/>
      <w:lvlText w:val="%1.%2.%3.%4.%5.%6.%7.%8.%9"/>
      <w:lvlJc w:val="start"/>
      <w:pPr>
        <w:tabs>
          <w:tab w:val="num" w:pos="0"/>
        </w:tabs>
        <w:ind w:start="5102" w:hanging="1700"/>
      </w:pPr>
      <w:rPr/>
    </w:lvl>
  </w:abstractNum>
  <w:abstractNum w:abstractNumId="3">
    <w:lvl w:ilvl="0">
      <w:start w:val="1"/>
      <w:numFmt w:val="decimal"/>
      <w:lvlText w:val="%1."/>
      <w:lvlJc w:val="start"/>
      <w:pPr>
        <w:tabs>
          <w:tab w:val="num" w:pos="0"/>
        </w:tabs>
        <w:ind w:start="360" w:hanging="360"/>
      </w:pPr>
      <w:rPr/>
    </w:lvl>
  </w:abstractNum>
  <w:abstractNum w:abstractNumId="4">
    <w:lvl w:ilvl="0">
      <w:start w:val="1"/>
      <w:numFmt w:val="bullet"/>
      <w:lvlText w:val=""/>
      <w:lvlJc w:val="start"/>
      <w:pPr>
        <w:tabs>
          <w:tab w:val="num" w:pos="0"/>
        </w:tabs>
        <w:ind w:start="360" w:hanging="360"/>
      </w:pPr>
      <w:rPr>
        <w:rFonts w:ascii="Wingdings" w:hAnsi="Wingdings" w:cs="Wingdings" w:hint="default"/>
      </w:rPr>
    </w:lvl>
  </w:abstractNum>
  <w:abstractNum w:abstractNumId="5">
    <w:lvl w:ilvl="0">
      <w:start w:val="1"/>
      <w:numFmt w:val="bullet"/>
      <w:lvlText w:val="–"/>
      <w:lvlJc w:val="start"/>
      <w:pPr>
        <w:tabs>
          <w:tab w:val="num" w:pos="0"/>
        </w:tabs>
        <w:ind w:start="780" w:hanging="420"/>
      </w:pPr>
      <w:rPr>
        <w:rFonts w:ascii="Arial" w:hAnsi="Arial" w:cs="Arial" w:hint="default"/>
        <w:sz w:val="24"/>
        <w:szCs w:val="24"/>
        <w:lang w:val="en-US"/>
      </w:rPr>
    </w:lvl>
    <w:lvl w:ilvl="1">
      <w:start w:val="1"/>
      <w:numFmt w:val="bullet"/>
      <w:lvlText w:val=""/>
      <w:lvlJc w:val="start"/>
      <w:pPr>
        <w:tabs>
          <w:tab w:val="num" w:pos="0"/>
        </w:tabs>
        <w:ind w:start="480" w:hanging="420"/>
      </w:pPr>
      <w:rPr>
        <w:rFonts w:ascii="Wingdings" w:hAnsi="Wingdings" w:cs="Wingdings" w:hint="default"/>
      </w:rPr>
    </w:lvl>
    <w:lvl w:ilvl="2">
      <w:start w:val="1"/>
      <w:numFmt w:val="bullet"/>
      <w:lvlText w:val=""/>
      <w:lvlJc w:val="start"/>
      <w:pPr>
        <w:tabs>
          <w:tab w:val="num" w:pos="0"/>
        </w:tabs>
        <w:ind w:start="900" w:hanging="420"/>
      </w:pPr>
      <w:rPr>
        <w:rFonts w:ascii="Wingdings" w:hAnsi="Wingdings" w:cs="Wingdings" w:hint="default"/>
      </w:rPr>
    </w:lvl>
    <w:lvl w:ilvl="3">
      <w:start w:val="1"/>
      <w:numFmt w:val="bullet"/>
      <w:lvlText w:val=""/>
      <w:lvlJc w:val="start"/>
      <w:pPr>
        <w:tabs>
          <w:tab w:val="num" w:pos="0"/>
        </w:tabs>
        <w:ind w:start="1320" w:hanging="420"/>
      </w:pPr>
      <w:rPr>
        <w:rFonts w:ascii="Wingdings" w:hAnsi="Wingdings" w:cs="Wingdings" w:hint="default"/>
      </w:rPr>
    </w:lvl>
    <w:lvl w:ilvl="4">
      <w:start w:val="1"/>
      <w:numFmt w:val="bullet"/>
      <w:lvlText w:val=""/>
      <w:lvlJc w:val="start"/>
      <w:pPr>
        <w:tabs>
          <w:tab w:val="num" w:pos="0"/>
        </w:tabs>
        <w:ind w:start="1740" w:hanging="420"/>
      </w:pPr>
      <w:rPr>
        <w:rFonts w:ascii="Wingdings" w:hAnsi="Wingdings" w:cs="Wingdings" w:hint="default"/>
      </w:rPr>
    </w:lvl>
    <w:lvl w:ilvl="5">
      <w:start w:val="1"/>
      <w:numFmt w:val="bullet"/>
      <w:lvlText w:val=""/>
      <w:lvlJc w:val="start"/>
      <w:pPr>
        <w:tabs>
          <w:tab w:val="num" w:pos="0"/>
        </w:tabs>
        <w:ind w:start="2160" w:hanging="420"/>
      </w:pPr>
      <w:rPr>
        <w:rFonts w:ascii="Wingdings" w:hAnsi="Wingdings" w:cs="Wingdings" w:hint="default"/>
      </w:rPr>
    </w:lvl>
    <w:lvl w:ilvl="6">
      <w:start w:val="1"/>
      <w:numFmt w:val="bullet"/>
      <w:lvlText w:val=""/>
      <w:lvlJc w:val="start"/>
      <w:pPr>
        <w:tabs>
          <w:tab w:val="num" w:pos="0"/>
        </w:tabs>
        <w:ind w:start="2580" w:hanging="420"/>
      </w:pPr>
      <w:rPr>
        <w:rFonts w:ascii="Wingdings" w:hAnsi="Wingdings" w:cs="Wingdings" w:hint="default"/>
      </w:rPr>
    </w:lvl>
    <w:lvl w:ilvl="7">
      <w:start w:val="1"/>
      <w:numFmt w:val="bullet"/>
      <w:lvlText w:val=""/>
      <w:lvlJc w:val="start"/>
      <w:pPr>
        <w:tabs>
          <w:tab w:val="num" w:pos="0"/>
        </w:tabs>
        <w:ind w:start="3000" w:hanging="420"/>
      </w:pPr>
      <w:rPr>
        <w:rFonts w:ascii="Wingdings" w:hAnsi="Wingdings" w:cs="Wingdings" w:hint="default"/>
      </w:rPr>
    </w:lvl>
    <w:lvl w:ilvl="8">
      <w:start w:val="1"/>
      <w:numFmt w:val="bullet"/>
      <w:lvlText w:val=""/>
      <w:lvlJc w:val="start"/>
      <w:pPr>
        <w:tabs>
          <w:tab w:val="num" w:pos="0"/>
        </w:tabs>
        <w:ind w:start="3420" w:hanging="420"/>
      </w:pPr>
      <w:rPr>
        <w:rFonts w:ascii="Wingdings" w:hAnsi="Wingdings" w:cs="Wingdings" w:hint="default"/>
      </w:rPr>
    </w:lvl>
  </w:abstractNum>
  <w:abstractNum w:abstractNumId="6">
    <w:lvl w:ilvl="0">
      <w:start w:val="1"/>
      <w:numFmt w:val="decimal"/>
      <w:lvlText w:val=""/>
      <w:lvlJc w:val="start"/>
      <w:pPr>
        <w:tabs>
          <w:tab w:val="num" w:pos="0"/>
        </w:tabs>
        <w:ind w:start="360" w:hanging="360"/>
      </w:pPr>
      <w:rPr>
        <w:rFonts w:ascii="Wingdings" w:hAnsi="Wingdings" w:cs="Wingdings"/>
      </w:rPr>
    </w:lvl>
    <w:lvl w:ilvl="1">
      <w:start w:val="1"/>
      <w:numFmt w:val="decimal"/>
      <w:lvlText w:val="–"/>
      <w:lvlJc w:val="start"/>
      <w:pPr>
        <w:tabs>
          <w:tab w:val="num" w:pos="0"/>
        </w:tabs>
        <w:ind w:start="720" w:hanging="360"/>
      </w:pPr>
      <w:rPr>
        <w:rFonts w:ascii="Times NR;Times New Roman" w:hAnsi="Times NR;Times New Roman" w:cs="Times NR;Times New Roman"/>
      </w:rPr>
    </w:lvl>
    <w:lvl w:ilvl="2">
      <w:start w:val="1"/>
      <w:numFmt w:val="decimal"/>
      <w:lvlText w:val=""/>
      <w:lvlJc w:val="start"/>
      <w:pPr>
        <w:tabs>
          <w:tab w:val="num" w:pos="0"/>
        </w:tabs>
        <w:ind w:start="1080" w:hanging="360"/>
      </w:pPr>
      <w:rPr>
        <w:rFonts w:ascii="Wingdings" w:hAnsi="Wingdings" w:cs="Wingdings"/>
      </w:rPr>
    </w:lvl>
    <w:lvl w:ilvl="3">
      <w:start w:val="1"/>
      <w:numFmt w:val="decimal"/>
      <w:lvlText w:val="-"/>
      <w:lvlJc w:val="start"/>
      <w:pPr>
        <w:tabs>
          <w:tab w:val="num" w:pos="0"/>
        </w:tabs>
        <w:ind w:start="1440" w:hanging="360"/>
      </w:pPr>
      <w:rPr>
        <w:rFonts w:ascii="Times NR;Times New Roman" w:hAnsi="Times NR;Times New Roman" w:cs="Times NR;Times New Roman"/>
      </w:rPr>
    </w:lvl>
    <w:lvl w:ilvl="4">
      <w:start w:val="1"/>
      <w:numFmt w:val="decimal"/>
      <w:lvlText w:val="%1.%2.%3.%4.%5"/>
      <w:lvlJc w:val="start"/>
      <w:pPr>
        <w:tabs>
          <w:tab w:val="num" w:pos="0"/>
        </w:tabs>
        <w:ind w:start="2551" w:hanging="850"/>
      </w:pPr>
      <w:rPr/>
    </w:lvl>
    <w:lvl w:ilvl="5">
      <w:start w:val="1"/>
      <w:numFmt w:val="decimal"/>
      <w:lvlText w:val="%1.%2.%3.%4.%5.%6"/>
      <w:lvlJc w:val="start"/>
      <w:pPr>
        <w:tabs>
          <w:tab w:val="num" w:pos="0"/>
        </w:tabs>
        <w:ind w:start="3260" w:hanging="1134"/>
      </w:pPr>
      <w:rPr/>
    </w:lvl>
    <w:lvl w:ilvl="6">
      <w:start w:val="1"/>
      <w:numFmt w:val="decimal"/>
      <w:lvlText w:val="%1.%2.%3.%4.%5.%6.%7"/>
      <w:lvlJc w:val="start"/>
      <w:pPr>
        <w:tabs>
          <w:tab w:val="num" w:pos="0"/>
        </w:tabs>
        <w:ind w:start="3827" w:hanging="1276"/>
      </w:pPr>
      <w:rPr/>
    </w:lvl>
    <w:lvl w:ilvl="7">
      <w:start w:val="1"/>
      <w:numFmt w:val="decimal"/>
      <w:lvlText w:val="%1.%2.%3.%4.%5.%6.%7.%8"/>
      <w:lvlJc w:val="start"/>
      <w:pPr>
        <w:tabs>
          <w:tab w:val="num" w:pos="0"/>
        </w:tabs>
        <w:ind w:start="4394" w:hanging="1418"/>
      </w:pPr>
      <w:rPr/>
    </w:lvl>
    <w:lvl w:ilvl="8">
      <w:start w:val="1"/>
      <w:numFmt w:val="decimal"/>
      <w:lvlText w:val="%1.%2.%3.%4.%5.%6.%7.%8.%9"/>
      <w:lvlJc w:val="start"/>
      <w:pPr>
        <w:tabs>
          <w:tab w:val="num" w:pos="0"/>
        </w:tabs>
        <w:ind w:start="5102" w:hanging="1700"/>
      </w:pPr>
      <w:rPr/>
    </w:lvl>
  </w:abstractNum>
  <w:abstractNum w:abstractNumId="7">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decimal"/>
      <w:lvlText w:val="%6."/>
      <w:lvlJc w:val="start"/>
      <w:pPr>
        <w:tabs>
          <w:tab w:val="num" w:pos="0"/>
        </w:tabs>
        <w:ind w:start="360" w:hanging="360"/>
      </w:pPr>
      <w:rPr/>
    </w:lvl>
    <w:lvl w:ilvl="6">
      <w:start w:val="1"/>
      <w:numFmt w:val="decimal"/>
      <w:lvlText w:val="%7）"/>
      <w:lvlJc w:val="start"/>
      <w:pPr>
        <w:tabs>
          <w:tab w:val="num" w:pos="0"/>
        </w:tabs>
        <w:ind w:start="720" w:hanging="360"/>
      </w:pPr>
      <w:rPr>
        <w:color w:val="000000"/>
      </w:rPr>
    </w:lvl>
    <w:lvl w:ilvl="7">
      <w:start w:val="1"/>
      <w:numFmt w:val="decimal"/>
      <w:lvlText w:val="%8."/>
      <w:lvlJc w:val="start"/>
      <w:pPr>
        <w:tabs>
          <w:tab w:val="num" w:pos="0"/>
        </w:tabs>
        <w:ind w:start="1080" w:hanging="360"/>
      </w:pPr>
      <w:rPr/>
    </w:lvl>
    <w:lvl w:ilvl="8">
      <w:start w:val="1"/>
      <w:numFmt w:val="lowerLetter"/>
      <w:lvlText w:val="%9."/>
      <w:lvlJc w:val="start"/>
      <w:pPr>
        <w:tabs>
          <w:tab w:val="num" w:pos="0"/>
        </w:tabs>
        <w:ind w:start="1440" w:hanging="360"/>
      </w:pPr>
      <w:rPr/>
    </w:lvl>
  </w:abstractNum>
  <w:abstractNum w:abstractNumId="8">
    <w:lvl w:ilvl="0">
      <w:start w:val="1"/>
      <w:numFmt w:val="chineseCountingThousand"/>
      <w:lvlText w:val="第%1，"/>
      <w:lvlJc w:val="start"/>
      <w:pPr>
        <w:tabs>
          <w:tab w:val="num" w:pos="0"/>
        </w:tabs>
        <w:ind w:start="1080" w:hanging="72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9">
    <w:lvl w:ilvl="0">
      <w:start w:val="1"/>
      <w:numFmt w:val="decimal"/>
      <w:lvlText w:val=" %1"/>
      <w:lvlJc w:val="start"/>
      <w:pPr>
        <w:tabs>
          <w:tab w:val="num" w:pos="0"/>
        </w:tabs>
        <w:ind w:start="360" w:hanging="360"/>
      </w:pPr>
      <w:rPr/>
    </w:lvl>
  </w:abstractNum>
  <w:abstractNum w:abstractNumId="10">
    <w:lvl w:ilvl="0">
      <w:start w:val="1"/>
      <w:numFmt w:val="decimal"/>
      <w:lvlText w:val="%1."/>
      <w:lvlJc w:val="start"/>
      <w:pPr>
        <w:tabs>
          <w:tab w:val="num" w:pos="0"/>
        </w:tabs>
        <w:ind w:start="720" w:hanging="720"/>
      </w:pPr>
      <w:rPr/>
    </w:lvl>
    <w:lvl w:ilvl="1">
      <w:start w:val="1"/>
      <w:numFmt w:val="decimal"/>
      <w:lvlText w:val="%1.%2."/>
      <w:lvlJc w:val="start"/>
      <w:pPr>
        <w:tabs>
          <w:tab w:val="num" w:pos="0"/>
        </w:tabs>
        <w:ind w:start="720"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2551" w:hanging="850"/>
      </w:pPr>
      <w:rPr/>
    </w:lvl>
    <w:lvl w:ilvl="5">
      <w:start w:val="1"/>
      <w:numFmt w:val="decimal"/>
      <w:lvlText w:val="%1.%2.%3.%4.%5.%6"/>
      <w:lvlJc w:val="start"/>
      <w:pPr>
        <w:tabs>
          <w:tab w:val="num" w:pos="0"/>
        </w:tabs>
        <w:ind w:start="3260" w:hanging="1134"/>
      </w:pPr>
      <w:rPr/>
    </w:lvl>
    <w:lvl w:ilvl="6">
      <w:start w:val="1"/>
      <w:numFmt w:val="decimal"/>
      <w:lvlText w:val="%1.%2.%3.%4.%5.%6.%7"/>
      <w:lvlJc w:val="start"/>
      <w:pPr>
        <w:tabs>
          <w:tab w:val="num" w:pos="0"/>
        </w:tabs>
        <w:ind w:start="3827" w:hanging="1276"/>
      </w:pPr>
      <w:rPr/>
    </w:lvl>
    <w:lvl w:ilvl="7">
      <w:start w:val="1"/>
      <w:numFmt w:val="decimal"/>
      <w:lvlText w:val="%1.%2.%3.%4.%5.%6.%7.%8"/>
      <w:lvlJc w:val="start"/>
      <w:pPr>
        <w:tabs>
          <w:tab w:val="num" w:pos="0"/>
        </w:tabs>
        <w:ind w:start="4394" w:hanging="1418"/>
      </w:pPr>
      <w:rPr/>
    </w:lvl>
    <w:lvl w:ilvl="8">
      <w:start w:val="1"/>
      <w:numFmt w:val="decimal"/>
      <w:lvlText w:val="%1.%2.%3.%4.%5.%6.%7.%8.%9"/>
      <w:lvlJc w:val="start"/>
      <w:pPr>
        <w:tabs>
          <w:tab w:val="num" w:pos="0"/>
        </w:tabs>
        <w:ind w:start="5102" w:hanging="17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7"/>
    <w:lvlOverride w:ilvl="6">
      <w:startOverride w:val="1"/>
    </w:lvlOverride>
  </w:num>
  <w:num w:numId="12">
    <w:abstractNumId w:val="7"/>
    <w:lvlOverride w:ilvl="6">
      <w:startOverride w:val="1"/>
    </w:lvlOverride>
  </w:num>
</w:numbering>
</file>

<file path=word/settings.xml><?xml version="1.0" encoding="utf-8"?>
<w:settings xmlns:w="http://schemas.openxmlformats.org/wordprocessingml/2006/main">
  <w:zoom w:percent="69"/>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spacing w:lineRule="atLeast" w:line="300" w:before="0" w:after="300"/>
    </w:pPr>
    <w:rPr>
      <w:rFonts w:ascii="Times New Roman" w:hAnsi="Times New Roman" w:eastAsia="宋体" w:cs="Times New Roman"/>
      <w:color w:val="auto"/>
      <w:sz w:val="24"/>
      <w:szCs w:val="20"/>
      <w:lang w:val="en-GB" w:eastAsia="en-US" w:bidi="ar-SA"/>
    </w:rPr>
  </w:style>
  <w:style w:type="paragraph" w:styleId="Heading1">
    <w:name w:val="Heading 1"/>
    <w:basedOn w:val="Normal"/>
    <w:next w:val="Normal"/>
    <w:qFormat/>
    <w:pPr>
      <w:keepNext w:val="true"/>
      <w:numPr>
        <w:ilvl w:val="0"/>
        <w:numId w:val="1"/>
      </w:numPr>
      <w:tabs>
        <w:tab w:val="clear" w:pos="360"/>
        <w:tab w:val="left" w:pos="0" w:leader="none"/>
      </w:tabs>
      <w:spacing w:lineRule="atLeast" w:line="360" w:before="440" w:after="300"/>
      <w:outlineLvl w:val="0"/>
    </w:pPr>
    <w:rPr>
      <w:rFonts w:ascii="Arial Black" w:hAnsi="Arial Black" w:cs="Arial Black"/>
      <w:sz w:val="28"/>
    </w:rPr>
  </w:style>
  <w:style w:type="paragraph" w:styleId="Heading2">
    <w:name w:val="Heading 2"/>
    <w:basedOn w:val="Normal"/>
    <w:next w:val="Normal"/>
    <w:qFormat/>
    <w:pPr>
      <w:keepNext w:val="true"/>
      <w:numPr>
        <w:ilvl w:val="1"/>
        <w:numId w:val="1"/>
      </w:numPr>
      <w:tabs>
        <w:tab w:val="clear" w:pos="360"/>
        <w:tab w:val="left" w:pos="0" w:leader="none"/>
      </w:tabs>
      <w:spacing w:lineRule="atLeast" w:line="360"/>
      <w:outlineLvl w:val="1"/>
    </w:pPr>
    <w:rPr>
      <w:rFonts w:ascii="Arial" w:hAnsi="Arial" w:cs="Arial"/>
      <w:sz w:val="28"/>
    </w:rPr>
  </w:style>
  <w:style w:type="paragraph" w:styleId="Heading3">
    <w:name w:val="Heading 3"/>
    <w:basedOn w:val="Normal"/>
    <w:next w:val="Normal"/>
    <w:qFormat/>
    <w:pPr>
      <w:keepNext w:val="true"/>
      <w:numPr>
        <w:ilvl w:val="2"/>
        <w:numId w:val="1"/>
      </w:numPr>
      <w:tabs>
        <w:tab w:val="clear" w:pos="360"/>
        <w:tab w:val="left" w:pos="0" w:leader="none"/>
      </w:tabs>
      <w:outlineLvl w:val="2"/>
    </w:pPr>
    <w:rPr>
      <w:rFonts w:ascii="Arial Black" w:hAnsi="Arial Black" w:cs="Arial Black"/>
    </w:rPr>
  </w:style>
  <w:style w:type="paragraph" w:styleId="Heading4">
    <w:name w:val="Heading 4"/>
    <w:basedOn w:val="Normal"/>
    <w:next w:val="Normal"/>
    <w:qFormat/>
    <w:pPr>
      <w:keepNext w:val="true"/>
      <w:numPr>
        <w:ilvl w:val="3"/>
        <w:numId w:val="1"/>
      </w:numPr>
      <w:tabs>
        <w:tab w:val="clear" w:pos="360"/>
        <w:tab w:val="left" w:pos="0" w:leader="none"/>
      </w:tabs>
      <w:outlineLvl w:val="3"/>
    </w:pPr>
    <w:rPr>
      <w:rFonts w:ascii="Arial" w:hAnsi="Arial" w:cs="Arial"/>
    </w:rPr>
  </w:style>
  <w:style w:type="paragraph" w:styleId="Heading5">
    <w:name w:val="Heading 5"/>
    <w:basedOn w:val="Normal"/>
    <w:next w:val="Normal"/>
    <w:qFormat/>
    <w:pPr>
      <w:numPr>
        <w:ilvl w:val="4"/>
        <w:numId w:val="1"/>
      </w:numPr>
      <w:tabs>
        <w:tab w:val="clear" w:pos="360"/>
        <w:tab w:val="left" w:pos="0" w:leader="none"/>
      </w:tabs>
      <w:spacing w:before="0" w:after="0"/>
      <w:outlineLvl w:val="4"/>
    </w:pPr>
    <w:rPr>
      <w:rFonts w:ascii="Arial Black" w:hAnsi="Arial Black" w:cs="Arial Black"/>
      <w:sz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rFonts w:ascii="Wingdings" w:hAnsi="Wingdings" w:cs="Wingdings"/>
    </w:rPr>
  </w:style>
  <w:style w:type="character" w:styleId="WW8Num4z0">
    <w:name w:val="WW8Num4z0"/>
    <w:qFormat/>
    <w:rPr>
      <w:rFonts w:ascii="Arial" w:hAnsi="Arial" w:cs="Arial"/>
      <w:sz w:val="24"/>
      <w:szCs w:val="24"/>
      <w:lang w:val="en-US"/>
    </w:rPr>
  </w:style>
  <w:style w:type="character" w:styleId="WW8Num4z1">
    <w:name w:val="WW8Num4z1"/>
    <w:qFormat/>
    <w:rPr>
      <w:rFonts w:ascii="Wingdings" w:hAnsi="Wingdings" w:cs="Wingdings"/>
    </w:rPr>
  </w:style>
  <w:style w:type="character" w:styleId="WW8Num5z0">
    <w:name w:val="WW8Num5z0"/>
    <w:qFormat/>
    <w:rPr>
      <w:rFonts w:ascii="Wingdings" w:hAnsi="Wingdings" w:cs="Wingdings"/>
    </w:rPr>
  </w:style>
  <w:style w:type="character" w:styleId="WW8Num5z1">
    <w:name w:val="WW8Num5z1"/>
    <w:qFormat/>
    <w:rPr>
      <w:rFonts w:ascii="Times NR;Times New Roman" w:hAnsi="Times NR;Times New Roman" w:cs="Times NR;Times New Roman"/>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color w:val="000000"/>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Style9">
    <w:name w:val="默认段落字体"/>
    <w:qFormat/>
    <w:rPr/>
  </w:style>
  <w:style w:type="character" w:styleId="TextHide">
    <w:name w:val="Text Hide"/>
    <w:basedOn w:val="Style9"/>
    <w:qFormat/>
    <w:rPr/>
  </w:style>
  <w:style w:type="character" w:styleId="Int3ATMTextChar">
    <w:name w:val="Int3/ATM Text Char"/>
    <w:qFormat/>
    <w:rPr>
      <w:rFonts w:ascii="Times;Times New Roman" w:hAnsi="Times;Times New Roman" w:eastAsia="宋体" w:cs="Times;Times New Roman"/>
      <w:sz w:val="30"/>
      <w:lang w:val="en-GB" w:eastAsia="zh-CN" w:bidi="ar-SA"/>
    </w:rPr>
  </w:style>
  <w:style w:type="character" w:styleId="InternetLink">
    <w:name w:val="Hyperlink"/>
    <w:rPr>
      <w:color w:val="0000FF"/>
      <w:u w:val="single"/>
    </w:rPr>
  </w:style>
  <w:style w:type="character" w:styleId="1Char">
    <w:name w:val="标题 1 Char"/>
    <w:qFormat/>
    <w:rPr>
      <w:rFonts w:ascii="Arial Black" w:hAnsi="Arial Black" w:cs="Arial Black"/>
      <w:sz w:val="28"/>
      <w:lang w:val="en-GB" w:eastAsia="en-US"/>
    </w:rPr>
  </w:style>
  <w:style w:type="character" w:styleId="FootnoteCharacters">
    <w:name w:val="Footnote Characters"/>
    <w:qFormat/>
    <w:rPr>
      <w:vertAlign w:val="superscript"/>
    </w:rPr>
  </w:style>
  <w:style w:type="character" w:styleId="PageNumber">
    <w:name w:val="Page Number"/>
    <w:rPr>
      <w:rFonts w:ascii="Times New Roman" w:hAnsi="Times New Roman" w:cs="Times New Roman"/>
      <w:b w:val="false"/>
      <w:i w:val="false"/>
      <w:caps w:val="false"/>
      <w:smallCaps w:val="false"/>
      <w:sz w:val="20"/>
      <w:u w:val="non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0">
    <w:name w:val="批注框文本"/>
    <w:basedOn w:val="Normal"/>
    <w:qFormat/>
    <w:pPr/>
    <w:rPr>
      <w:sz w:val="16"/>
      <w:szCs w:val="16"/>
    </w:rPr>
  </w:style>
  <w:style w:type="paragraph" w:styleId="2">
    <w:name w:val="列表编号 2"/>
    <w:basedOn w:val="Normal"/>
    <w:qFormat/>
    <w:pPr>
      <w:outlineLvl w:val="6"/>
    </w:pPr>
    <w:rPr/>
  </w:style>
  <w:style w:type="paragraph" w:styleId="Style11">
    <w:name w:val="注释标题"/>
    <w:basedOn w:val="Normal"/>
    <w:next w:val="NoteText"/>
    <w:qFormat/>
    <w:pPr>
      <w:spacing w:lineRule="atLeast" w:line="200" w:before="200" w:after="0"/>
    </w:pPr>
    <w:rPr>
      <w:rFonts w:ascii="Arial Black" w:hAnsi="Arial Black" w:cs="Arial Black"/>
      <w:sz w:val="16"/>
    </w:rPr>
  </w:style>
  <w:style w:type="paragraph" w:styleId="TextBodyIndent">
    <w:name w:val="Body Text Indent"/>
    <w:basedOn w:val="Normal"/>
    <w:pPr>
      <w:spacing w:before="0" w:after="120"/>
      <w:ind w:start="420" w:hanging="0"/>
    </w:pPr>
    <w:rPr/>
  </w:style>
  <w:style w:type="paragraph" w:styleId="Style12">
    <w:name w:val="列表编号"/>
    <w:basedOn w:val="Normal"/>
    <w:qFormat/>
    <w:pPr>
      <w:numPr>
        <w:ilvl w:val="0"/>
        <w:numId w:val="7"/>
      </w:numPr>
      <w:tabs>
        <w:tab w:val="left" w:pos="360" w:leader="none"/>
      </w:tabs>
      <w:outlineLvl w:val="5"/>
    </w:pPr>
    <w:rPr/>
  </w:style>
  <w:style w:type="paragraph" w:styleId="Base">
    <w:name w:val="Base"/>
    <w:qFormat/>
    <w:pPr>
      <w:widowControl/>
      <w:bidi w:val="0"/>
    </w:pPr>
    <w:rPr>
      <w:rFonts w:ascii="Arial" w:hAnsi="Arial" w:eastAsia="宋体" w:cs="Arial"/>
      <w:color w:val="auto"/>
      <w:sz w:val="16"/>
      <w:szCs w:val="20"/>
      <w:lang w:val="en-GB" w:eastAsia="en-US" w:bidi="ar-SA"/>
    </w:rPr>
  </w:style>
  <w:style w:type="paragraph" w:styleId="HeaderandFooter">
    <w:name w:val="Header and Footer"/>
    <w:basedOn w:val="Normal"/>
    <w:qFormat/>
    <w:pPr>
      <w:suppressLineNumbers/>
      <w:tabs>
        <w:tab w:val="clear" w:pos="360"/>
        <w:tab w:val="center" w:pos="4819" w:leader="none"/>
        <w:tab w:val="right" w:pos="9638" w:leader="none"/>
      </w:tabs>
    </w:pPr>
    <w:rPr/>
  </w:style>
  <w:style w:type="paragraph" w:styleId="Header">
    <w:name w:val="Header"/>
    <w:basedOn w:val="Base"/>
    <w:pPr>
      <w:tabs>
        <w:tab w:val="clear" w:pos="360"/>
        <w:tab w:val="center" w:pos="4153" w:leader="none"/>
        <w:tab w:val="right" w:pos="8306" w:leader="none"/>
      </w:tabs>
    </w:pPr>
    <w:rPr/>
  </w:style>
  <w:style w:type="paragraph" w:styleId="Contents1">
    <w:name w:val="TOC 1"/>
    <w:basedOn w:val="Normal"/>
    <w:next w:val="Normal"/>
    <w:pPr>
      <w:numPr>
        <w:ilvl w:val="0"/>
        <w:numId w:val="3"/>
      </w:numPr>
      <w:tabs>
        <w:tab w:val="left" w:pos="360" w:leader="none"/>
        <w:tab w:val="right" w:pos="8640" w:leader="dot"/>
      </w:tabs>
      <w:spacing w:lineRule="auto" w:line="240" w:before="120" w:after="120"/>
    </w:pPr>
    <w:rPr>
      <w:lang w:val="en-US" w:eastAsia="en-US"/>
    </w:rPr>
  </w:style>
  <w:style w:type="paragraph" w:styleId="3">
    <w:name w:val="列表项目符号 3"/>
    <w:basedOn w:val="Normal"/>
    <w:qFormat/>
    <w:pPr>
      <w:numPr>
        <w:ilvl w:val="0"/>
        <w:numId w:val="6"/>
      </w:numPr>
      <w:tabs>
        <w:tab w:val="clear" w:pos="360"/>
        <w:tab w:val="left" w:pos="1080" w:leader="none"/>
      </w:tabs>
      <w:outlineLvl w:val="2"/>
    </w:pPr>
    <w:rPr/>
  </w:style>
  <w:style w:type="paragraph" w:styleId="Style13">
    <w:name w:val="列表项目符号"/>
    <w:basedOn w:val="Normal"/>
    <w:qFormat/>
    <w:pPr>
      <w:ind w:firstLine="480"/>
      <w:jc w:val="both"/>
      <w:outlineLvl w:val="0"/>
    </w:pPr>
    <w:rPr>
      <w:rFonts w:ascii="宋体" w:hAnsi="宋体" w:cs="宋体"/>
      <w:szCs w:val="24"/>
      <w:lang w:val="en-US" w:eastAsia="zh-CN"/>
    </w:rPr>
  </w:style>
  <w:style w:type="paragraph" w:styleId="4">
    <w:name w:val="列表项目符号 4"/>
    <w:basedOn w:val="Normal"/>
    <w:qFormat/>
    <w:pPr>
      <w:numPr>
        <w:ilvl w:val="0"/>
        <w:numId w:val="6"/>
      </w:numPr>
      <w:tabs>
        <w:tab w:val="clear" w:pos="360"/>
        <w:tab w:val="left" w:pos="1440" w:leader="none"/>
      </w:tabs>
      <w:outlineLvl w:val="3"/>
    </w:pPr>
    <w:rPr/>
  </w:style>
  <w:style w:type="paragraph" w:styleId="Contents3">
    <w:name w:val="TOC 3"/>
    <w:basedOn w:val="Normal"/>
    <w:next w:val="Normal"/>
    <w:pPr>
      <w:spacing w:lineRule="auto" w:line="240" w:before="120" w:after="0"/>
    </w:pPr>
    <w:rPr>
      <w:rFonts w:ascii="Arial Black" w:hAnsi="Arial Black" w:cs="Arial Black"/>
      <w:sz w:val="20"/>
      <w:lang w:val="en-US" w:eastAsia="en-US"/>
    </w:rPr>
  </w:style>
  <w:style w:type="paragraph" w:styleId="NormalIndent2">
    <w:name w:val="Normal Indent 2"/>
    <w:basedOn w:val="Normal"/>
    <w:qFormat/>
    <w:pPr>
      <w:ind w:start="720" w:hanging="0"/>
    </w:pPr>
    <w:rPr/>
  </w:style>
  <w:style w:type="paragraph" w:styleId="SectionIntro">
    <w:name w:val="Section Intro"/>
    <w:basedOn w:val="Normal"/>
    <w:qFormat/>
    <w:pPr>
      <w:spacing w:lineRule="atLeast" w:line="360"/>
    </w:pPr>
    <w:rPr>
      <w:sz w:val="28"/>
    </w:rPr>
  </w:style>
  <w:style w:type="paragraph" w:styleId="LetterDate">
    <w:name w:val="Letter Date"/>
    <w:basedOn w:val="Base"/>
    <w:next w:val="Normal"/>
    <w:qFormat/>
    <w:pPr>
      <w:spacing w:lineRule="atLeast" w:line="360"/>
    </w:pPr>
    <w:rPr>
      <w:rFonts w:ascii="Times New Roman" w:hAnsi="Times New Roman" w:cs="Times New Roman"/>
      <w:sz w:val="28"/>
    </w:rPr>
  </w:style>
  <w:style w:type="paragraph" w:styleId="Footnote">
    <w:name w:val="Footnote Text"/>
    <w:basedOn w:val="Normal"/>
    <w:pPr>
      <w:spacing w:lineRule="exact" w:line="300" w:before="0" w:after="300"/>
    </w:pPr>
    <w:rPr>
      <w:sz w:val="18"/>
    </w:rPr>
  </w:style>
  <w:style w:type="paragraph" w:styleId="NoteText">
    <w:name w:val="Note Text"/>
    <w:basedOn w:val="Normal"/>
    <w:qFormat/>
    <w:pPr>
      <w:spacing w:lineRule="atLeast" w:line="200" w:before="0" w:after="0"/>
    </w:pPr>
    <w:rPr>
      <w:sz w:val="18"/>
    </w:rPr>
  </w:style>
  <w:style w:type="paragraph" w:styleId="21">
    <w:name w:val="列表项目符号 2"/>
    <w:basedOn w:val="Normal"/>
    <w:qFormat/>
    <w:pPr>
      <w:numPr>
        <w:ilvl w:val="0"/>
        <w:numId w:val="6"/>
      </w:numPr>
      <w:tabs>
        <w:tab w:val="clear" w:pos="360"/>
        <w:tab w:val="left" w:pos="720" w:leader="none"/>
      </w:tabs>
      <w:outlineLvl w:val="1"/>
    </w:pPr>
    <w:rPr/>
  </w:style>
  <w:style w:type="paragraph" w:styleId="31">
    <w:name w:val="列表编号 3"/>
    <w:basedOn w:val="Normal"/>
    <w:qFormat/>
    <w:pPr>
      <w:numPr>
        <w:ilvl w:val="0"/>
        <w:numId w:val="7"/>
      </w:numPr>
      <w:tabs>
        <w:tab w:val="clear" w:pos="360"/>
        <w:tab w:val="left" w:pos="1080" w:leader="none"/>
      </w:tabs>
      <w:outlineLvl w:val="7"/>
    </w:pPr>
    <w:rPr/>
  </w:style>
  <w:style w:type="paragraph" w:styleId="HeadingNumber4">
    <w:name w:val="Heading Number 4"/>
    <w:basedOn w:val="Normal"/>
    <w:next w:val="NormalIndent2"/>
    <w:qFormat/>
    <w:pPr>
      <w:numPr>
        <w:ilvl w:val="0"/>
        <w:numId w:val="10"/>
      </w:numPr>
      <w:tabs>
        <w:tab w:val="clear" w:pos="360"/>
        <w:tab w:val="left" w:pos="720" w:leader="none"/>
      </w:tabs>
      <w:outlineLvl w:val="3"/>
    </w:pPr>
    <w:rPr>
      <w:rFonts w:ascii="Arial" w:hAnsi="Arial" w:cs="Arial"/>
      <w:sz w:val="20"/>
    </w:rPr>
  </w:style>
  <w:style w:type="paragraph" w:styleId="SectionStart">
    <w:name w:val="Section Start"/>
    <w:basedOn w:val="Normal"/>
    <w:next w:val="Heading1"/>
    <w:qFormat/>
    <w:pPr>
      <w:pageBreakBefore/>
      <w:numPr>
        <w:ilvl w:val="0"/>
        <w:numId w:val="9"/>
      </w:numPr>
      <w:shd w:fill="CCCCCC" w:val="clear"/>
      <w:tabs>
        <w:tab w:val="left" w:pos="360" w:leader="none"/>
      </w:tabs>
      <w:spacing w:lineRule="exact" w:line="1820" w:before="1460" w:after="200"/>
      <w:ind w:end="6840" w:hanging="0"/>
    </w:pPr>
    <w:rPr>
      <w:rFonts w:ascii="Arial Black" w:hAnsi="Arial Black" w:cs="Arial Black"/>
      <w:color w:val="FFFFFF"/>
      <w:sz w:val="48"/>
      <w:vertAlign w:val="subscript"/>
      <w:lang w:val="en-US" w:eastAsia="en-US"/>
    </w:rPr>
  </w:style>
  <w:style w:type="paragraph" w:styleId="AppendixStart">
    <w:name w:val="Appendix Start"/>
    <w:basedOn w:val="Normal"/>
    <w:next w:val="Heading1"/>
    <w:qFormat/>
    <w:pPr>
      <w:pageBreakBefore/>
      <w:numPr>
        <w:ilvl w:val="0"/>
        <w:numId w:val="2"/>
      </w:numPr>
      <w:shd w:fill="CCCCCC" w:val="clear"/>
      <w:tabs>
        <w:tab w:val="left" w:pos="360" w:leader="none"/>
      </w:tabs>
      <w:spacing w:lineRule="exact" w:line="1820" w:before="1360" w:after="640"/>
      <w:ind w:end="6840" w:hanging="0"/>
      <w:outlineLvl w:val="0"/>
    </w:pPr>
    <w:rPr>
      <w:rFonts w:ascii="Arial" w:hAnsi="Arial" w:cs="Arial"/>
      <w:vertAlign w:val="superscript"/>
    </w:rPr>
  </w:style>
  <w:style w:type="paragraph" w:styleId="ReportCrossRef">
    <w:name w:val="Report Cross Ref"/>
    <w:basedOn w:val="Base"/>
    <w:qFormat/>
    <w:pPr>
      <w:spacing w:lineRule="atLeast" w:line="200"/>
    </w:pPr>
    <w:rPr>
      <w:rFonts w:ascii="Arial Black" w:hAnsi="Arial Black" w:cs="Arial Black"/>
    </w:rPr>
  </w:style>
  <w:style w:type="paragraph" w:styleId="41">
    <w:name w:val="列表编号 4"/>
    <w:basedOn w:val="Normal"/>
    <w:qFormat/>
    <w:pPr>
      <w:numPr>
        <w:ilvl w:val="0"/>
        <w:numId w:val="7"/>
      </w:numPr>
      <w:tabs>
        <w:tab w:val="clear" w:pos="360"/>
        <w:tab w:val="left" w:pos="1440" w:leader="none"/>
      </w:tabs>
      <w:outlineLvl w:val="8"/>
    </w:pPr>
    <w:rPr/>
  </w:style>
  <w:style w:type="paragraph" w:styleId="Style14">
    <w:name w:val="日期"/>
    <w:basedOn w:val="Normal"/>
    <w:next w:val="Normal"/>
    <w:qFormat/>
    <w:pPr>
      <w:ind w:start="100" w:hanging="0"/>
    </w:pPr>
    <w:rPr/>
  </w:style>
  <w:style w:type="paragraph" w:styleId="NormalIndent3">
    <w:name w:val="Normal Indent 3"/>
    <w:basedOn w:val="Normal"/>
    <w:qFormat/>
    <w:pPr>
      <w:ind w:start="1080" w:hanging="0"/>
    </w:pPr>
    <w:rPr/>
  </w:style>
  <w:style w:type="paragraph" w:styleId="Heading3A">
    <w:name w:val="Heading 3A"/>
    <w:basedOn w:val="Heading3"/>
    <w:next w:val="Heading4"/>
    <w:qFormat/>
    <w:pPr>
      <w:numPr>
        <w:ilvl w:val="0"/>
        <w:numId w:val="0"/>
      </w:numPr>
      <w:spacing w:before="0" w:after="0"/>
    </w:pPr>
    <w:rPr>
      <w:sz w:val="24"/>
    </w:rPr>
  </w:style>
  <w:style w:type="paragraph" w:styleId="Heading1A">
    <w:name w:val="Heading 1A"/>
    <w:basedOn w:val="Heading1"/>
    <w:next w:val="Heading2"/>
    <w:qFormat/>
    <w:pPr>
      <w:numPr>
        <w:ilvl w:val="0"/>
        <w:numId w:val="0"/>
      </w:numPr>
      <w:spacing w:before="440" w:after="0"/>
    </w:pPr>
    <w:rPr/>
  </w:style>
  <w:style w:type="paragraph" w:styleId="TableText">
    <w:name w:val="Table Text"/>
    <w:basedOn w:val="Normal"/>
    <w:qFormat/>
    <w:pPr>
      <w:spacing w:lineRule="atLeast" w:line="240" w:before="120" w:after="120"/>
      <w:ind w:start="187" w:end="187" w:hanging="0"/>
    </w:pPr>
    <w:rPr>
      <w:rFonts w:ascii="Arial" w:hAnsi="Arial" w:cs="Arial"/>
      <w:sz w:val="20"/>
    </w:rPr>
  </w:style>
  <w:style w:type="paragraph" w:styleId="Footer">
    <w:name w:val="Footer"/>
    <w:basedOn w:val="Base"/>
    <w:pPr>
      <w:tabs>
        <w:tab w:val="clear" w:pos="360"/>
        <w:tab w:val="center" w:pos="4153" w:leader="none"/>
        <w:tab w:val="right" w:pos="8306" w:leader="none"/>
      </w:tabs>
      <w:spacing w:lineRule="atLeast" w:line="240"/>
    </w:pPr>
    <w:rPr/>
  </w:style>
  <w:style w:type="paragraph" w:styleId="Int3ATMText">
    <w:name w:val="Int3/ATM Text"/>
    <w:basedOn w:val="Normal"/>
    <w:qFormat/>
    <w:pPr>
      <w:spacing w:lineRule="auto" w:line="240" w:before="0" w:after="260"/>
    </w:pPr>
    <w:rPr>
      <w:rFonts w:ascii="Times;Times New Roman" w:hAnsi="Times;Times New Roman" w:cs="Times;Times New Roman"/>
      <w:sz w:val="30"/>
      <w:lang w:eastAsia="zh-CN"/>
    </w:rPr>
  </w:style>
  <w:style w:type="paragraph" w:styleId="TOCHeading">
    <w:name w:val="TOC Heading"/>
    <w:basedOn w:val="Base"/>
    <w:qFormat/>
    <w:pPr>
      <w:spacing w:lineRule="atLeast" w:line="360" w:before="300" w:after="0"/>
    </w:pPr>
    <w:rPr>
      <w:rFonts w:ascii="Arial Black" w:hAnsi="Arial Black" w:cs="Arial Black"/>
      <w:sz w:val="28"/>
    </w:rPr>
  </w:style>
  <w:style w:type="paragraph" w:styleId="Addressblock">
    <w:name w:val="Address block"/>
    <w:basedOn w:val="Base"/>
    <w:qFormat/>
    <w:pPr>
      <w:spacing w:lineRule="atLeast" w:line="200"/>
    </w:pPr>
    <w:rPr/>
  </w:style>
  <w:style w:type="paragraph" w:styleId="ClientNameCrossRef">
    <w:name w:val="Client Name Cross Ref"/>
    <w:basedOn w:val="Base"/>
    <w:qFormat/>
    <w:pPr>
      <w:spacing w:lineRule="atLeast" w:line="200" w:before="0" w:after="180"/>
    </w:pPr>
    <w:rPr/>
  </w:style>
  <w:style w:type="paragraph" w:styleId="TableHeadingText">
    <w:name w:val="Table Heading Text"/>
    <w:basedOn w:val="Normal"/>
    <w:qFormat/>
    <w:pPr>
      <w:spacing w:lineRule="atLeast" w:line="240"/>
      <w:ind w:start="187" w:end="187" w:hanging="0"/>
    </w:pPr>
    <w:rPr>
      <w:rFonts w:ascii="Arial Black" w:hAnsi="Arial Black" w:cs="Arial Black"/>
      <w:sz w:val="18"/>
    </w:rPr>
  </w:style>
  <w:style w:type="paragraph" w:styleId="Filestamp">
    <w:name w:val="Filestamp"/>
    <w:basedOn w:val="Base"/>
    <w:qFormat/>
    <w:pPr>
      <w:spacing w:lineRule="atLeast" w:line="240" w:before="460" w:after="0"/>
    </w:pPr>
    <w:rPr>
      <w:sz w:val="10"/>
    </w:rPr>
  </w:style>
  <w:style w:type="paragraph" w:styleId="Contents2">
    <w:name w:val="TOC 2"/>
    <w:basedOn w:val="Normal"/>
    <w:next w:val="Normal"/>
    <w:pPr>
      <w:numPr>
        <w:ilvl w:val="0"/>
        <w:numId w:val="4"/>
      </w:numPr>
      <w:tabs>
        <w:tab w:val="left" w:pos="360" w:leader="none"/>
        <w:tab w:val="left" w:pos="720" w:leader="none"/>
        <w:tab w:val="right" w:pos="8640" w:leader="dot"/>
      </w:tabs>
      <w:spacing w:before="0" w:after="0"/>
      <w:ind w:start="720" w:hanging="0"/>
    </w:pPr>
    <w:rPr>
      <w:lang w:val="en-US" w:eastAsia="en-US"/>
    </w:rPr>
  </w:style>
  <w:style w:type="paragraph" w:styleId="LogoHide">
    <w:name w:val="Logo Hide"/>
    <w:basedOn w:val="Base"/>
    <w:next w:val="Base"/>
    <w:qFormat/>
    <w:pPr>
      <w:spacing w:lineRule="exact" w:line="20"/>
    </w:pPr>
    <w:rPr>
      <w:rFonts w:ascii="Arial" w:hAnsi="Arial" w:cs="Arial"/>
      <w:sz w:val="2"/>
    </w:rPr>
  </w:style>
  <w:style w:type="paragraph" w:styleId="ClientName">
    <w:name w:val="Client Name"/>
    <w:basedOn w:val="Base"/>
    <w:qFormat/>
    <w:pPr>
      <w:spacing w:lineRule="atLeast" w:line="520"/>
    </w:pPr>
    <w:rPr>
      <w:sz w:val="44"/>
    </w:rPr>
  </w:style>
  <w:style w:type="paragraph" w:styleId="ReportTitle">
    <w:name w:val="Report Title"/>
    <w:basedOn w:val="Base"/>
    <w:next w:val="LetterDate"/>
    <w:qFormat/>
    <w:pPr>
      <w:spacing w:lineRule="atLeast" w:line="520" w:before="300" w:after="0"/>
    </w:pPr>
    <w:rPr>
      <w:rFonts w:ascii="Arial Black" w:hAnsi="Arial Black" w:cs="Arial Black"/>
      <w:sz w:val="44"/>
    </w:rPr>
  </w:style>
  <w:style w:type="paragraph" w:styleId="TableLogoText">
    <w:name w:val="Table Logo Text"/>
    <w:basedOn w:val="Base"/>
    <w:qFormat/>
    <w:pPr>
      <w:spacing w:lineRule="atLeast" w:line="240"/>
    </w:pPr>
    <w:rPr>
      <w:sz w:val="24"/>
    </w:rPr>
  </w:style>
  <w:style w:type="paragraph" w:styleId="22">
    <w:name w:val="正文文本 2"/>
    <w:basedOn w:val="Normal"/>
    <w:qFormat/>
    <w:pPr>
      <w:spacing w:lineRule="auto" w:line="480" w:before="0" w:after="120"/>
    </w:pPr>
    <w:rPr>
      <w:sz w:val="23"/>
      <w:lang w:eastAsia="zh-CN"/>
    </w:rPr>
  </w:style>
  <w:style w:type="paragraph" w:styleId="NormalIndent4">
    <w:name w:val="Normal Indent 4"/>
    <w:basedOn w:val="Normal"/>
    <w:qFormat/>
    <w:pPr>
      <w:ind w:start="1440" w:hanging="0"/>
    </w:pPr>
    <w:rPr/>
  </w:style>
  <w:style w:type="paragraph" w:styleId="HeadingNumber2">
    <w:name w:val="Heading Number 2"/>
    <w:basedOn w:val="Normal"/>
    <w:next w:val="NormalIndent2"/>
    <w:qFormat/>
    <w:pPr>
      <w:numPr>
        <w:ilvl w:val="0"/>
        <w:numId w:val="10"/>
      </w:numPr>
      <w:tabs>
        <w:tab w:val="clear" w:pos="360"/>
        <w:tab w:val="left" w:pos="720" w:leader="none"/>
      </w:tabs>
      <w:outlineLvl w:val="1"/>
    </w:pPr>
    <w:rPr>
      <w:rFonts w:ascii="Arial" w:hAnsi="Arial" w:cs="Arial"/>
    </w:rPr>
  </w:style>
  <w:style w:type="paragraph" w:styleId="HeadingNumber1">
    <w:name w:val="Heading Number 1"/>
    <w:basedOn w:val="Normal"/>
    <w:next w:val="NormalIndent2"/>
    <w:qFormat/>
    <w:pPr>
      <w:numPr>
        <w:ilvl w:val="0"/>
        <w:numId w:val="10"/>
      </w:numPr>
      <w:tabs>
        <w:tab w:val="clear" w:pos="360"/>
        <w:tab w:val="left" w:pos="720" w:leader="none"/>
      </w:tabs>
      <w:outlineLvl w:val="0"/>
    </w:pPr>
    <w:rPr>
      <w:rFonts w:ascii="Arial Black" w:hAnsi="Arial Black" w:cs="Arial Black"/>
    </w:rPr>
  </w:style>
  <w:style w:type="paragraph" w:styleId="HeadingNumber3">
    <w:name w:val="Heading Number 3"/>
    <w:basedOn w:val="Normal"/>
    <w:next w:val="NormalIndent2"/>
    <w:qFormat/>
    <w:pPr>
      <w:numPr>
        <w:ilvl w:val="0"/>
        <w:numId w:val="10"/>
      </w:numPr>
      <w:tabs>
        <w:tab w:val="clear" w:pos="360"/>
        <w:tab w:val="left" w:pos="720" w:leader="none"/>
      </w:tabs>
      <w:outlineLvl w:val="2"/>
    </w:pPr>
    <w:rPr>
      <w:rFonts w:ascii="Arial Black" w:hAnsi="Arial Black" w:cs="Arial Black"/>
      <w:sz w:val="20"/>
    </w:rPr>
  </w:style>
  <w:style w:type="paragraph" w:styleId="DefaultText">
    <w:name w:val="Default Text"/>
    <w:basedOn w:val="Normal"/>
    <w:qFormat/>
    <w:pPr>
      <w:spacing w:lineRule="auto" w:line="240" w:before="0" w:after="0"/>
      <w:jc w:val="both"/>
    </w:pPr>
    <w:rPr>
      <w:rFonts w:ascii="Arial" w:hAnsi="Arial" w:cs="Arial"/>
      <w:lang w:val="en-AU" w:eastAsia="zh-CN"/>
    </w:rPr>
  </w:style>
  <w:style w:type="paragraph" w:styleId="NormalIndent1">
    <w:name w:val="Normal Indent 1"/>
    <w:basedOn w:val="Normal"/>
    <w:qFormat/>
    <w:pPr>
      <w:ind w:start="360" w:hanging="0"/>
    </w:pPr>
    <w:rPr/>
  </w:style>
  <w:style w:type="paragraph" w:styleId="Legalcopy">
    <w:name w:val="Legal copy"/>
    <w:basedOn w:val="Base"/>
    <w:qFormat/>
    <w:pPr>
      <w:spacing w:lineRule="atLeast" w:line="130" w:before="0" w:after="90"/>
    </w:pPr>
    <w:rPr>
      <w:sz w:val="1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image1.wmf"/><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1440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2020-03-28T16:23:00Z</dcterms:created>
  <dc:creator>jikr04</dc:creator>
  <dc:description/>
  <dc:language>en-US</dc:language>
  <cp:lastModifiedBy>jikr04</cp:lastModifiedBy>
  <cp:lastPrinted>2006-08-10T14:02:00Z</cp:lastPrinted>
  <dcterms:modified xsi:type="dcterms:W3CDTF">2021-07-27T11:14:34Z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