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before="313" w:after="313"/>
        <w:ind w:start="0" w:hanging="0"/>
        <w:jc w:val="center"/>
        <w:textAlignment w:val="auto"/>
        <w:rPr>
          <w:rFonts w:ascii="楷体" w:hAnsi="楷体" w:eastAsia="楷体" w:cs="楷体"/>
          <w:b/>
          <w:b/>
          <w:sz w:val="36"/>
          <w:szCs w:val="36"/>
        </w:rPr>
      </w:pPr>
      <w:r>
        <w:rPr>
          <w:rFonts w:ascii="SimHei" w:hAnsi="SimHei" w:cs="楷体" w:eastAsia="黑体"/>
          <w:b/>
          <w:sz w:val="36"/>
          <w:szCs w:val="36"/>
          <w:lang w:eastAsia="zh-CN"/>
        </w:rPr>
        <w:t>通讯公司</w:t>
      </w:r>
      <w:r>
        <w:rPr>
          <w:rFonts w:ascii="SimHei" w:hAnsi="SimHei" w:cs="楷体" w:eastAsia="黑体"/>
          <w:b/>
          <w:sz w:val="36"/>
          <w:szCs w:val="36"/>
        </w:rPr>
        <w:t>公司职位职等管理办法（修订）</w:t>
      </w:r>
    </w:p>
    <w:p>
      <w:pPr>
        <w:pStyle w:val="Normal"/>
        <w:keepNext w:val="false"/>
        <w:keepLines w:val="false"/>
        <w:pageBreakBefore w:val="false"/>
        <w:widowControl w:val="false"/>
        <w:kinsoku w:val="true"/>
        <w:overflowPunct w:val="true"/>
        <w:autoSpaceDE w:val="true"/>
        <w:bidi w:val="0"/>
        <w:spacing w:lineRule="auto" w:line="360"/>
        <w:ind w:start="0" w:hanging="0"/>
        <w:jc w:val="center"/>
        <w:textAlignment w:val="auto"/>
        <w:rPr>
          <w:rFonts w:ascii="楷体" w:hAnsi="楷体" w:eastAsia="楷体" w:cs="楷体"/>
          <w:b/>
          <w:b/>
          <w:sz w:val="24"/>
        </w:rPr>
      </w:pPr>
      <w:r>
        <w:rPr>
          <w:rFonts w:ascii="SimHei" w:hAnsi="SimHei" w:cs="楷体" w:eastAsia="黑体"/>
          <w:b/>
          <w:sz w:val="24"/>
        </w:rPr>
        <w:t>第一章  总则</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第一条  目的</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（一）通过有效的职位管理，满足公司运营管理实现的需要，促进运作流程和人力资源配置的优化。</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（二）规范职位和职等管理，通过职位宽带化，为员工职业发展提供通道。</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第二条  原则</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（一）满足战略、架构与业务流程需要原则。职位职等的设置与管理应在满足公司经营发展战略需要的前提下，依托组织架构的框架，致力于保障业务流程的实现与优化。</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（二）动态管理原则。根据公司运营发展和人力资源数量与质量的变化，对职位职等和任职人员进行动态跟踪与调整，不断探索人力资源优化配置的方法与思路。</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（三）效率优先，兼顾人员现状原则。职位职等的设置与管理应以运作效率的提升为目标，同时考虑现有人员状况。</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（四）双因素原则。职位职等管理中同时体现职位价值因素与人员贡献度因素。</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第三条  适用范围</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sz w:val="24"/>
        </w:rPr>
      </w:pPr>
      <w:r>
        <w:rPr>
          <w:rFonts w:ascii="SimHei" w:hAnsi="SimHei" w:cs="楷体" w:eastAsia="黑体"/>
          <w:bCs/>
          <w:sz w:val="24"/>
        </w:rPr>
        <w:t>本办法适用于公司全体员工（不含离岗退养员工）职位职等的管理，其中省公司党组及分公司党委管理中层只纳入职位族经理条线及相应主族和子族，不纳入职位系列及职位水平等级，仍按原职务系列管理。</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第四条  职责与分工</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省公司人力资源部负责职位职等管理相关制度及办法的制定与管理，并对职位职等管理工作进行指导。</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各市分公司人力资源部负责职位日常管理与指导。</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hanging="0"/>
        <w:jc w:val="center"/>
        <w:textAlignment w:val="auto"/>
        <w:rPr>
          <w:rFonts w:ascii="楷体" w:hAnsi="楷体" w:eastAsia="楷体" w:cs="楷体"/>
          <w:b/>
          <w:b/>
          <w:sz w:val="24"/>
        </w:rPr>
      </w:pPr>
      <w:r>
        <w:rPr>
          <w:rFonts w:ascii="SimHei" w:hAnsi="SimHei" w:cs="楷体" w:eastAsia="黑体"/>
          <w:b/>
          <w:sz w:val="24"/>
        </w:rPr>
        <w:t>第二章  职位体系及定义</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第五条  职位</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职位即岗位，是一定的任务和职责的有机组合。每个职位应有唯一的职位名称。不同的员工可以从事同一个职位。省公司统一制订下发公司典型职位。</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lang w:eastAsia="zh-CN"/>
        </w:rPr>
        <w:t>第六条</w:t>
      </w:r>
      <w:r>
        <w:rPr>
          <w:rFonts w:ascii="SimHei" w:hAnsi="SimHei" w:cs="楷体" w:eastAsia="黑体"/>
          <w:b/>
          <w:sz w:val="24"/>
          <w:lang w:val="en-US" w:eastAsia="zh-CN"/>
        </w:rPr>
        <w:t xml:space="preserve"> </w:t>
      </w:r>
      <w:r>
        <w:rPr>
          <w:rFonts w:ascii="SimHei" w:hAnsi="SimHei" w:cs="楷体" w:eastAsia="黑体"/>
          <w:b/>
          <w:sz w:val="24"/>
        </w:rPr>
        <w:t>职位条线</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根据工作性质和工作能力要求相似性，公司职位分成综合、市场、技术、经理四大职位条线。</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lang w:eastAsia="zh-CN"/>
        </w:rPr>
        <w:t>第七条</w:t>
      </w:r>
      <w:r>
        <w:rPr>
          <w:rFonts w:ascii="SimHei" w:hAnsi="SimHei" w:cs="楷体" w:eastAsia="黑体"/>
          <w:b/>
          <w:sz w:val="24"/>
          <w:lang w:val="en-US" w:eastAsia="zh-CN"/>
        </w:rPr>
        <w:t xml:space="preserve"> </w:t>
      </w:r>
      <w:r>
        <w:rPr>
          <w:rFonts w:ascii="SimHei" w:hAnsi="SimHei" w:cs="楷体" w:eastAsia="黑体"/>
          <w:b/>
          <w:sz w:val="24"/>
        </w:rPr>
        <w:t>职位主族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根据职能相似性，每一职位条线分成相应的职位主族，具体十三主族为：</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bCs/>
          <w:kern w:val="0"/>
          <w:sz w:val="24"/>
        </w:rPr>
        <w:t>（一）综合线分成战略运营、人力资源、财务管理、党群工会、风险管理、行政后勤六个职位主族：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、战略运营：负责战略研究与管理、组织绩效等涉及公司战略运营方面的工作，以及创新管理、流程管理、知识管理、咨询项目管理、企业责任管理等涉及企业管理方面的工作。</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、人力资源：负责人力资源规划、人力资源管理体系建设与运营等方面的管理，包括人力资源规划管理、岗位管理、招聘管理、绩效管理、培训管理、薪酬管理、员工档案管理等工作。</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3</w:t>
      </w:r>
      <w:r>
        <w:rPr>
          <w:rFonts w:ascii="SimHei" w:hAnsi="SimHei" w:cs="楷体" w:eastAsia="黑体"/>
          <w:bCs/>
          <w:kern w:val="0"/>
          <w:sz w:val="24"/>
        </w:rPr>
        <w:t>、财务管理：负责财务管理方面的制度制定、决策执行以及相关事务性工作。</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4</w:t>
      </w:r>
      <w:r>
        <w:rPr>
          <w:rFonts w:ascii="SimHei" w:hAnsi="SimHei" w:cs="楷体" w:eastAsia="黑体"/>
          <w:bCs/>
          <w:kern w:val="0"/>
          <w:sz w:val="24"/>
        </w:rPr>
        <w:t>、党群工会：负责开展企业文化建设、精神文明建设和创建文明行业工作，开展员工的思想政治教育和疏导工作。组织公司民主、劳模、评先、劳动竞赛活动的开展，处理协调员工关系，保证员工的合法权益。</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5</w:t>
      </w:r>
      <w:r>
        <w:rPr>
          <w:rFonts w:ascii="SimHei" w:hAnsi="SimHei" w:cs="楷体" w:eastAsia="黑体"/>
          <w:bCs/>
          <w:kern w:val="0"/>
          <w:sz w:val="24"/>
        </w:rPr>
        <w:t>、风险管理：负责全面风险管理基础平台建设、廉政风险、</w:t>
      </w:r>
      <w:r>
        <w:rPr>
          <w:rFonts w:eastAsia="黑体" w:cs="楷体" w:ascii="SimHei" w:hAnsi="SimHei"/>
          <w:bCs/>
          <w:kern w:val="0"/>
          <w:sz w:val="24"/>
        </w:rPr>
        <w:t>SOX</w:t>
      </w:r>
      <w:r>
        <w:rPr>
          <w:rFonts w:ascii="SimHei" w:hAnsi="SimHei" w:cs="楷体" w:eastAsia="黑体"/>
          <w:bCs/>
          <w:kern w:val="0"/>
          <w:sz w:val="24"/>
        </w:rPr>
        <w:t>风险、法律风险等可能涉及到企业经营风险的管理工作。主要包括审计、纪检、监察、内控、法律事务等工作。</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6</w:t>
      </w:r>
      <w:r>
        <w:rPr>
          <w:rFonts w:ascii="SimHei" w:hAnsi="SimHei" w:cs="楷体" w:eastAsia="黑体"/>
          <w:bCs/>
          <w:kern w:val="0"/>
          <w:sz w:val="24"/>
        </w:rPr>
        <w:t>、行政后勤：负责对公司的综合行政、后勤采购等进行管理，包括公文管理、文秘事务、新闻宣传、物资采购、接待事务、安全管理、档案管理、后勤管理等工作。</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（二）市场线分成</w:t>
      </w:r>
      <w:r>
        <w:rPr>
          <w:rFonts w:ascii="SimHei" w:hAnsi="SimHei" w:cs="楷体" w:eastAsia="黑体"/>
          <w:bCs/>
          <w:kern w:val="0"/>
          <w:sz w:val="24"/>
        </w:rPr>
        <w:t>营销策划、运营管理、销售服务三个职位主族：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、营销策划：负责在内外部环境分析的基础上，确定营销策略（包括整体营销策略和各细分市场的营销策略。策略内容包括品牌、产品、资费、服务、渠道的策略）和营销资源规划。</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t>2</w:t>
      </w:r>
      <w:r>
        <w:rPr>
          <w:rFonts w:ascii="SimHei" w:hAnsi="SimHei" w:cs="楷体" w:eastAsia="黑体"/>
          <w:sz w:val="24"/>
        </w:rPr>
        <w:t>、运营管理：负责营销运营的管理工作，包括运营体系建设和营销策略执行的计划、组织、监控工作，以及各类市场和客户的产品管理、渠道管理、业务流程和服务管理等。</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t>3</w:t>
      </w:r>
      <w:r>
        <w:rPr>
          <w:rFonts w:ascii="SimHei" w:hAnsi="SimHei" w:cs="楷体" w:eastAsia="黑体"/>
          <w:sz w:val="24"/>
        </w:rPr>
        <w:t>、销售服务：负责各类产品、业务的销售执行和服务实施工作。包括销售服务的操作性工作和直接支持性工作。</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ascii="SimHei" w:hAnsi="SimHei" w:cs="楷体" w:eastAsia="黑体"/>
          <w:sz w:val="24"/>
        </w:rPr>
        <w:t>（三）技术线分成</w:t>
      </w:r>
      <w:r>
        <w:rPr>
          <w:rFonts w:ascii="SimHei" w:hAnsi="SimHei" w:cs="楷体" w:eastAsia="黑体"/>
          <w:bCs/>
          <w:kern w:val="0"/>
          <w:sz w:val="24"/>
        </w:rPr>
        <w:t>系统支撑、业务开发与支持、网络运营三个职位主族：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、系统支撑：负责在技术层面，为公司在信息化管理、业务运营方面提供信息系统支持，实现管理与运营的高效率。</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、业务开发与支持：负责建立完善业务开发体系，研究客户消费行为，开发适应市场变化的新业务，某集团市场的产品研发、优化及支撑工作，为业务发展提供技术及资源的支撑，实现快速响应客户需求的目的。</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eastAsia="黑体" w:cs="楷体" w:ascii="SimHei" w:hAnsi="SimHei"/>
          <w:bCs/>
          <w:kern w:val="0"/>
          <w:sz w:val="24"/>
        </w:rPr>
        <w:t>3</w:t>
      </w:r>
      <w:r>
        <w:rPr>
          <w:rFonts w:ascii="SimHei" w:hAnsi="SimHei" w:cs="楷体" w:eastAsia="黑体"/>
          <w:bCs/>
          <w:kern w:val="0"/>
          <w:sz w:val="24"/>
        </w:rPr>
        <w:t>、网络运营：负责通信网络的规划、建设、监控、维护、优化及网络运营管理，满足市场发展需求，确保网络高质量运行。</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ascii="SimHei" w:hAnsi="SimHei" w:cs="楷体" w:eastAsia="黑体"/>
          <w:bCs/>
          <w:kern w:val="0"/>
          <w:sz w:val="24"/>
        </w:rPr>
        <w:t>（四）经理线分为经理族一个职位主族：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经理族：指具有管理职责（即有下属汇报路径），通过指挥、协调他人的工作，实现组织目标。</w:t>
      </w:r>
    </w:p>
    <w:p>
      <w:pPr>
        <w:pStyle w:val="Normal"/>
        <w:keepNext w:val="false"/>
        <w:keepLines w:val="false"/>
        <w:pageBreakBefore w:val="false"/>
        <w:widowControl w:val="false"/>
        <w:kinsoku w:val="true"/>
        <w:overflowPunct w:val="true"/>
        <w:autoSpaceDE w:val="true"/>
        <w:bidi w:val="0"/>
        <w:spacing w:lineRule="auto" w:line="360"/>
        <w:ind w:start="0" w:firstLine="472"/>
        <w:textAlignment w:val="auto"/>
        <w:rPr>
          <w:rFonts w:ascii="楷体" w:hAnsi="楷体" w:eastAsia="楷体" w:cs="楷体"/>
          <w:b/>
          <w:b/>
          <w:sz w:val="24"/>
        </w:rPr>
      </w:pPr>
      <w:r>
        <w:rPr>
          <w:rFonts w:ascii="SimHei" w:hAnsi="SimHei" w:cs="楷体" w:eastAsia="黑体"/>
          <w:b/>
          <w:sz w:val="24"/>
        </w:rPr>
        <w:t>第八条  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sz w:val="24"/>
        </w:rPr>
      </w:pPr>
      <w:r>
        <w:rPr>
          <w:rFonts w:ascii="SimHei" w:hAnsi="SimHei" w:cs="楷体" w:eastAsia="黑体"/>
          <w:sz w:val="24"/>
        </w:rPr>
        <w:t>综合考虑职能、流程、专业、业务等相似性，每个职位主族分成相应的职位子族，具体二十九个职位子族为：</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Cs/>
          <w:kern w:val="0"/>
          <w:sz w:val="24"/>
        </w:rPr>
      </w:pPr>
      <w:r>
        <w:rPr>
          <w:rFonts w:ascii="SimHei" w:hAnsi="SimHei" w:cs="楷体" w:eastAsia="黑体"/>
          <w:sz w:val="24"/>
        </w:rPr>
        <w:t>（一）</w:t>
      </w:r>
      <w:r>
        <w:rPr>
          <w:rFonts w:ascii="SimHei" w:hAnsi="SimHei" w:cs="楷体" w:eastAsia="黑体"/>
          <w:bCs/>
          <w:kern w:val="0"/>
          <w:sz w:val="24"/>
        </w:rPr>
        <w:t>战略运营主族分成战略运营一个职位子族：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bCs/>
          <w:kern w:val="0"/>
          <w:sz w:val="24"/>
        </w:rPr>
        <w:t xml:space="preserve">战略运营：负责战略研究与管理、组织绩效等涉及公司战略运营方面的工作，以及创新管理、流程管理、知识管理、咨询项目管理、企业责任管理等涉及企业管理方面的工作。 </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（二）</w:t>
      </w:r>
      <w:r>
        <w:rPr>
          <w:rFonts w:ascii="SimHei" w:hAnsi="SimHei" w:cs="楷体" w:eastAsia="黑体"/>
          <w:bCs/>
          <w:kern w:val="0"/>
          <w:sz w:val="24"/>
        </w:rPr>
        <w:t>人力资源主族分为人力资源一个职位子族：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sz w:val="24"/>
        </w:rPr>
      </w:pPr>
      <w:r>
        <w:rPr>
          <w:rFonts w:ascii="SimHei" w:hAnsi="SimHei" w:cs="楷体" w:eastAsia="黑体"/>
          <w:sz w:val="24"/>
        </w:rPr>
        <w:t>人力资源：负责人力资源规划、人力资源管理体系建设与运营等方面的管理，包括人力资源规划管理、岗位管理、招聘管理、绩效管理、培训管理、薪酬管理、员工档案管理等工作。</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（三）</w:t>
      </w:r>
      <w:r>
        <w:rPr>
          <w:rFonts w:ascii="SimHei" w:hAnsi="SimHei" w:cs="楷体" w:eastAsia="黑体"/>
          <w:bCs/>
          <w:kern w:val="0"/>
          <w:sz w:val="24"/>
        </w:rPr>
        <w:t>财务管理主族分为财务管理、核算管理二个职位子族：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、财务管理：负责公司预算的制定，规划、分解、跟踪公司年度经营目标，完善公司经营业绩考核体系；建立、优化公司统计管理，编写财务分析报告，防范运营风险，确保报告信息质量及按时完成披露。</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、核算管理：负责制定会计核算的流程、规范、管理办法，开展会计核算工作，及时、完整、真实披露会计信息，满足管理者信息需求。</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（四）</w:t>
      </w:r>
      <w:r>
        <w:rPr>
          <w:rFonts w:ascii="SimHei" w:hAnsi="SimHei" w:cs="楷体" w:eastAsia="黑体"/>
          <w:bCs/>
          <w:kern w:val="0"/>
          <w:sz w:val="24"/>
        </w:rPr>
        <w:t>党群工会主族分为党群工会一个职位子族：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sz w:val="24"/>
        </w:rPr>
      </w:pPr>
      <w:r>
        <w:rPr>
          <w:rFonts w:ascii="SimHei" w:hAnsi="SimHei" w:cs="楷体" w:eastAsia="黑体"/>
          <w:bCs/>
          <w:kern w:val="0"/>
          <w:sz w:val="24"/>
        </w:rPr>
        <w:t>党群工会：</w:t>
      </w:r>
      <w:r>
        <w:rPr>
          <w:rFonts w:ascii="SimHei" w:hAnsi="SimHei" w:cs="楷体" w:eastAsia="黑体"/>
          <w:sz w:val="24"/>
        </w:rPr>
        <w:t>负责开展企业文化建设、精神文明建设和创建文明行业工作 ，开展员工的思想政治教育和疏导工作。组织公司民主、劳模、评先、劳动竞赛活动的开展，处理协调员工关系，保证员工的合法权益。</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（五）</w:t>
      </w:r>
      <w:r>
        <w:rPr>
          <w:rFonts w:ascii="SimHei" w:hAnsi="SimHei" w:cs="楷体" w:eastAsia="黑体"/>
          <w:bCs/>
          <w:kern w:val="0"/>
          <w:sz w:val="24"/>
        </w:rPr>
        <w:t>风险管理主族分为风险管理一个职位子族：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bCs/>
          <w:kern w:val="0"/>
          <w:sz w:val="24"/>
        </w:rPr>
        <w:t>风险管理：负责全面风险管理基础平台建设、廉政风险、</w:t>
      </w:r>
      <w:r>
        <w:rPr>
          <w:rFonts w:eastAsia="黑体" w:cs="楷体" w:ascii="SimHei" w:hAnsi="SimHei"/>
          <w:bCs/>
          <w:kern w:val="0"/>
          <w:sz w:val="24"/>
        </w:rPr>
        <w:t>SOX</w:t>
      </w:r>
      <w:r>
        <w:rPr>
          <w:rFonts w:ascii="SimHei" w:hAnsi="SimHei" w:cs="楷体" w:eastAsia="黑体"/>
          <w:bCs/>
          <w:kern w:val="0"/>
          <w:sz w:val="24"/>
        </w:rPr>
        <w:t>风险、法律风险等可能涉及到企业经营风险的管理工作。主要包括审计、纪检、监察、内控、法律事务等工作。</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（六）</w:t>
      </w:r>
      <w:r>
        <w:rPr>
          <w:rFonts w:ascii="SimHei" w:hAnsi="SimHei" w:cs="楷体" w:eastAsia="黑体"/>
          <w:bCs/>
          <w:kern w:val="0"/>
          <w:sz w:val="24"/>
        </w:rPr>
        <w:t>行政后勤主族分为综合行政、采购管理、后勤服务三个职位子族：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、综合行政：负责建立各项行政服务管理制度和工作流程，开展行政服务工作，包括公文管理、档案管理、新闻管理、会务组织、公关接待等日常工作，以及完成领导临时交办的相关事项。</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、采购管理：负责制定公司采购的相关规范、政策及物流管理制度，组织开展采购招投标管理、采购供应商管理工作，承担公司各类物资的采购、配送管理以及仓库物资的日常库存管理等工作。</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3</w:t>
      </w:r>
      <w:r>
        <w:rPr>
          <w:rFonts w:ascii="SimHei" w:hAnsi="SimHei" w:cs="楷体" w:eastAsia="黑体"/>
          <w:bCs/>
          <w:kern w:val="0"/>
          <w:sz w:val="24"/>
        </w:rPr>
        <w:t>、后勤服务：负责车辆管理、物业管理、安全管理等后勤服务相关工作，制定公司安全生产、通信保卫的相关制度、规范，组织开展安全生产、通信保卫等工作。</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（七）</w:t>
      </w:r>
      <w:r>
        <w:rPr>
          <w:rFonts w:ascii="SimHei" w:hAnsi="SimHei" w:cs="楷体" w:eastAsia="黑体"/>
          <w:bCs/>
          <w:kern w:val="0"/>
          <w:sz w:val="24"/>
        </w:rPr>
        <w:t>营销策划主族分为经营分析、市场策划二个职位子族：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、经营分析：负责市场经营环境分析，组织开展市场调研工作，提供市场统计分析报告。针对公司的运营数据进行分析，为公司提供决策支持。</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市场策划：根据市场发展状况和客户需求，负责制定市场发展规划及发展策略。负责公司的品牌管理、资费政策、产品组合、终端营销、营销方案策划、市场宣传推广等工作，合理配置、协调各类资源，提升公司的整体营销水平。</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（八）</w:t>
      </w:r>
      <w:r>
        <w:rPr>
          <w:rFonts w:ascii="SimHei" w:hAnsi="SimHei" w:cs="楷体" w:eastAsia="黑体"/>
          <w:bCs/>
          <w:kern w:val="0"/>
          <w:sz w:val="24"/>
        </w:rPr>
        <w:t>运营管理主族分为业务管理、服务管理、渠道管理三个职位子族：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业务管理：负责制定、完善和监督执行各类业务运作的规则、流程，根据管理规范组织开展相关工作。包括资费管理、终端管理、欠费管理、业务稽核管理，合作伙伴的拓展、维系，以及号卡资源的规划、分配、监控等工作。</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、服务管理：负责制定完善各项服务管理制度、流程、规范和标准，开展各项服务质量检查、监督、考核和评比工作，制定服务提升方案和服务短板改善计划，提高服务质量</w:t>
      </w:r>
      <w:r>
        <w:rPr>
          <w:rFonts w:eastAsia="黑体" w:cs="楷体" w:ascii="SimHei" w:hAnsi="SimHei"/>
          <w:bCs/>
          <w:kern w:val="0"/>
          <w:sz w:val="24"/>
        </w:rPr>
        <w:t>,</w:t>
      </w:r>
      <w:r>
        <w:rPr>
          <w:rFonts w:ascii="SimHei" w:hAnsi="SimHei" w:cs="楷体" w:eastAsia="黑体"/>
          <w:bCs/>
          <w:kern w:val="0"/>
          <w:sz w:val="24"/>
        </w:rPr>
        <w:t>协调并持续优化服务流程，不断提升服务水平和客户满意度。</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3</w:t>
      </w:r>
      <w:r>
        <w:rPr>
          <w:rFonts w:ascii="SimHei" w:hAnsi="SimHei" w:cs="楷体" w:eastAsia="黑体"/>
          <w:bCs/>
          <w:kern w:val="0"/>
          <w:sz w:val="24"/>
        </w:rPr>
        <w:t>、渠道管理：负责制定自有、社会、电子渠道的规划，组织开展新型营销和服务渠道的建设、拓展工作，收集、分析、记录、更新各类渠道相关信息，监控渠道的运营状况，确保渠道指标的达成。</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（九）</w:t>
      </w:r>
      <w:r>
        <w:rPr>
          <w:rFonts w:ascii="SimHei" w:hAnsi="SimHei" w:cs="楷体" w:eastAsia="黑体"/>
          <w:bCs/>
          <w:kern w:val="0"/>
          <w:sz w:val="24"/>
        </w:rPr>
        <w:t>销售服务主族分为电子销售服务、大客户销售服务、营业厅销售服务三个职位子族：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、电子销售服务：负责通过各种电子渠道向客户提供信息咨询、业务办理、投诉受理等服务，并开展客户关怀、主动呼出等活动。</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、大客户销售服务：某集团客户的需求，配合相关部门进行技术方案、应用方案的开发。向客户推荐各类信息化产品和服务，开展客户的拓展、关怀和日常回访等工作，提供顾问式服务。</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3</w:t>
      </w:r>
      <w:r>
        <w:rPr>
          <w:rFonts w:ascii="SimHei" w:hAnsi="SimHei" w:cs="楷体" w:eastAsia="黑体"/>
          <w:bCs/>
          <w:kern w:val="0"/>
          <w:sz w:val="24"/>
        </w:rPr>
        <w:t>、营业厅销售服务：负责通过营业厅渠道，为客户提供业务办理、咨询、投诉受理等相关服务。</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（十）</w:t>
      </w:r>
      <w:r>
        <w:rPr>
          <w:rFonts w:ascii="SimHei" w:hAnsi="SimHei" w:cs="楷体" w:eastAsia="黑体"/>
          <w:bCs/>
          <w:kern w:val="0"/>
          <w:sz w:val="24"/>
        </w:rPr>
        <w:t>系统支撑主族分为系统开发管理、系统运维管理二个职位子族：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、系统开发管理：负责管理信息系统及业务支撑系统（</w:t>
      </w:r>
      <w:r>
        <w:rPr>
          <w:rFonts w:eastAsia="黑体" w:cs="楷体" w:ascii="SimHei" w:hAnsi="SimHei"/>
          <w:bCs/>
          <w:kern w:val="0"/>
          <w:sz w:val="24"/>
        </w:rPr>
        <w:t>BOSS</w:t>
      </w:r>
      <w:r>
        <w:rPr>
          <w:rFonts w:ascii="SimHei" w:hAnsi="SimHei" w:cs="楷体" w:eastAsia="黑体"/>
          <w:bCs/>
          <w:kern w:val="0"/>
          <w:sz w:val="24"/>
        </w:rPr>
        <w:t>系统、经分系统、客服系统等）的规划、开发与测试，包括系统规划、软件开发、软件测试、业务开发、业务测试，组织完成支撑系统的扩容扩建工作。</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、系统运维管理：主要负责管理信息系统及业务支撑系统（</w:t>
      </w:r>
      <w:r>
        <w:rPr>
          <w:rFonts w:eastAsia="黑体" w:cs="楷体" w:ascii="SimHei" w:hAnsi="SimHei"/>
          <w:bCs/>
          <w:kern w:val="0"/>
          <w:sz w:val="24"/>
        </w:rPr>
        <w:t>BOSS</w:t>
      </w:r>
      <w:r>
        <w:rPr>
          <w:rFonts w:ascii="SimHei" w:hAnsi="SimHei" w:cs="楷体" w:eastAsia="黑体"/>
          <w:bCs/>
          <w:kern w:val="0"/>
          <w:sz w:val="24"/>
        </w:rPr>
        <w:t>系统、经分系统、客服系统等）的监控、维护和优化，包括数据库管理、平台维护、硬件维护、应用系统维护等工作，保障系统功能的正常运行和实现。</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（十一）</w:t>
      </w:r>
      <w:r>
        <w:rPr>
          <w:rFonts w:ascii="SimHei" w:hAnsi="SimHei" w:cs="楷体" w:eastAsia="黑体"/>
          <w:bCs/>
          <w:kern w:val="0"/>
          <w:sz w:val="24"/>
        </w:rPr>
        <w:t>业务开发与支持主族分为业务开发与支持一个职位子族：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bCs/>
          <w:kern w:val="0"/>
          <w:sz w:val="24"/>
        </w:rPr>
        <w:t>业务开发与支持：负责建立完善业务开发体系，研究客户消费行为，开发适应市场变化的新业务，某集团市场的产品研发、优化及支撑工作。为业务发展提供技术及资源的支撑，实现快速响应客户需求的目的。</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ascii="SimHei" w:hAnsi="SimHei" w:cs="楷体" w:eastAsia="黑体"/>
          <w:sz w:val="24"/>
        </w:rPr>
        <w:t>（十二）</w:t>
      </w:r>
      <w:r>
        <w:rPr>
          <w:rFonts w:ascii="SimHei" w:hAnsi="SimHei" w:cs="楷体" w:eastAsia="黑体"/>
          <w:bCs/>
          <w:kern w:val="0"/>
          <w:sz w:val="24"/>
        </w:rPr>
        <w:t>网络运营主族分为网络规划、工程建设、网络运营管理、网络监控、网络维护、网络优化六个职位子族：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1</w:t>
      </w:r>
      <w:r>
        <w:rPr>
          <w:rFonts w:ascii="SimHei" w:hAnsi="SimHei" w:cs="楷体" w:eastAsia="黑体"/>
          <w:bCs/>
          <w:kern w:val="0"/>
          <w:sz w:val="24"/>
        </w:rPr>
        <w:t>、网络规划：负责跟踪研究信息产业新技术、新趋势，规划公司整体网络建设，科学制定网络规划和建设方案。制定网络的年度投资计划和扩容方案，做好项目建设前期工作，满足市场发展需求。</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2</w:t>
      </w:r>
      <w:r>
        <w:rPr>
          <w:rFonts w:ascii="SimHei" w:hAnsi="SimHei" w:cs="楷体" w:eastAsia="黑体"/>
          <w:bCs/>
          <w:kern w:val="0"/>
          <w:sz w:val="24"/>
        </w:rPr>
        <w:t>、工程建设：负责组织开展公司各类网络、基础设施的建设工作，包括工程的宏观管理、招投标管理、工程实施管理、工程监控等，开展工程技术研究工作，保障公司各类工程建设的顺利开展。</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3</w:t>
      </w:r>
      <w:r>
        <w:rPr>
          <w:rFonts w:ascii="SimHei" w:hAnsi="SimHei" w:cs="楷体" w:eastAsia="黑体"/>
          <w:bCs/>
          <w:kern w:val="0"/>
          <w:sz w:val="24"/>
        </w:rPr>
        <w:t>、网络运营管理：负责网络安全生产宏观管理工作，组织开展网间互联管理及战备应急通信工作，完成特殊通信工作任务。制定网络质量管理工作目标与规章制度，开展全网网络分析工作，为公司经营决策提供参考依据。</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4</w:t>
      </w:r>
      <w:r>
        <w:rPr>
          <w:rFonts w:ascii="SimHei" w:hAnsi="SimHei" w:cs="楷体" w:eastAsia="黑体"/>
          <w:bCs/>
          <w:kern w:val="0"/>
          <w:sz w:val="24"/>
        </w:rPr>
        <w:t>、网络监控：负责对各专业通信网实施实时监控和网络投诉处理，及时组织处理网络运行中出现的故障和网络投诉等异常情况，实现网络故障和投诉的闭环管理。</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5</w:t>
      </w:r>
      <w:r>
        <w:rPr>
          <w:rFonts w:ascii="SimHei" w:hAnsi="SimHei" w:cs="楷体" w:eastAsia="黑体"/>
          <w:bCs/>
          <w:kern w:val="0"/>
          <w:sz w:val="24"/>
        </w:rPr>
        <w:t>、网络维护：负责各专业通信网络的运营、维护、安全工作，保证通信网络正常运行。</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bCs/>
          <w:kern w:val="0"/>
          <w:sz w:val="24"/>
        </w:rPr>
      </w:pPr>
      <w:r>
        <w:rPr>
          <w:rFonts w:eastAsia="黑体" w:cs="楷体" w:ascii="SimHei" w:hAnsi="SimHei"/>
          <w:bCs/>
          <w:kern w:val="0"/>
          <w:sz w:val="24"/>
        </w:rPr>
        <w:t>6</w:t>
      </w:r>
      <w:r>
        <w:rPr>
          <w:rFonts w:ascii="SimHei" w:hAnsi="SimHei" w:cs="楷体" w:eastAsia="黑体"/>
          <w:bCs/>
          <w:kern w:val="0"/>
          <w:sz w:val="24"/>
        </w:rPr>
        <w:t>、网络优化：负责开展网优技术的研究，制定网络资源优化配置与调整的方案，并组织开展日常网络优化工作，确保网络质量。</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sz w:val="24"/>
        </w:rPr>
      </w:pPr>
      <w:r>
        <w:rPr>
          <w:rFonts w:ascii="SimHei" w:hAnsi="SimHei" w:cs="楷体" w:eastAsia="黑体"/>
          <w:sz w:val="24"/>
        </w:rPr>
        <w:t>（十三）经理族主族分为一级经理、二级经理、三级经理三个职位子族：</w:t>
      </w:r>
    </w:p>
    <w:p>
      <w:pPr>
        <w:pStyle w:val="Normal"/>
        <w:keepNext w:val="false"/>
        <w:keepLines w:val="false"/>
        <w:pageBreakBefore w:val="false"/>
        <w:widowControl w:val="false"/>
        <w:numPr>
          <w:ilvl w:val="0"/>
          <w:numId w:val="1"/>
        </w:numPr>
        <w:kinsoku w:val="true"/>
        <w:overflowPunct w:val="true"/>
        <w:autoSpaceDE w:val="true"/>
        <w:bidi w:val="0"/>
        <w:spacing w:lineRule="auto" w:line="360"/>
        <w:ind w:start="0" w:firstLine="420"/>
        <w:textAlignment w:val="auto"/>
        <w:rPr>
          <w:rFonts w:ascii="楷体" w:hAnsi="楷体" w:eastAsia="楷体" w:cs="楷体"/>
          <w:bCs/>
          <w:sz w:val="24"/>
        </w:rPr>
      </w:pPr>
      <w:r>
        <w:rPr>
          <w:rFonts w:ascii="SimHei" w:hAnsi="SimHei" w:cs="楷体" w:eastAsia="黑体"/>
          <w:bCs/>
          <w:sz w:val="24"/>
        </w:rPr>
        <w:t>一级经理：省公司管理层。</w:t>
      </w:r>
    </w:p>
    <w:p>
      <w:pPr>
        <w:pStyle w:val="Normal"/>
        <w:keepNext w:val="false"/>
        <w:keepLines w:val="false"/>
        <w:pageBreakBefore w:val="false"/>
        <w:widowControl w:val="false"/>
        <w:numPr>
          <w:ilvl w:val="0"/>
          <w:numId w:val="1"/>
        </w:numPr>
        <w:tabs>
          <w:tab w:val="clear" w:pos="420"/>
          <w:tab w:val="left" w:pos="832" w:leader="none"/>
        </w:tabs>
        <w:kinsoku w:val="true"/>
        <w:overflowPunct w:val="true"/>
        <w:autoSpaceDE w:val="true"/>
        <w:bidi w:val="0"/>
        <w:spacing w:lineRule="auto" w:line="360"/>
        <w:ind w:start="0" w:firstLine="420"/>
        <w:textAlignment w:val="auto"/>
        <w:rPr>
          <w:rFonts w:ascii="楷体" w:hAnsi="楷体" w:eastAsia="楷体" w:cs="楷体"/>
          <w:sz w:val="24"/>
        </w:rPr>
      </w:pPr>
      <w:r>
        <w:rPr>
          <w:rFonts w:ascii="SimHei" w:hAnsi="SimHei" w:cs="楷体" w:eastAsia="黑体"/>
          <w:bCs/>
          <w:sz w:val="24"/>
        </w:rPr>
        <w:t>二级经理：市分公司管理层、省公司部门中层。</w:t>
      </w:r>
    </w:p>
    <w:p>
      <w:pPr>
        <w:pStyle w:val="Normal"/>
        <w:keepNext w:val="false"/>
        <w:keepLines w:val="false"/>
        <w:pageBreakBefore w:val="false"/>
        <w:widowControl w:val="false"/>
        <w:numPr>
          <w:ilvl w:val="0"/>
          <w:numId w:val="1"/>
        </w:numPr>
        <w:tabs>
          <w:tab w:val="clear" w:pos="420"/>
          <w:tab w:val="left" w:pos="832" w:leader="none"/>
        </w:tabs>
        <w:kinsoku w:val="true"/>
        <w:overflowPunct w:val="true"/>
        <w:autoSpaceDE w:val="true"/>
        <w:bidi w:val="0"/>
        <w:spacing w:lineRule="auto" w:line="360"/>
        <w:ind w:start="0" w:firstLine="420"/>
        <w:textAlignment w:val="auto"/>
        <w:rPr>
          <w:rFonts w:ascii="楷体" w:hAnsi="楷体" w:eastAsia="楷体" w:cs="楷体"/>
          <w:sz w:val="24"/>
        </w:rPr>
      </w:pPr>
      <w:r>
        <w:rPr>
          <w:rFonts w:ascii="SimHei" w:hAnsi="SimHei" w:cs="楷体" w:eastAsia="黑体"/>
          <w:bCs/>
          <w:sz w:val="24"/>
        </w:rPr>
        <w:t>三级经理：县</w:t>
      </w:r>
      <w:r>
        <w:rPr>
          <w:rFonts w:eastAsia="黑体" w:cs="楷体" w:ascii="SimHei" w:hAnsi="SimHei"/>
          <w:bCs/>
          <w:sz w:val="24"/>
        </w:rPr>
        <w:t>(</w:t>
      </w:r>
      <w:r>
        <w:rPr>
          <w:rFonts w:ascii="SimHei" w:hAnsi="SimHei" w:cs="楷体" w:eastAsia="黑体"/>
          <w:bCs/>
          <w:sz w:val="24"/>
        </w:rPr>
        <w:t>市、区</w:t>
      </w:r>
      <w:r>
        <w:rPr>
          <w:rFonts w:eastAsia="黑体" w:cs="楷体" w:ascii="SimHei" w:hAnsi="SimHei"/>
          <w:bCs/>
          <w:sz w:val="24"/>
        </w:rPr>
        <w:t>)</w:t>
      </w:r>
      <w:r>
        <w:rPr>
          <w:rFonts w:ascii="SimHei" w:hAnsi="SimHei" w:cs="楷体" w:eastAsia="黑体"/>
          <w:bCs/>
          <w:sz w:val="24"/>
        </w:rPr>
        <w:t>分公司管理层、市分公司中层。</w:t>
      </w:r>
    </w:p>
    <w:p>
      <w:pPr>
        <w:pStyle w:val="Normal"/>
        <w:keepNext w:val="false"/>
        <w:keepLines w:val="false"/>
        <w:pageBreakBefore w:val="false"/>
        <w:widowControl w:val="false"/>
        <w:kinsoku w:val="true"/>
        <w:overflowPunct w:val="true"/>
        <w:autoSpaceDE w:val="true"/>
        <w:bidi w:val="0"/>
        <w:spacing w:lineRule="auto" w:line="360"/>
        <w:ind w:start="0" w:firstLine="47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555"/>
        <w:textAlignment w:val="auto"/>
        <w:rPr>
          <w:rFonts w:ascii="楷体" w:hAnsi="楷体" w:eastAsia="楷体" w:cs="楷体"/>
          <w:b/>
          <w:b/>
          <w:sz w:val="24"/>
        </w:rPr>
      </w:pPr>
      <w:r>
        <w:rPr>
          <w:rFonts w:ascii="SimHei" w:hAnsi="SimHei" w:cs="楷体" w:eastAsia="黑体"/>
          <w:b/>
          <w:sz w:val="24"/>
        </w:rPr>
        <w:t>第九条  职位系列</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b/>
          <w:b/>
          <w:sz w:val="24"/>
        </w:rPr>
      </w:pPr>
      <w:r>
        <w:rPr>
          <w:rFonts w:ascii="SimHei" w:hAnsi="SimHei" w:cs="楷体" w:eastAsia="黑体"/>
          <w:sz w:val="24"/>
        </w:rPr>
        <w:t>根据实际职位的角色定位和任职标准，每个典型职位分为管理、主办和助理三个职位系列。</w:t>
      </w:r>
    </w:p>
    <w:p>
      <w:pPr>
        <w:pStyle w:val="Normal"/>
        <w:keepNext w:val="false"/>
        <w:keepLines w:val="false"/>
        <w:pageBreakBefore w:val="false"/>
        <w:widowControl w:val="false"/>
        <w:kinsoku w:val="true"/>
        <w:overflowPunct w:val="true"/>
        <w:autoSpaceDE w:val="true"/>
        <w:bidi w:val="0"/>
        <w:spacing w:lineRule="auto" w:line="360"/>
        <w:ind w:start="0" w:firstLine="391"/>
        <w:textAlignment w:val="auto"/>
        <w:rPr>
          <w:rFonts w:cs="楷体"/>
        </w:rPr>
      </w:pPr>
      <w:r>
        <w:rPr>
          <w:rFonts w:ascii="SimHei" w:hAnsi="SimHei" w:cs="楷体" w:eastAsia="黑体"/>
          <w:sz w:val="24"/>
        </w:rPr>
        <w:t>根据公司内部职位性质差异，分为职能管理类和生产服务类来界定职位系列的角色定位和任职标准。</w:t>
      </w:r>
    </w:p>
    <w:tbl>
      <w:tblPr>
        <w:tblW w:w="7920" w:type="dxa"/>
        <w:jc w:val="center"/>
        <w:tblInd w:w="0" w:type="dxa"/>
        <w:tblLayout w:type="fixed"/>
        <w:tblCellMar>
          <w:top w:w="0" w:type="dxa"/>
          <w:start w:w="108" w:type="dxa"/>
          <w:bottom w:w="0" w:type="dxa"/>
          <w:end w:w="108" w:type="dxa"/>
        </w:tblCellMar>
      </w:tblPr>
      <w:tblGrid>
        <w:gridCol w:w="1980"/>
        <w:gridCol w:w="1980"/>
        <w:gridCol w:w="1620"/>
        <w:gridCol w:w="2340"/>
      </w:tblGrid>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eastAsia="黑体" w:cs="楷体" w:ascii="SimHei" w:hAnsi="SimHei"/>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管理</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主办</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助理</w:t>
            </w:r>
          </w:p>
        </w:tc>
      </w:tr>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职能管理类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规划指导</w:t>
            </w:r>
            <w:r>
              <w:rPr>
                <w:rFonts w:eastAsia="黑体" w:cs="楷体" w:ascii="SimHei" w:hAnsi="SimHei"/>
                <w:sz w:val="24"/>
              </w:rPr>
              <w:t>/</w:t>
            </w:r>
            <w:r>
              <w:rPr>
                <w:rFonts w:ascii="SimHei" w:hAnsi="SimHei" w:cs="楷体" w:eastAsia="黑体"/>
                <w:sz w:val="24"/>
              </w:rPr>
              <w:t>管理协调</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专业执行</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操作实施</w:t>
            </w:r>
            <w:r>
              <w:rPr>
                <w:rFonts w:eastAsia="黑体" w:cs="楷体" w:ascii="SimHei" w:hAnsi="SimHei"/>
                <w:sz w:val="24"/>
              </w:rPr>
              <w:t>/</w:t>
            </w:r>
            <w:r>
              <w:rPr>
                <w:rFonts w:ascii="SimHei" w:hAnsi="SimHei" w:cs="楷体" w:eastAsia="黑体"/>
                <w:sz w:val="24"/>
              </w:rPr>
              <w:t>专业辅助</w:t>
            </w:r>
          </w:p>
        </w:tc>
      </w:tr>
      <w:tr>
        <w:trPr/>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生产服务类</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生产管理</w:t>
            </w:r>
            <w:r>
              <w:rPr>
                <w:rFonts w:eastAsia="黑体" w:cs="楷体" w:ascii="SimHei" w:hAnsi="SimHei"/>
                <w:sz w:val="24"/>
              </w:rPr>
              <w:t>/</w:t>
            </w:r>
            <w:r>
              <w:rPr>
                <w:rFonts w:ascii="SimHei" w:hAnsi="SimHei" w:cs="楷体" w:eastAsia="黑体"/>
                <w:sz w:val="24"/>
              </w:rPr>
              <w:t>专业生产</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高级操作</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z w:val="24"/>
              </w:rPr>
            </w:pPr>
            <w:r>
              <w:rPr>
                <w:rFonts w:ascii="SimHei" w:hAnsi="SimHei" w:cs="楷体" w:eastAsia="黑体"/>
                <w:sz w:val="24"/>
              </w:rPr>
              <w:t>基本操作</w:t>
            </w:r>
          </w:p>
        </w:tc>
      </w:tr>
    </w:tbl>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color w:val="FF0000"/>
          <w:sz w:val="24"/>
        </w:rPr>
      </w:pPr>
      <w:r>
        <w:rPr>
          <w:rFonts w:eastAsia="黑体" w:cs="楷体" w:ascii="SimHei" w:hAnsi="SimHei"/>
          <w:color w:val="FF0000"/>
          <w:sz w:val="24"/>
        </w:rPr>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第十条  职位职等及职位水平等级</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职等代表职位在公司内部的相对价值地位。公司把职等确定为</w:t>
      </w:r>
      <w:r>
        <w:rPr>
          <w:rFonts w:eastAsia="黑体" w:cs="楷体" w:ascii="SimHei" w:hAnsi="SimHei"/>
          <w:sz w:val="24"/>
        </w:rPr>
        <w:t>1-19</w:t>
      </w:r>
      <w:r>
        <w:rPr>
          <w:rFonts w:ascii="SimHei" w:hAnsi="SimHei" w:cs="楷体" w:eastAsia="黑体"/>
          <w:sz w:val="24"/>
        </w:rPr>
        <w:t>等，最低为</w:t>
      </w:r>
      <w:r>
        <w:rPr>
          <w:rFonts w:eastAsia="黑体" w:cs="楷体" w:ascii="SimHei" w:hAnsi="SimHei"/>
          <w:sz w:val="24"/>
        </w:rPr>
        <w:t>1</w:t>
      </w:r>
      <w:r>
        <w:rPr>
          <w:rFonts w:ascii="SimHei" w:hAnsi="SimHei" w:cs="楷体" w:eastAsia="黑体"/>
          <w:sz w:val="24"/>
        </w:rPr>
        <w:t>等，最高为</w:t>
      </w:r>
      <w:r>
        <w:rPr>
          <w:rFonts w:eastAsia="黑体" w:cs="楷体" w:ascii="SimHei" w:hAnsi="SimHei"/>
          <w:sz w:val="24"/>
        </w:rPr>
        <w:t>19</w:t>
      </w:r>
      <w:r>
        <w:rPr>
          <w:rFonts w:ascii="SimHei" w:hAnsi="SimHei" w:cs="楷体" w:eastAsia="黑体"/>
          <w:sz w:val="24"/>
        </w:rPr>
        <w:t>等。公司使用惠悦全球职等系统对职位进行评估所确定的职等称为该职位的标准职等，该职位的拓展职等—水平等级具体规定如下：</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（一）管理、主办、助理系列设高级、标准级、中级、初级四个水平等级；</w:t>
      </w:r>
      <w:r>
        <w:rPr>
          <w:rFonts w:ascii="SimHei" w:hAnsi="SimHei" w:cs="楷体" w:eastAsia="黑体"/>
          <w:color w:val="000000"/>
          <w:sz w:val="24"/>
        </w:rPr>
        <w:t>该职位标准职</w:t>
      </w:r>
      <w:r>
        <w:rPr>
          <w:rFonts w:ascii="SimHei" w:hAnsi="SimHei" w:cs="楷体" w:eastAsia="黑体"/>
          <w:sz w:val="24"/>
        </w:rPr>
        <w:t>等</w:t>
      </w:r>
      <w:r>
        <w:rPr>
          <w:rFonts w:ascii="SimHei" w:hAnsi="SimHei" w:cs="楷体" w:eastAsia="黑体"/>
          <w:color w:val="000000"/>
          <w:sz w:val="24"/>
        </w:rPr>
        <w:t>为标准级。</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color w:val="FF0000"/>
          <w:sz w:val="24"/>
        </w:rPr>
      </w:pPr>
      <w:r>
        <w:rPr>
          <w:rFonts w:ascii="SimHei" w:hAnsi="SimHei" w:cs="楷体" w:eastAsia="黑体"/>
          <w:sz w:val="24"/>
        </w:rPr>
        <w:t>（二）管理系列职位标准职等即为惠悦全球职等系统对职位进行评估所确定的职等；主办系列职位标准职等为管理系列职位标准职等下延</w:t>
      </w:r>
      <w:r>
        <w:rPr>
          <w:rFonts w:eastAsia="黑体" w:cs="楷体" w:ascii="SimHei" w:hAnsi="SimHei"/>
          <w:sz w:val="24"/>
        </w:rPr>
        <w:t>2</w:t>
      </w:r>
      <w:r>
        <w:rPr>
          <w:rFonts w:ascii="SimHei" w:hAnsi="SimHei" w:cs="楷体" w:eastAsia="黑体"/>
          <w:sz w:val="24"/>
        </w:rPr>
        <w:t>个职等；助理系列职位标准职等为管理系列职位标准职等下延</w:t>
      </w:r>
      <w:r>
        <w:rPr>
          <w:rFonts w:eastAsia="黑体" w:cs="楷体" w:ascii="SimHei" w:hAnsi="SimHei"/>
          <w:sz w:val="24"/>
        </w:rPr>
        <w:t>3</w:t>
      </w:r>
      <w:r>
        <w:rPr>
          <w:rFonts w:ascii="SimHei" w:hAnsi="SimHei" w:cs="楷体" w:eastAsia="黑体"/>
          <w:sz w:val="24"/>
        </w:rPr>
        <w:t>个职等。</w:t>
      </w:r>
      <w:r>
        <w:rPr>
          <w:rFonts w:ascii="SimHei" w:hAnsi="SimHei" w:cs="楷体" w:eastAsia="黑体"/>
          <w:b/>
          <w:bCs/>
          <w:sz w:val="24"/>
        </w:rPr>
        <w:t xml:space="preserve"> </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color w:val="000000"/>
          <w:sz w:val="24"/>
        </w:rPr>
      </w:pPr>
      <w:r>
        <w:rPr>
          <w:rFonts w:ascii="SimHei" w:hAnsi="SimHei" w:cs="楷体" w:eastAsia="黑体"/>
          <w:bCs/>
          <w:sz w:val="24"/>
        </w:rPr>
        <w:t>（三）</w:t>
      </w:r>
      <w:r>
        <w:rPr>
          <w:rFonts w:ascii="SimHei" w:hAnsi="SimHei" w:cs="楷体" w:eastAsia="黑体"/>
          <w:bCs/>
          <w:color w:val="000000"/>
          <w:sz w:val="24"/>
        </w:rPr>
        <w:t>各系列职位水平等级对应的职等最低为１等，如标准职等为１的系列职位只设标准级、高级水平等级；标准职等为</w:t>
      </w:r>
      <w:r>
        <w:rPr>
          <w:rFonts w:eastAsia="黑体" w:cs="楷体" w:ascii="SimHei" w:hAnsi="SimHei"/>
          <w:bCs/>
          <w:color w:val="000000"/>
          <w:sz w:val="24"/>
        </w:rPr>
        <w:t>2</w:t>
      </w:r>
      <w:r>
        <w:rPr>
          <w:rFonts w:ascii="SimHei" w:hAnsi="SimHei" w:cs="楷体" w:eastAsia="黑体"/>
          <w:bCs/>
          <w:color w:val="000000"/>
          <w:sz w:val="24"/>
        </w:rPr>
        <w:t>的系列职位只设初级、标准级、高级水平等级。</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color w:val="000000"/>
          <w:sz w:val="24"/>
        </w:rPr>
      </w:pPr>
      <w:r>
        <w:rPr>
          <w:rFonts w:ascii="SimHei" w:hAnsi="SimHei" w:cs="楷体" w:eastAsia="黑体"/>
          <w:color w:val="000000"/>
          <w:sz w:val="24"/>
        </w:rPr>
        <w:t>下文中若不特别说明，职位职等一般指该职位标准职等。</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color w:val="000000"/>
          <w:sz w:val="24"/>
        </w:rPr>
      </w:pPr>
      <w:r>
        <w:rPr>
          <w:rFonts w:eastAsia="黑体" w:cs="楷体" w:ascii="SimHei" w:hAnsi="SimHei"/>
          <w:color w:val="000000"/>
          <w:sz w:val="24"/>
        </w:rPr>
      </w:r>
    </w:p>
    <w:p>
      <w:pPr>
        <w:pStyle w:val="Normal"/>
        <w:keepNext w:val="false"/>
        <w:keepLines w:val="false"/>
        <w:pageBreakBefore w:val="false"/>
        <w:widowControl w:val="false"/>
        <w:kinsoku w:val="true"/>
        <w:overflowPunct w:val="true"/>
        <w:autoSpaceDE w:val="true"/>
        <w:bidi w:val="0"/>
        <w:spacing w:lineRule="auto" w:line="360"/>
        <w:ind w:start="0" w:firstLine="555"/>
        <w:textAlignment w:val="auto"/>
        <w:rPr>
          <w:rFonts w:ascii="楷体" w:hAnsi="楷体" w:eastAsia="楷体" w:cs="楷体"/>
          <w:b/>
          <w:b/>
          <w:sz w:val="24"/>
        </w:rPr>
      </w:pPr>
      <w:r>
        <w:rPr>
          <w:rFonts w:ascii="SimHei" w:hAnsi="SimHei" w:cs="楷体" w:eastAsia="黑体"/>
          <w:b/>
          <w:sz w:val="24"/>
        </w:rPr>
        <w:t>第十一条  职位体系</w:t>
      </w:r>
    </w:p>
    <w:p>
      <w:pPr>
        <w:pStyle w:val="Normal"/>
        <w:keepNext w:val="false"/>
        <w:keepLines w:val="false"/>
        <w:pageBreakBefore w:val="false"/>
        <w:widowControl w:val="false"/>
        <w:kinsoku w:val="true"/>
        <w:overflowPunct w:val="true"/>
        <w:autoSpaceDE w:val="true"/>
        <w:bidi w:val="0"/>
        <w:spacing w:lineRule="auto" w:line="360"/>
        <w:ind w:start="0" w:firstLine="555"/>
        <w:textAlignment w:val="auto"/>
        <w:rPr>
          <w:rFonts w:ascii="楷体" w:hAnsi="楷体" w:eastAsia="楷体" w:cs="楷体"/>
          <w:sz w:val="24"/>
        </w:rPr>
      </w:pPr>
      <w:r>
        <w:rPr>
          <w:rFonts w:ascii="SimHei" w:hAnsi="SimHei" w:cs="楷体" w:eastAsia="黑体"/>
          <w:sz w:val="24"/>
        </w:rPr>
        <w:t>由职位条线、职位主族、职位子族、典型职位，同时结合职位系列、职位水平等级对应的职位晋升通道，构成公司的职位体系。</w:t>
      </w:r>
    </w:p>
    <w:p>
      <w:pPr>
        <w:pStyle w:val="Normal"/>
        <w:keepNext w:val="false"/>
        <w:keepLines w:val="false"/>
        <w:pageBreakBefore w:val="false"/>
        <w:widowControl w:val="false"/>
        <w:kinsoku w:val="true"/>
        <w:overflowPunct w:val="true"/>
        <w:autoSpaceDE w:val="true"/>
        <w:bidi w:val="0"/>
        <w:spacing w:lineRule="auto" w:line="360"/>
        <w:ind w:start="0" w:hanging="0"/>
        <w:jc w:val="center"/>
        <w:textAlignment w:val="auto"/>
        <w:rPr>
          <w:rFonts w:ascii="楷体" w:hAnsi="楷体" w:eastAsia="楷体" w:cs="楷体"/>
          <w:b/>
          <w:b/>
          <w:sz w:val="24"/>
        </w:rPr>
      </w:pPr>
      <w:r>
        <w:rPr>
          <w:rFonts w:ascii="SimHei" w:hAnsi="SimHei" w:cs="楷体" w:eastAsia="黑体"/>
          <w:b/>
          <w:sz w:val="24"/>
        </w:rPr>
        <w:t>第三章  职位管理</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第十二条  职位增设</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职位增设是指公司组织架构发生调整或业务流程发生重大变化时，设计新增职位，并明确其职责和标准职等的过程。职位增设应严格履行审批程序：</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、职位增设需求部门提出职位增设申请，申请应包括职位说明书、设立依据、建议职等等。</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t>2</w:t>
      </w:r>
      <w:r>
        <w:rPr>
          <w:rFonts w:ascii="SimHei" w:hAnsi="SimHei" w:cs="楷体" w:eastAsia="黑体"/>
          <w:sz w:val="24"/>
        </w:rPr>
        <w:t>、所在公司人力资源部在调研分析的基础上，提出设置或调整建议。</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t>3</w:t>
      </w:r>
      <w:r>
        <w:rPr>
          <w:rFonts w:ascii="SimHei" w:hAnsi="SimHei" w:cs="楷体" w:eastAsia="黑体"/>
          <w:sz w:val="24"/>
        </w:rPr>
        <w:t>、所在公司领导同意后，人力资源部组织落实。</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第十三条  职位维护</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职位维护是指对已有职位的职位职责、任职资格等根据实际变化进行维护，并对职位说明书加以修订的过程。职位维护一般每年进行一次，由所在公司人力资源部统一组织开展。</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第十四条　职位调整</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职位调整是指对已有职位的职位名称、职责、标准职等、任职资格等依据实际情况和发展需要进行调整并重新确定的过程。职位调整可以根据实际需要随时进行。</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（一）职位调整需求部门提出职位调整申请，申请应包括调整后的职位说明书、调整依据、建议新职等（标准职等）等。</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（二）所在公司人力资源部在调研的基础上，提出调整建议。</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（三）所在公司领导同意后，人力资源部组织落实。</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职位调整适用于部门分工、业务流程、人员配置等有重大变化，影响到职位核心职责及价值的情况；对于非核心职责的分工调整，一般只做职位维护。</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职位职等设置、调整的审批应以省公司下发的典型职位和职位职等确定相关原则为依据。如所设职位或调整后职位不在省公司下发的典型职位内，应报省公司人力资源部审批。</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hanging="0"/>
        <w:jc w:val="center"/>
        <w:textAlignment w:val="auto"/>
        <w:rPr>
          <w:rFonts w:ascii="楷体" w:hAnsi="楷体" w:eastAsia="楷体" w:cs="楷体"/>
          <w:b/>
          <w:b/>
          <w:sz w:val="24"/>
        </w:rPr>
      </w:pPr>
      <w:r>
        <w:rPr>
          <w:rFonts w:ascii="SimHei" w:hAnsi="SimHei" w:cs="楷体" w:eastAsia="黑体"/>
          <w:b/>
          <w:sz w:val="24"/>
        </w:rPr>
        <w:t>第四章  人员配置与调整</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第十五条  新进公司员工职位水平等级</w:t>
      </w:r>
      <w:r>
        <w:rPr>
          <w:rFonts w:eastAsia="黑体" w:cs="楷体" w:ascii="SimHei" w:hAnsi="SimHei"/>
          <w:b/>
          <w:sz w:val="24"/>
        </w:rPr>
        <w:t>/</w:t>
      </w:r>
      <w:r>
        <w:rPr>
          <w:rFonts w:ascii="SimHei" w:hAnsi="SimHei" w:cs="楷体" w:eastAsia="黑体"/>
          <w:b/>
          <w:sz w:val="24"/>
        </w:rPr>
        <w:t>个人职等确定</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新进员工录用后及试岗期</w:t>
      </w:r>
      <w:r>
        <w:rPr>
          <w:rFonts w:eastAsia="黑体" w:cs="楷体" w:ascii="SimHei" w:hAnsi="SimHei"/>
          <w:sz w:val="24"/>
        </w:rPr>
        <w:t>/</w:t>
      </w:r>
      <w:r>
        <w:rPr>
          <w:rFonts w:ascii="SimHei" w:hAnsi="SimHei" w:cs="楷体" w:eastAsia="黑体"/>
          <w:sz w:val="24"/>
        </w:rPr>
        <w:t>见习期满转正后，应通过人员配置确认其职位、职位系列、职位水平等级及个人职等。</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员工职位水平等级与员工个人职等相对应，将确定员工薪酬标准，员工个人职等确定需根据员工本人工作年限的最低要求（详见附件一）和所任岗位的岗位标准职等确定。工作年限包含试岗期时间。</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（一）管理系列职位新进员工个人职等确定（员工职位水平等级由个人职等对应确定）：</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b/>
          <w:b/>
          <w:sz w:val="24"/>
          <w:szCs w:val="24"/>
        </w:rPr>
      </w:pPr>
      <w:r>
        <w:rPr>
          <w:rFonts w:eastAsia="黑体" w:cs="楷体" w:ascii="SimHei" w:hAnsi="SimHei"/>
          <w:b/>
          <w:sz w:val="24"/>
          <w:szCs w:val="24"/>
        </w:rPr>
        <w:t>1</w:t>
      </w:r>
      <w:r>
        <w:rPr>
          <w:rFonts w:ascii="SimHei" w:hAnsi="SimHei" w:cs="楷体" w:eastAsia="黑体"/>
          <w:b/>
          <w:sz w:val="24"/>
          <w:szCs w:val="24"/>
        </w:rPr>
        <w:t>、应届毕业全日制博士研究生</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自进入移动公司工作起三个月为试岗期，试岗期员工个人职等对应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7</w:t>
      </w:r>
      <w:r>
        <w:rPr>
          <w:rFonts w:ascii="SimHei" w:hAnsi="SimHei" w:cs="楷体" w:eastAsia="黑体"/>
          <w:sz w:val="24"/>
          <w:szCs w:val="24"/>
        </w:rPr>
        <w:t>等</w:t>
      </w:r>
      <w:r>
        <w:rPr>
          <w:rFonts w:eastAsia="黑体" w:cs="楷体" w:ascii="SimHei" w:hAnsi="SimHei"/>
          <w:sz w:val="24"/>
          <w:szCs w:val="24"/>
        </w:rPr>
        <w:t>0</w:t>
      </w:r>
      <w:r>
        <w:rPr>
          <w:rFonts w:ascii="SimHei" w:hAnsi="SimHei" w:cs="楷体" w:eastAsia="黑体"/>
          <w:sz w:val="24"/>
          <w:szCs w:val="24"/>
        </w:rPr>
        <w:t>分位确定。试岗期满，经试岗期考核良好及以上，员工个人职等对应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8</w:t>
      </w:r>
      <w:r>
        <w:rPr>
          <w:rFonts w:ascii="SimHei" w:hAnsi="SimHei" w:cs="楷体" w:eastAsia="黑体"/>
          <w:sz w:val="24"/>
          <w:szCs w:val="24"/>
        </w:rPr>
        <w:t>等</w:t>
      </w:r>
      <w:r>
        <w:rPr>
          <w:rFonts w:eastAsia="黑体" w:cs="楷体" w:ascii="SimHei" w:hAnsi="SimHei"/>
          <w:sz w:val="24"/>
          <w:szCs w:val="24"/>
        </w:rPr>
        <w:t>0</w:t>
      </w:r>
      <w:r>
        <w:rPr>
          <w:rFonts w:ascii="SimHei" w:hAnsi="SimHei" w:cs="楷体" w:eastAsia="黑体"/>
          <w:sz w:val="24"/>
          <w:szCs w:val="24"/>
        </w:rPr>
        <w:t>分位定等，另加该员工的工龄分位值；试岗期考核良好以下的，员工个人职等不作调整，另加该员工的工龄分位值。工龄分位值的计算详见《</w:t>
      </w:r>
      <w:r>
        <w:rPr>
          <w:rFonts w:ascii="SimHei" w:hAnsi="SimHei" w:cs="楷体" w:eastAsia="黑体"/>
          <w:sz w:val="24"/>
          <w:szCs w:val="24"/>
          <w:lang w:eastAsia="zh-CN"/>
        </w:rPr>
        <w:t>通讯公司</w:t>
      </w:r>
      <w:r>
        <w:rPr>
          <w:rFonts w:ascii="SimHei" w:hAnsi="SimHei" w:cs="楷体" w:eastAsia="黑体"/>
          <w:sz w:val="24"/>
          <w:szCs w:val="24"/>
        </w:rPr>
        <w:t>公司</w:t>
      </w:r>
      <w:r>
        <w:rPr>
          <w:rFonts w:eastAsia="黑体" w:cs="楷体" w:ascii="SimHei" w:hAnsi="SimHei"/>
          <w:sz w:val="24"/>
          <w:szCs w:val="24"/>
        </w:rPr>
        <w:t>19</w:t>
      </w:r>
      <w:r>
        <w:rPr>
          <w:rFonts w:ascii="SimHei" w:hAnsi="SimHei" w:cs="楷体" w:eastAsia="黑体"/>
          <w:sz w:val="24"/>
          <w:szCs w:val="24"/>
        </w:rPr>
        <w:t>等薪酬管理办法》。</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b/>
          <w:b/>
          <w:sz w:val="24"/>
          <w:szCs w:val="24"/>
        </w:rPr>
      </w:pPr>
      <w:r>
        <w:rPr>
          <w:rFonts w:eastAsia="黑体" w:cs="楷体" w:ascii="SimHei" w:hAnsi="SimHei"/>
          <w:b/>
          <w:sz w:val="24"/>
          <w:szCs w:val="24"/>
        </w:rPr>
        <w:t>2</w:t>
      </w:r>
      <w:r>
        <w:rPr>
          <w:rFonts w:ascii="SimHei" w:hAnsi="SimHei" w:cs="楷体" w:eastAsia="黑体"/>
          <w:b/>
          <w:sz w:val="24"/>
          <w:szCs w:val="24"/>
        </w:rPr>
        <w:t>、应届毕业全日制硕士研究生</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自进入移动公司工作起六个月为试岗期，试岗期员工个人职等对应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6</w:t>
      </w:r>
      <w:r>
        <w:rPr>
          <w:rFonts w:ascii="SimHei" w:hAnsi="SimHei" w:cs="楷体" w:eastAsia="黑体"/>
          <w:sz w:val="24"/>
          <w:szCs w:val="24"/>
        </w:rPr>
        <w:t>等</w:t>
      </w:r>
      <w:r>
        <w:rPr>
          <w:rFonts w:eastAsia="黑体" w:cs="楷体" w:ascii="SimHei" w:hAnsi="SimHei"/>
          <w:sz w:val="24"/>
          <w:szCs w:val="24"/>
        </w:rPr>
        <w:t>0</w:t>
      </w:r>
      <w:r>
        <w:rPr>
          <w:rFonts w:ascii="SimHei" w:hAnsi="SimHei" w:cs="楷体" w:eastAsia="黑体"/>
          <w:sz w:val="24"/>
          <w:szCs w:val="24"/>
        </w:rPr>
        <w:t>分位确定。试岗期满，经试岗期考核良好及以上，员工个人职等对应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7</w:t>
      </w:r>
      <w:r>
        <w:rPr>
          <w:rFonts w:ascii="SimHei" w:hAnsi="SimHei" w:cs="楷体" w:eastAsia="黑体"/>
          <w:sz w:val="24"/>
          <w:szCs w:val="24"/>
        </w:rPr>
        <w:t>等</w:t>
      </w:r>
      <w:r>
        <w:rPr>
          <w:rFonts w:eastAsia="黑体" w:cs="楷体" w:ascii="SimHei" w:hAnsi="SimHei"/>
          <w:sz w:val="24"/>
          <w:szCs w:val="24"/>
        </w:rPr>
        <w:t>0</w:t>
      </w:r>
      <w:r>
        <w:rPr>
          <w:rFonts w:ascii="SimHei" w:hAnsi="SimHei" w:cs="楷体" w:eastAsia="黑体"/>
          <w:sz w:val="24"/>
          <w:szCs w:val="24"/>
        </w:rPr>
        <w:t>分位定等，另加该员工的工龄分位值；试岗期考核良好以下的，员工个人职等不作调整，另加该员工的工龄分位值。</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b/>
          <w:b/>
          <w:sz w:val="24"/>
          <w:szCs w:val="24"/>
        </w:rPr>
      </w:pPr>
      <w:r>
        <w:rPr>
          <w:rFonts w:eastAsia="黑体" w:cs="楷体" w:ascii="SimHei" w:hAnsi="SimHei"/>
          <w:b/>
          <w:sz w:val="24"/>
          <w:szCs w:val="24"/>
        </w:rPr>
        <w:t>3</w:t>
      </w:r>
      <w:r>
        <w:rPr>
          <w:rFonts w:ascii="SimHei" w:hAnsi="SimHei" w:cs="楷体" w:eastAsia="黑体"/>
          <w:b/>
          <w:sz w:val="24"/>
          <w:szCs w:val="24"/>
        </w:rPr>
        <w:t>、应届毕业全日制大学本科毕业生及以下（含双学位本科毕业生）</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自进入移动公司工作起</w:t>
      </w:r>
      <w:r>
        <w:rPr>
          <w:rFonts w:eastAsia="黑体" w:cs="楷体" w:ascii="SimHei" w:hAnsi="SimHei"/>
          <w:sz w:val="24"/>
          <w:szCs w:val="24"/>
        </w:rPr>
        <w:t>1</w:t>
      </w:r>
      <w:r>
        <w:rPr>
          <w:rFonts w:ascii="SimHei" w:hAnsi="SimHei" w:cs="楷体" w:eastAsia="黑体"/>
          <w:sz w:val="24"/>
          <w:szCs w:val="24"/>
        </w:rPr>
        <w:t>年内为见习期，本科毕业生对应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4B</w:t>
      </w:r>
      <w:r>
        <w:rPr>
          <w:rFonts w:ascii="SimHei" w:hAnsi="SimHei" w:cs="楷体" w:eastAsia="黑体"/>
          <w:sz w:val="24"/>
          <w:szCs w:val="24"/>
        </w:rPr>
        <w:t>的</w:t>
      </w:r>
      <w:r>
        <w:rPr>
          <w:rFonts w:eastAsia="黑体" w:cs="楷体" w:ascii="SimHei" w:hAnsi="SimHei"/>
          <w:sz w:val="24"/>
          <w:szCs w:val="24"/>
        </w:rPr>
        <w:t>70</w:t>
      </w:r>
      <w:r>
        <w:rPr>
          <w:rFonts w:ascii="SimHei" w:hAnsi="SimHei" w:cs="楷体" w:eastAsia="黑体"/>
          <w:sz w:val="24"/>
          <w:szCs w:val="24"/>
        </w:rPr>
        <w:t>分位值确定；大专毕业生对应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4B</w:t>
      </w:r>
      <w:r>
        <w:rPr>
          <w:rFonts w:ascii="SimHei" w:hAnsi="SimHei" w:cs="楷体" w:eastAsia="黑体"/>
          <w:sz w:val="24"/>
          <w:szCs w:val="24"/>
        </w:rPr>
        <w:t>的</w:t>
      </w:r>
      <w:r>
        <w:rPr>
          <w:rFonts w:eastAsia="黑体" w:cs="楷体" w:ascii="SimHei" w:hAnsi="SimHei"/>
          <w:sz w:val="24"/>
          <w:szCs w:val="24"/>
        </w:rPr>
        <w:t>50</w:t>
      </w:r>
      <w:r>
        <w:rPr>
          <w:rFonts w:ascii="SimHei" w:hAnsi="SimHei" w:cs="楷体" w:eastAsia="黑体"/>
          <w:sz w:val="24"/>
          <w:szCs w:val="24"/>
        </w:rPr>
        <w:t>分位值确定；中专及以下毕业生对应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4B</w:t>
      </w:r>
      <w:r>
        <w:rPr>
          <w:rFonts w:ascii="SimHei" w:hAnsi="SimHei" w:cs="楷体" w:eastAsia="黑体"/>
          <w:sz w:val="24"/>
          <w:szCs w:val="24"/>
        </w:rPr>
        <w:t>的</w:t>
      </w:r>
      <w:r>
        <w:rPr>
          <w:rFonts w:eastAsia="黑体" w:cs="楷体" w:ascii="SimHei" w:hAnsi="SimHei"/>
          <w:sz w:val="24"/>
          <w:szCs w:val="24"/>
        </w:rPr>
        <w:t>30</w:t>
      </w:r>
      <w:r>
        <w:rPr>
          <w:rFonts w:ascii="SimHei" w:hAnsi="SimHei" w:cs="楷体" w:eastAsia="黑体"/>
          <w:sz w:val="24"/>
          <w:szCs w:val="24"/>
        </w:rPr>
        <w:t>分位值确定。见习期满后，考核良好以下，员工个人职等对应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5</w:t>
      </w:r>
      <w:r>
        <w:rPr>
          <w:rFonts w:ascii="SimHei" w:hAnsi="SimHei" w:cs="楷体" w:eastAsia="黑体"/>
          <w:sz w:val="24"/>
          <w:szCs w:val="24"/>
        </w:rPr>
        <w:t>等</w:t>
      </w:r>
      <w:r>
        <w:rPr>
          <w:rFonts w:eastAsia="黑体" w:cs="楷体" w:ascii="SimHei" w:hAnsi="SimHei"/>
          <w:sz w:val="24"/>
          <w:szCs w:val="24"/>
        </w:rPr>
        <w:t>0</w:t>
      </w:r>
      <w:r>
        <w:rPr>
          <w:rFonts w:ascii="SimHei" w:hAnsi="SimHei" w:cs="楷体" w:eastAsia="黑体"/>
          <w:sz w:val="24"/>
          <w:szCs w:val="24"/>
        </w:rPr>
        <w:t>分位值定等，另加该员工的工龄分位值；考核良好及以上，员工个人职等对应</w:t>
      </w:r>
      <w:r>
        <w:rPr>
          <w:rFonts w:eastAsia="黑体" w:cs="楷体" w:ascii="SimHei" w:hAnsi="SimHei"/>
          <w:sz w:val="24"/>
          <w:szCs w:val="24"/>
        </w:rPr>
        <w:t>19</w:t>
      </w:r>
      <w:r>
        <w:rPr>
          <w:rFonts w:ascii="SimHei" w:hAnsi="SimHei" w:cs="楷体" w:eastAsia="黑体"/>
          <w:sz w:val="24"/>
          <w:szCs w:val="24"/>
        </w:rPr>
        <w:t>等薪酬按</w:t>
      </w:r>
      <w:r>
        <w:rPr>
          <w:rFonts w:eastAsia="黑体" w:cs="楷体" w:ascii="SimHei" w:hAnsi="SimHei"/>
          <w:sz w:val="24"/>
          <w:szCs w:val="24"/>
        </w:rPr>
        <w:t>6</w:t>
      </w:r>
      <w:r>
        <w:rPr>
          <w:rFonts w:ascii="SimHei" w:hAnsi="SimHei" w:cs="楷体" w:eastAsia="黑体"/>
          <w:sz w:val="24"/>
          <w:szCs w:val="24"/>
        </w:rPr>
        <w:t>等</w:t>
      </w:r>
      <w:r>
        <w:rPr>
          <w:rFonts w:eastAsia="黑体" w:cs="楷体" w:ascii="SimHei" w:hAnsi="SimHei"/>
          <w:sz w:val="24"/>
          <w:szCs w:val="24"/>
        </w:rPr>
        <w:t>0</w:t>
      </w:r>
      <w:r>
        <w:rPr>
          <w:rFonts w:ascii="SimHei" w:hAnsi="SimHei" w:cs="楷体" w:eastAsia="黑体"/>
          <w:sz w:val="24"/>
          <w:szCs w:val="24"/>
        </w:rPr>
        <w:t>分位定等，另加该员工的工龄分位值。</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b/>
          <w:b/>
          <w:sz w:val="24"/>
          <w:szCs w:val="24"/>
        </w:rPr>
      </w:pPr>
      <w:r>
        <w:rPr>
          <w:rFonts w:eastAsia="黑体" w:cs="楷体" w:ascii="SimHei" w:hAnsi="SimHei"/>
          <w:b/>
          <w:sz w:val="24"/>
          <w:szCs w:val="24"/>
        </w:rPr>
        <w:t>4</w:t>
      </w:r>
      <w:r>
        <w:rPr>
          <w:rFonts w:ascii="SimHei" w:hAnsi="SimHei" w:cs="楷体" w:eastAsia="黑体"/>
          <w:b/>
          <w:sz w:val="24"/>
          <w:szCs w:val="24"/>
        </w:rPr>
        <w:t>、社会招聘人员（含军转人员）</w:t>
      </w:r>
    </w:p>
    <w:p>
      <w:pPr>
        <w:pStyle w:val="3"/>
        <w:keepNext w:val="false"/>
        <w:keepLines w:val="false"/>
        <w:pageBreakBefore w:val="false"/>
        <w:widowControl w:val="false"/>
        <w:kinsoku w:val="true"/>
        <w:overflowPunct w:val="true"/>
        <w:autoSpaceDE w:val="true"/>
        <w:bidi w:val="0"/>
        <w:spacing w:lineRule="auto" w:line="360" w:before="0" w:after="0"/>
        <w:ind w:start="0" w:firstLine="524"/>
        <w:textAlignment w:val="auto"/>
        <w:rPr>
          <w:rFonts w:ascii="楷体" w:hAnsi="楷体" w:eastAsia="楷体" w:cs="楷体"/>
          <w:sz w:val="24"/>
          <w:szCs w:val="24"/>
        </w:rPr>
      </w:pPr>
      <w:r>
        <w:rPr>
          <w:rFonts w:ascii="SimHei" w:hAnsi="SimHei" w:cs="楷体" w:eastAsia="黑体"/>
          <w:sz w:val="24"/>
          <w:szCs w:val="24"/>
        </w:rPr>
        <w:t>自进入移动公司工作起六个月为试岗期（学历为博士研究生的，试岗期三个月）。</w:t>
      </w:r>
    </w:p>
    <w:p>
      <w:pPr>
        <w:pStyle w:val="Normal"/>
        <w:keepNext w:val="false"/>
        <w:keepLines w:val="false"/>
        <w:pageBreakBefore w:val="false"/>
        <w:widowControl w:val="false"/>
        <w:tabs>
          <w:tab w:val="clear" w:pos="420"/>
          <w:tab w:val="left" w:pos="360" w:leader="none"/>
          <w:tab w:val="left" w:pos="540" w:leader="none"/>
        </w:tabs>
        <w:kinsoku w:val="true"/>
        <w:overflowPunct w:val="true"/>
        <w:autoSpaceDE w:val="true"/>
        <w:bidi w:val="0"/>
        <w:snapToGrid w:val="false"/>
        <w:spacing w:lineRule="auto" w:line="360"/>
        <w:ind w:start="0" w:firstLine="524"/>
        <w:textAlignment w:val="auto"/>
        <w:rPr>
          <w:rFonts w:ascii="楷体" w:hAnsi="楷体" w:eastAsia="楷体" w:cs="楷体"/>
          <w:sz w:val="24"/>
        </w:rPr>
      </w:pPr>
      <w:r>
        <w:rPr>
          <w:rFonts w:ascii="SimHei" w:hAnsi="SimHei" w:cs="楷体" w:eastAsia="黑体"/>
          <w:sz w:val="24"/>
        </w:rPr>
        <w:t>员工个人职等根据附件一和所任岗位的岗位标准职等定等，另加该员工的工龄分位值。试岗期员工个人职等按低一等</w:t>
      </w:r>
      <w:r>
        <w:rPr>
          <w:rFonts w:eastAsia="黑体" w:cs="楷体" w:ascii="SimHei" w:hAnsi="SimHei"/>
          <w:sz w:val="24"/>
        </w:rPr>
        <w:t>0</w:t>
      </w:r>
      <w:r>
        <w:rPr>
          <w:rFonts w:ascii="SimHei" w:hAnsi="SimHei" w:cs="楷体" w:eastAsia="黑体"/>
          <w:sz w:val="24"/>
        </w:rPr>
        <w:t>分位值执行。其中社会招聘人员的工作年限按以下标准计算：</w:t>
      </w:r>
    </w:p>
    <w:p>
      <w:pPr>
        <w:pStyle w:val="Normal"/>
        <w:keepNext w:val="false"/>
        <w:keepLines w:val="false"/>
        <w:pageBreakBefore w:val="false"/>
        <w:widowControl w:val="false"/>
        <w:tabs>
          <w:tab w:val="clear" w:pos="420"/>
          <w:tab w:val="left" w:pos="360" w:leader="none"/>
          <w:tab w:val="left" w:pos="540" w:leader="none"/>
        </w:tabs>
        <w:kinsoku w:val="true"/>
        <w:overflowPunct w:val="true"/>
        <w:autoSpaceDE w:val="true"/>
        <w:bidi w:val="0"/>
        <w:snapToGrid w:val="false"/>
        <w:spacing w:lineRule="auto" w:line="360"/>
        <w:ind w:start="0" w:firstLine="524"/>
        <w:textAlignment w:val="auto"/>
        <w:rPr>
          <w:rFonts w:ascii="楷体" w:hAnsi="楷体" w:eastAsia="楷体" w:cs="楷体"/>
          <w:sz w:val="24"/>
        </w:rPr>
      </w:pPr>
      <w:r>
        <w:rPr>
          <w:rFonts w:ascii="SimHei" w:hAnsi="SimHei" w:cs="楷体" w:eastAsia="黑体"/>
          <w:sz w:val="24"/>
        </w:rPr>
        <w:t>在外单位（非移动系统）工作年限按</w:t>
      </w:r>
      <w:r>
        <w:rPr>
          <w:rFonts w:eastAsia="黑体" w:cs="楷体" w:ascii="SimHei" w:hAnsi="SimHei"/>
          <w:sz w:val="24"/>
        </w:rPr>
        <w:t>75%</w:t>
      </w:r>
      <w:r>
        <w:rPr>
          <w:rFonts w:ascii="SimHei" w:hAnsi="SimHei" w:cs="楷体" w:eastAsia="黑体"/>
          <w:sz w:val="24"/>
        </w:rPr>
        <w:t>计算；在移动公司工作年限（含部队军龄）按</w:t>
      </w:r>
      <w:r>
        <w:rPr>
          <w:rFonts w:eastAsia="黑体" w:cs="楷体" w:ascii="SimHei" w:hAnsi="SimHei"/>
          <w:sz w:val="24"/>
        </w:rPr>
        <w:t>100%</w:t>
      </w:r>
      <w:r>
        <w:rPr>
          <w:rFonts w:ascii="SimHei" w:hAnsi="SimHei" w:cs="楷体" w:eastAsia="黑体"/>
          <w:sz w:val="24"/>
        </w:rPr>
        <w:t>计算。工作年限计算采取四舍五入的方式。</w:t>
      </w:r>
    </w:p>
    <w:p>
      <w:pPr>
        <w:pStyle w:val="3"/>
        <w:keepNext w:val="false"/>
        <w:keepLines w:val="false"/>
        <w:pageBreakBefore w:val="false"/>
        <w:widowControl w:val="false"/>
        <w:kinsoku w:val="true"/>
        <w:overflowPunct w:val="true"/>
        <w:autoSpaceDE w:val="true"/>
        <w:bidi w:val="0"/>
        <w:spacing w:lineRule="auto" w:line="360" w:before="0" w:after="0"/>
        <w:ind w:start="0" w:firstLine="524"/>
        <w:textAlignment w:val="auto"/>
        <w:rPr>
          <w:rFonts w:ascii="楷体" w:hAnsi="楷体" w:eastAsia="楷体" w:cs="楷体"/>
          <w:sz w:val="24"/>
          <w:szCs w:val="24"/>
        </w:rPr>
      </w:pPr>
      <w:r>
        <w:rPr>
          <w:rFonts w:ascii="SimHei" w:hAnsi="SimHei" w:cs="楷体" w:eastAsia="黑体"/>
          <w:sz w:val="24"/>
          <w:szCs w:val="24"/>
        </w:rPr>
        <w:t>对于引进的特殊人才由公司管理层确定定等。</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70"/>
        <w:textAlignment w:val="auto"/>
        <w:rPr>
          <w:rFonts w:ascii="楷体" w:hAnsi="楷体" w:eastAsia="楷体" w:cs="楷体"/>
          <w:sz w:val="24"/>
        </w:rPr>
      </w:pPr>
      <w:r>
        <w:rPr>
          <w:rFonts w:ascii="SimHei" w:hAnsi="SimHei" w:cs="楷体" w:eastAsia="黑体"/>
          <w:sz w:val="24"/>
        </w:rPr>
        <w:t>（二）主办系列职位新进员工个人职等按管理系列职位确定职等下延</w:t>
      </w:r>
      <w:r>
        <w:rPr>
          <w:rFonts w:eastAsia="黑体" w:cs="楷体" w:ascii="SimHei" w:hAnsi="SimHei"/>
          <w:sz w:val="24"/>
        </w:rPr>
        <w:t>2</w:t>
      </w:r>
      <w:r>
        <w:rPr>
          <w:rFonts w:ascii="SimHei" w:hAnsi="SimHei" w:cs="楷体" w:eastAsia="黑体"/>
          <w:sz w:val="24"/>
        </w:rPr>
        <w:t>等确定；助理系列职位新进员工个人职等按管理系列职位确定职等下延</w:t>
      </w:r>
      <w:r>
        <w:rPr>
          <w:rFonts w:eastAsia="黑体" w:cs="楷体" w:ascii="SimHei" w:hAnsi="SimHei"/>
          <w:sz w:val="24"/>
        </w:rPr>
        <w:t>3</w:t>
      </w:r>
      <w:r>
        <w:rPr>
          <w:rFonts w:ascii="SimHei" w:hAnsi="SimHei" w:cs="楷体" w:eastAsia="黑体"/>
          <w:sz w:val="24"/>
        </w:rPr>
        <w:t>等确定。其中，如所任职位在管理系列中标准职等为</w:t>
      </w:r>
      <w:r>
        <w:rPr>
          <w:rFonts w:eastAsia="黑体" w:cs="楷体" w:ascii="SimHei" w:hAnsi="SimHei"/>
          <w:sz w:val="24"/>
        </w:rPr>
        <w:t>5</w:t>
      </w:r>
      <w:r>
        <w:rPr>
          <w:rFonts w:ascii="SimHei" w:hAnsi="SimHei" w:cs="楷体" w:eastAsia="黑体"/>
          <w:sz w:val="24"/>
        </w:rPr>
        <w:t>等及以下的，主办、助理系列职位新进员工个人按所任职位系列职位标准职等</w:t>
      </w:r>
      <w:r>
        <w:rPr>
          <w:rFonts w:eastAsia="黑体" w:cs="楷体" w:ascii="SimHei" w:hAnsi="SimHei"/>
          <w:sz w:val="24"/>
        </w:rPr>
        <w:t>0</w:t>
      </w:r>
      <w:r>
        <w:rPr>
          <w:rFonts w:ascii="SimHei" w:hAnsi="SimHei" w:cs="楷体" w:eastAsia="黑体"/>
          <w:sz w:val="24"/>
        </w:rPr>
        <w:t>分位定岗，最低为</w:t>
      </w:r>
      <w:r>
        <w:rPr>
          <w:rFonts w:eastAsia="黑体" w:cs="楷体" w:ascii="SimHei" w:hAnsi="SimHei"/>
          <w:sz w:val="24"/>
        </w:rPr>
        <w:t>1</w:t>
      </w:r>
      <w:r>
        <w:rPr>
          <w:rFonts w:ascii="SimHei" w:hAnsi="SimHei" w:cs="楷体" w:eastAsia="黑体"/>
          <w:sz w:val="24"/>
        </w:rPr>
        <w:t>等。员工职位水平等级由个人职等对应确定。</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对于部分计件</w:t>
      </w:r>
      <w:r>
        <w:rPr>
          <w:rFonts w:eastAsia="黑体" w:cs="楷体" w:ascii="SimHei" w:hAnsi="SimHei"/>
          <w:sz w:val="24"/>
          <w:szCs w:val="24"/>
        </w:rPr>
        <w:t>/</w:t>
      </w:r>
      <w:r>
        <w:rPr>
          <w:rFonts w:ascii="SimHei" w:hAnsi="SimHei" w:cs="楷体" w:eastAsia="黑体"/>
          <w:sz w:val="24"/>
          <w:szCs w:val="24"/>
        </w:rPr>
        <w:t>量等职位（营业员、话务员、客户经理、驾驶员等）可根据实际不确定具体水平等级及个人职等，按计件</w:t>
      </w:r>
      <w:r>
        <w:rPr>
          <w:rFonts w:eastAsia="黑体" w:cs="楷体" w:ascii="SimHei" w:hAnsi="SimHei"/>
          <w:sz w:val="24"/>
          <w:szCs w:val="24"/>
        </w:rPr>
        <w:t>/</w:t>
      </w:r>
      <w:r>
        <w:rPr>
          <w:rFonts w:ascii="SimHei" w:hAnsi="SimHei" w:cs="楷体" w:eastAsia="黑体"/>
          <w:sz w:val="24"/>
          <w:szCs w:val="24"/>
        </w:rPr>
        <w:t>量相关办法确定薪酬标准。</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b/>
          <w:b/>
          <w:sz w:val="24"/>
          <w:szCs w:val="24"/>
        </w:rPr>
      </w:pPr>
      <w:r>
        <w:rPr>
          <w:rFonts w:ascii="SimHei" w:hAnsi="SimHei" w:cs="楷体" w:eastAsia="黑体"/>
          <w:b/>
          <w:sz w:val="24"/>
          <w:szCs w:val="24"/>
        </w:rPr>
        <w:t>第十六条  员工职位调整</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因工作需要，员工进行职位调整时，需由部门填写《</w:t>
      </w:r>
      <w:r>
        <w:rPr>
          <w:rFonts w:ascii="SimHei" w:hAnsi="SimHei" w:cs="楷体" w:eastAsia="黑体"/>
          <w:sz w:val="24"/>
          <w:szCs w:val="24"/>
          <w:lang w:eastAsia="zh-CN"/>
        </w:rPr>
        <w:t>通讯公司</w:t>
      </w:r>
      <w:r>
        <w:rPr>
          <w:rFonts w:ascii="SimHei" w:hAnsi="SimHei" w:cs="楷体" w:eastAsia="黑体"/>
          <w:sz w:val="24"/>
          <w:szCs w:val="24"/>
        </w:rPr>
        <w:t>公司员工职位调整审批表》</w:t>
      </w:r>
      <w:r>
        <w:rPr>
          <w:rFonts w:eastAsia="黑体" w:cs="楷体" w:ascii="SimHei" w:hAnsi="SimHei"/>
          <w:sz w:val="24"/>
          <w:szCs w:val="24"/>
        </w:rPr>
        <w:t>(</w:t>
      </w:r>
      <w:r>
        <w:rPr>
          <w:rFonts w:ascii="SimHei" w:hAnsi="SimHei" w:cs="楷体" w:eastAsia="黑体"/>
          <w:sz w:val="24"/>
          <w:szCs w:val="24"/>
        </w:rPr>
        <w:t>详见附件二</w:t>
      </w:r>
      <w:r>
        <w:rPr>
          <w:rFonts w:eastAsia="黑体" w:cs="楷体" w:ascii="SimHei" w:hAnsi="SimHei"/>
          <w:sz w:val="24"/>
          <w:szCs w:val="24"/>
        </w:rPr>
        <w:t>)</w:t>
      </w:r>
      <w:r>
        <w:rPr>
          <w:rFonts w:ascii="SimHei" w:hAnsi="SimHei" w:cs="楷体" w:eastAsia="黑体"/>
          <w:sz w:val="24"/>
          <w:szCs w:val="24"/>
        </w:rPr>
        <w:t>，并经人力资源部和公司领导审批同意。</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市、县（市</w:t>
      </w:r>
      <w:r>
        <w:rPr>
          <w:rFonts w:eastAsia="黑体" w:cs="楷体" w:ascii="SimHei" w:hAnsi="SimHei"/>
          <w:sz w:val="24"/>
          <w:szCs w:val="24"/>
        </w:rPr>
        <w:t>/</w:t>
      </w:r>
      <w:r>
        <w:rPr>
          <w:rFonts w:ascii="SimHei" w:hAnsi="SimHei" w:cs="楷体" w:eastAsia="黑体"/>
          <w:sz w:val="24"/>
          <w:szCs w:val="24"/>
        </w:rPr>
        <w:t>市城区）分公司</w:t>
      </w:r>
      <w:r>
        <w:rPr>
          <w:rFonts w:eastAsia="黑体" w:cs="楷体" w:ascii="SimHei" w:hAnsi="SimHei"/>
          <w:sz w:val="24"/>
          <w:szCs w:val="24"/>
        </w:rPr>
        <w:t>8</w:t>
      </w:r>
      <w:r>
        <w:rPr>
          <w:rFonts w:ascii="SimHei" w:hAnsi="SimHei" w:cs="楷体" w:eastAsia="黑体"/>
          <w:sz w:val="24"/>
          <w:szCs w:val="24"/>
        </w:rPr>
        <w:t>等、省公司</w:t>
      </w:r>
      <w:r>
        <w:rPr>
          <w:rFonts w:eastAsia="黑体" w:cs="楷体" w:ascii="SimHei" w:hAnsi="SimHei"/>
          <w:sz w:val="24"/>
          <w:szCs w:val="24"/>
        </w:rPr>
        <w:t>10</w:t>
      </w:r>
      <w:r>
        <w:rPr>
          <w:rFonts w:ascii="SimHei" w:hAnsi="SimHei" w:cs="楷体" w:eastAsia="黑体"/>
          <w:sz w:val="24"/>
          <w:szCs w:val="24"/>
        </w:rPr>
        <w:t>等及以上新增或空缺职位，除采用招聘和同职等平调调配满足外，原则上应以竞聘形式进行人员配备。竞聘员工个人职等与竞聘职位标准职等一般相差不超过</w:t>
      </w:r>
      <w:r>
        <w:rPr>
          <w:rFonts w:eastAsia="黑体" w:cs="楷体" w:ascii="SimHei" w:hAnsi="SimHei"/>
          <w:sz w:val="24"/>
          <w:szCs w:val="24"/>
        </w:rPr>
        <w:t>2</w:t>
      </w:r>
      <w:r>
        <w:rPr>
          <w:rFonts w:ascii="SimHei" w:hAnsi="SimHei" w:cs="楷体" w:eastAsia="黑体"/>
          <w:sz w:val="24"/>
          <w:szCs w:val="24"/>
        </w:rPr>
        <w:t>等。</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b/>
          <w:b/>
          <w:sz w:val="24"/>
          <w:szCs w:val="24"/>
        </w:rPr>
      </w:pPr>
      <w:r>
        <w:rPr>
          <w:rFonts w:ascii="SimHei" w:hAnsi="SimHei" w:cs="楷体" w:eastAsia="黑体"/>
          <w:b/>
          <w:sz w:val="24"/>
          <w:szCs w:val="24"/>
        </w:rPr>
        <w:t>第十七条  员工职位系列调整</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员工职位系列调整是指员工因角色定位及工作性质的变化在管理、主办、助理职位系列间进行调整。</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职位系列的调整由省公司根据需要集中组织。具体调整要求及流程按公司相关办法和规定执行。</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第十八条  员工职位水平等级</w:t>
      </w:r>
      <w:r>
        <w:rPr>
          <w:rFonts w:eastAsia="黑体" w:cs="楷体" w:ascii="SimHei" w:hAnsi="SimHei"/>
          <w:b/>
          <w:sz w:val="24"/>
        </w:rPr>
        <w:t>/</w:t>
      </w:r>
      <w:r>
        <w:rPr>
          <w:rFonts w:ascii="SimHei" w:hAnsi="SimHei" w:cs="楷体" w:eastAsia="黑体"/>
          <w:b/>
          <w:sz w:val="24"/>
        </w:rPr>
        <w:t>个人职等调整</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一、员工职位不变情况下，职位水平等级</w:t>
      </w:r>
      <w:r>
        <w:rPr>
          <w:rFonts w:eastAsia="黑体" w:cs="楷体" w:ascii="SimHei" w:hAnsi="SimHei"/>
          <w:b/>
          <w:sz w:val="24"/>
        </w:rPr>
        <w:t>/</w:t>
      </w:r>
      <w:r>
        <w:rPr>
          <w:rFonts w:ascii="SimHei" w:hAnsi="SimHei" w:cs="楷体" w:eastAsia="黑体"/>
          <w:b/>
          <w:sz w:val="24"/>
        </w:rPr>
        <w:t>个人职等调整：</w:t>
      </w:r>
    </w:p>
    <w:p>
      <w:pPr>
        <w:pStyle w:val="Normal"/>
        <w:keepNext w:val="false"/>
        <w:keepLines w:val="false"/>
        <w:pageBreakBefore w:val="false"/>
        <w:widowControl w:val="false"/>
        <w:tabs>
          <w:tab w:val="clear" w:pos="420"/>
          <w:tab w:val="left" w:pos="105" w:leader="none"/>
          <w:tab w:val="left" w:pos="1245" w:leader="none"/>
        </w:tabs>
        <w:kinsoku w:val="true"/>
        <w:overflowPunct w:val="true"/>
        <w:autoSpaceDE w:val="true"/>
        <w:bidi w:val="0"/>
        <w:snapToGrid w:val="false"/>
        <w:spacing w:lineRule="auto" w:line="360"/>
        <w:ind w:start="0" w:firstLine="480"/>
        <w:textAlignment w:val="auto"/>
        <w:rPr>
          <w:rFonts w:ascii="楷体" w:hAnsi="楷体" w:eastAsia="楷体" w:cs="楷体"/>
          <w:spacing w:val="20"/>
          <w:sz w:val="24"/>
        </w:rPr>
      </w:pPr>
      <w:r>
        <w:rPr>
          <w:rFonts w:ascii="SimHei" w:hAnsi="SimHei" w:cs="楷体" w:eastAsia="黑体"/>
          <w:sz w:val="24"/>
        </w:rPr>
        <w:t>（一）标准级及以下水平等级的调整</w:t>
      </w:r>
      <w:r>
        <w:rPr>
          <w:rFonts w:ascii="SimHei" w:hAnsi="SimHei" w:cs="楷体" w:eastAsia="黑体"/>
          <w:spacing w:val="20"/>
          <w:sz w:val="24"/>
        </w:rPr>
        <w:t>根据年度绩效结果通过调整绩效分位值，逐步调整到位</w:t>
      </w:r>
      <w:r>
        <w:rPr>
          <w:rFonts w:eastAsia="黑体" w:cs="楷体" w:ascii="SimHei" w:hAnsi="SimHei"/>
          <w:bCs/>
          <w:spacing w:val="20"/>
          <w:sz w:val="24"/>
        </w:rPr>
        <w:t>(</w:t>
      </w:r>
      <w:r>
        <w:rPr>
          <w:rFonts w:ascii="SimHei" w:hAnsi="SimHei" w:cs="楷体" w:eastAsia="黑体"/>
          <w:bCs/>
          <w:spacing w:val="20"/>
          <w:sz w:val="24"/>
        </w:rPr>
        <w:t>对于个人职等晋升的，必须满足连续两年绩效结果良好及以上，</w:t>
      </w:r>
      <w:r>
        <w:rPr>
          <w:rFonts w:ascii="SimHei" w:hAnsi="SimHei" w:cs="楷体" w:eastAsia="黑体"/>
          <w:spacing w:val="20"/>
          <w:sz w:val="24"/>
        </w:rPr>
        <w:t>各市分公司可根据具体职位及分公司实际，再另外附加一定的调整要求</w:t>
      </w:r>
      <w:r>
        <w:rPr>
          <w:rFonts w:ascii="SimHei" w:hAnsi="SimHei" w:cs="楷体" w:eastAsia="黑体"/>
          <w:b/>
          <w:bCs/>
          <w:spacing w:val="20"/>
          <w:sz w:val="24"/>
        </w:rPr>
        <w:t>）</w:t>
      </w:r>
      <w:r>
        <w:rPr>
          <w:rFonts w:ascii="SimHei" w:hAnsi="SimHei" w:cs="楷体" w:eastAsia="黑体"/>
          <w:spacing w:val="20"/>
          <w:sz w:val="24"/>
        </w:rPr>
        <w:t>。具体规定如下：</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eastAsia="黑体" w:cs="楷体" w:ascii="SimHei" w:hAnsi="SimHei"/>
          <w:sz w:val="24"/>
          <w:szCs w:val="24"/>
        </w:rPr>
        <w:t>1</w:t>
      </w:r>
      <w:r>
        <w:rPr>
          <w:rFonts w:ascii="SimHei" w:hAnsi="SimHei" w:cs="楷体" w:eastAsia="黑体"/>
          <w:sz w:val="24"/>
          <w:szCs w:val="24"/>
        </w:rPr>
        <w:t>、员工个人职位水平等级低于现任职位标准级，正常调整的：</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w:t>
      </w:r>
      <w:r>
        <w:rPr>
          <w:rFonts w:eastAsia="黑体" w:cs="楷体" w:ascii="SimHei" w:hAnsi="SimHei"/>
          <w:sz w:val="24"/>
          <w:szCs w:val="24"/>
        </w:rPr>
        <w:t>1</w:t>
      </w:r>
      <w:r>
        <w:rPr>
          <w:rFonts w:ascii="SimHei" w:hAnsi="SimHei" w:cs="楷体" w:eastAsia="黑体"/>
          <w:sz w:val="24"/>
          <w:szCs w:val="24"/>
        </w:rPr>
        <w:t>）当年绩效考核年度结果出来后，在次年根据绩效结果进行调整薪酬分位值（指当年</w:t>
      </w:r>
      <w:r>
        <w:rPr>
          <w:rFonts w:eastAsia="黑体" w:cs="楷体" w:ascii="SimHei" w:hAnsi="SimHei"/>
          <w:sz w:val="24"/>
          <w:szCs w:val="24"/>
        </w:rPr>
        <w:t>6</w:t>
      </w:r>
      <w:r>
        <w:rPr>
          <w:rFonts w:ascii="SimHei" w:hAnsi="SimHei" w:cs="楷体" w:eastAsia="黑体"/>
          <w:sz w:val="24"/>
          <w:szCs w:val="24"/>
        </w:rPr>
        <w:t>月</w:t>
      </w:r>
      <w:r>
        <w:rPr>
          <w:rFonts w:eastAsia="黑体" w:cs="楷体" w:ascii="SimHei" w:hAnsi="SimHei"/>
          <w:sz w:val="24"/>
          <w:szCs w:val="24"/>
        </w:rPr>
        <w:t>30</w:t>
      </w:r>
      <w:r>
        <w:rPr>
          <w:rFonts w:ascii="SimHei" w:hAnsi="SimHei" w:cs="楷体" w:eastAsia="黑体"/>
          <w:sz w:val="24"/>
          <w:szCs w:val="24"/>
        </w:rPr>
        <w:t>日前进公司，当年</w:t>
      </w:r>
      <w:r>
        <w:rPr>
          <w:rFonts w:eastAsia="黑体" w:cs="楷体" w:ascii="SimHei" w:hAnsi="SimHei"/>
          <w:sz w:val="24"/>
          <w:szCs w:val="24"/>
        </w:rPr>
        <w:t>6</w:t>
      </w:r>
      <w:r>
        <w:rPr>
          <w:rFonts w:ascii="SimHei" w:hAnsi="SimHei" w:cs="楷体" w:eastAsia="黑体"/>
          <w:sz w:val="24"/>
          <w:szCs w:val="24"/>
        </w:rPr>
        <w:t>月</w:t>
      </w:r>
      <w:r>
        <w:rPr>
          <w:rFonts w:eastAsia="黑体" w:cs="楷体" w:ascii="SimHei" w:hAnsi="SimHei"/>
          <w:sz w:val="24"/>
          <w:szCs w:val="24"/>
        </w:rPr>
        <w:t>30</w:t>
      </w:r>
      <w:r>
        <w:rPr>
          <w:rFonts w:ascii="SimHei" w:hAnsi="SimHei" w:cs="楷体" w:eastAsia="黑体"/>
          <w:sz w:val="24"/>
          <w:szCs w:val="24"/>
        </w:rPr>
        <w:t>日后进公司的，次年不进行年度调整。调整时间一般为次年</w:t>
      </w:r>
      <w:r>
        <w:rPr>
          <w:rFonts w:eastAsia="黑体" w:cs="楷体" w:ascii="SimHei" w:hAnsi="SimHei"/>
          <w:sz w:val="24"/>
          <w:szCs w:val="24"/>
        </w:rPr>
        <w:t>4</w:t>
      </w:r>
      <w:r>
        <w:rPr>
          <w:rFonts w:ascii="SimHei" w:hAnsi="SimHei" w:cs="楷体" w:eastAsia="黑体"/>
          <w:sz w:val="24"/>
          <w:szCs w:val="24"/>
        </w:rPr>
        <w:t>月），调整方法如下：</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eastAsia="黑体"/>
        </w:rPr>
      </w:r>
      <w:r>
        <w:rPr>
          <w:sz w:val="24"/>
          <w:szCs w:val="24"/>
          <w:rFonts w:eastAsia="黑体" w:cs="楷体" w:ascii="SimHei" w:hAnsi="SimHei"/>
          <w:lang w:val="en-US" w:eastAsia="en-US"/>
        </w:rPr>
      </w:r>
      <w:r>
        <w:rPr>
          <w:rFonts w:eastAsia="黑体" w:cs="楷体" w:ascii="SimHei" w:hAnsi="SimHei"/>
          <w:sz w:val="24"/>
          <w:szCs w:val="24"/>
          <w:lang w:val="en-US" w:eastAsia="en-US"/>
        </w:rPr>
      </w:r>
      <w:r>
        <w:rPr>
          <w:sz w:val="24"/>
          <w:szCs w:val="24"/>
          <w:rFonts w:eastAsia="黑体" w:cs="楷体" w:ascii="SimHei" w:hAnsi="SimHei"/>
          <w:lang w:val="en-US" w:eastAsia="en-US"/>
        </w:rPr>
      </w:r>
      <w:r>
        <w:rPr>
          <w:rFonts w:eastAsia="黑体" w:cs="楷体" w:ascii="SimHei" w:hAnsi="SimHei"/>
          <w:sz w:val="24"/>
          <w:szCs w:val="24"/>
          <w:lang w:val="en-US" w:eastAsia="en-US"/>
        </w:rPr>
        <w:t>i</w:t>
      </w:r>
      <w:r>
        <w:rPr>
          <w:rFonts w:eastAsia="黑体" w:cs="楷体" w:ascii="SimHei" w:hAnsi="SimHei"/>
          <w:sz w:val="24"/>
          <w:szCs w:val="24"/>
          <w:lang w:val="en-US" w:eastAsia="en-US"/>
        </w:rPr>
      </w:r>
      <w:r>
        <w:rPr>
          <w:sz w:val="24"/>
          <w:szCs w:val="24"/>
          <w:rFonts w:eastAsia="黑体" w:cs="楷体" w:ascii="SimHei" w:hAnsi="SimHei"/>
          <w:lang w:val="en-US" w:eastAsia="en-US"/>
        </w:rPr>
      </w:r>
      <w:r>
        <w:rPr>
          <w:rFonts w:ascii="SimHei" w:hAnsi="SimHei" w:cs="楷体" w:eastAsia="黑体"/>
          <w:sz w:val="24"/>
          <w:szCs w:val="24"/>
        </w:rPr>
        <w:t>、调整标准：</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绩效结果优秀：加</w:t>
      </w:r>
      <w:r>
        <w:rPr>
          <w:rFonts w:eastAsia="黑体" w:cs="楷体" w:ascii="SimHei" w:hAnsi="SimHei"/>
          <w:sz w:val="24"/>
          <w:szCs w:val="24"/>
        </w:rPr>
        <w:t>40</w:t>
      </w:r>
      <w:r>
        <w:rPr>
          <w:rFonts w:ascii="SimHei" w:hAnsi="SimHei" w:cs="楷体" w:eastAsia="黑体"/>
          <w:sz w:val="24"/>
          <w:szCs w:val="24"/>
        </w:rPr>
        <w:t>分位；</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绩效结果优良：加</w:t>
      </w:r>
      <w:r>
        <w:rPr>
          <w:rFonts w:eastAsia="黑体" w:cs="楷体" w:ascii="SimHei" w:hAnsi="SimHei"/>
          <w:sz w:val="24"/>
          <w:szCs w:val="24"/>
        </w:rPr>
        <w:t>30</w:t>
      </w:r>
      <w:r>
        <w:rPr>
          <w:rFonts w:ascii="SimHei" w:hAnsi="SimHei" w:cs="楷体" w:eastAsia="黑体"/>
          <w:sz w:val="24"/>
          <w:szCs w:val="24"/>
        </w:rPr>
        <w:t>分位；</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绩效结果良好：加</w:t>
      </w:r>
      <w:r>
        <w:rPr>
          <w:rFonts w:eastAsia="黑体" w:cs="楷体" w:ascii="SimHei" w:hAnsi="SimHei"/>
          <w:sz w:val="24"/>
          <w:szCs w:val="24"/>
        </w:rPr>
        <w:t>25</w:t>
      </w:r>
      <w:r>
        <w:rPr>
          <w:rFonts w:ascii="SimHei" w:hAnsi="SimHei" w:cs="楷体" w:eastAsia="黑体"/>
          <w:sz w:val="24"/>
          <w:szCs w:val="24"/>
        </w:rPr>
        <w:t>分位；</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绩效结果一般：加</w:t>
      </w:r>
      <w:r>
        <w:rPr>
          <w:rFonts w:eastAsia="黑体" w:cs="楷体" w:ascii="SimHei" w:hAnsi="SimHei"/>
          <w:sz w:val="24"/>
          <w:szCs w:val="24"/>
        </w:rPr>
        <w:t>15</w:t>
      </w:r>
      <w:r>
        <w:rPr>
          <w:rFonts w:ascii="SimHei" w:hAnsi="SimHei" w:cs="楷体" w:eastAsia="黑体"/>
          <w:sz w:val="24"/>
          <w:szCs w:val="24"/>
        </w:rPr>
        <w:t>分位。</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eastAsia="黑体"/>
        </w:rPr>
      </w:r>
      <w:r>
        <w:rPr>
          <w:sz w:val="24"/>
          <w:szCs w:val="24"/>
          <w:rFonts w:eastAsia="黑体" w:cs="楷体" w:ascii="SimHei" w:hAnsi="SimHei"/>
          <w:lang w:val="en-US" w:eastAsia="en-US"/>
        </w:rPr>
      </w:r>
      <w:r>
        <w:rPr>
          <w:rFonts w:eastAsia="黑体" w:cs="楷体" w:ascii="SimHei" w:hAnsi="SimHei"/>
          <w:sz w:val="24"/>
          <w:szCs w:val="24"/>
          <w:lang w:val="en-US" w:eastAsia="en-US"/>
        </w:rPr>
      </w:r>
      <w:r>
        <w:rPr>
          <w:sz w:val="24"/>
          <w:szCs w:val="24"/>
          <w:rFonts w:eastAsia="黑体" w:cs="楷体" w:ascii="SimHei" w:hAnsi="SimHei"/>
          <w:lang w:val="en-US" w:eastAsia="en-US"/>
        </w:rPr>
      </w:r>
      <w:r>
        <w:rPr>
          <w:rFonts w:eastAsia="黑体" w:cs="楷体" w:ascii="SimHei" w:hAnsi="SimHei"/>
          <w:sz w:val="24"/>
          <w:szCs w:val="24"/>
          <w:lang w:val="en-US" w:eastAsia="en-US"/>
        </w:rPr>
        <w:t>ii</w:t>
      </w:r>
      <w:r>
        <w:rPr>
          <w:rFonts w:eastAsia="黑体" w:cs="楷体" w:ascii="SimHei" w:hAnsi="SimHei"/>
          <w:sz w:val="24"/>
          <w:szCs w:val="24"/>
          <w:lang w:val="en-US" w:eastAsia="en-US"/>
        </w:rPr>
      </w:r>
      <w:r>
        <w:rPr>
          <w:sz w:val="24"/>
          <w:szCs w:val="24"/>
          <w:rFonts w:eastAsia="黑体" w:cs="楷体" w:ascii="SimHei" w:hAnsi="SimHei"/>
          <w:lang w:val="en-US" w:eastAsia="en-US"/>
        </w:rPr>
      </w:r>
      <w:r>
        <w:rPr>
          <w:rFonts w:ascii="SimHei" w:hAnsi="SimHei" w:cs="楷体" w:eastAsia="黑体"/>
          <w:sz w:val="24"/>
          <w:szCs w:val="24"/>
        </w:rPr>
        <w:t>、如该员工现薪酬（不包括工龄分位值、职称分位值）低于上一水平等级对应职等</w:t>
      </w:r>
      <w:r>
        <w:rPr>
          <w:rFonts w:eastAsia="黑体" w:cs="楷体" w:ascii="SimHei" w:hAnsi="SimHei"/>
          <w:sz w:val="24"/>
          <w:szCs w:val="24"/>
        </w:rPr>
        <w:t>0</w:t>
      </w:r>
      <w:r>
        <w:rPr>
          <w:rFonts w:ascii="SimHei" w:hAnsi="SimHei" w:cs="楷体" w:eastAsia="黑体"/>
          <w:sz w:val="24"/>
          <w:szCs w:val="24"/>
        </w:rPr>
        <w:t>分位薪酬标准的，根据绩效结果进行年度薪酬分位值调整；</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eastAsia="黑体"/>
        </w:rPr>
      </w:r>
      <w:r>
        <w:rPr>
          <w:sz w:val="24"/>
          <w:szCs w:val="24"/>
          <w:rFonts w:eastAsia="黑体" w:cs="楷体" w:ascii="SimHei" w:hAnsi="SimHei"/>
          <w:lang w:val="en-US" w:eastAsia="en-US"/>
        </w:rPr>
      </w:r>
      <w:r>
        <w:rPr>
          <w:rFonts w:eastAsia="黑体" w:cs="楷体" w:ascii="SimHei" w:hAnsi="SimHei"/>
          <w:sz w:val="24"/>
          <w:szCs w:val="24"/>
          <w:lang w:val="en-US" w:eastAsia="en-US"/>
        </w:rPr>
      </w:r>
      <w:r>
        <w:rPr>
          <w:sz w:val="24"/>
          <w:szCs w:val="24"/>
          <w:rFonts w:eastAsia="黑体" w:cs="楷体" w:ascii="SimHei" w:hAnsi="SimHei"/>
          <w:lang w:val="en-US" w:eastAsia="en-US"/>
        </w:rPr>
      </w:r>
      <w:r>
        <w:rPr>
          <w:rFonts w:eastAsia="黑体" w:cs="楷体" w:ascii="SimHei" w:hAnsi="SimHei"/>
          <w:sz w:val="24"/>
          <w:szCs w:val="24"/>
          <w:lang w:val="en-US" w:eastAsia="en-US"/>
        </w:rPr>
        <w:t>iii</w:t>
      </w:r>
      <w:r>
        <w:rPr>
          <w:rFonts w:eastAsia="黑体" w:cs="楷体" w:ascii="SimHei" w:hAnsi="SimHei"/>
          <w:sz w:val="24"/>
          <w:szCs w:val="24"/>
          <w:lang w:val="en-US" w:eastAsia="en-US"/>
        </w:rPr>
      </w:r>
      <w:r>
        <w:rPr>
          <w:sz w:val="24"/>
          <w:szCs w:val="24"/>
          <w:rFonts w:eastAsia="黑体" w:cs="楷体" w:ascii="SimHei" w:hAnsi="SimHei"/>
          <w:lang w:val="en-US" w:eastAsia="en-US"/>
        </w:rPr>
      </w:r>
      <w:r>
        <w:rPr>
          <w:rFonts w:ascii="SimHei" w:hAnsi="SimHei" w:cs="楷体" w:eastAsia="黑体"/>
          <w:sz w:val="24"/>
          <w:szCs w:val="24"/>
        </w:rPr>
        <w:t>、如该员工现薪酬（不包括工龄分位值、职称分位值）超过上一水平等级对应职等</w:t>
      </w:r>
      <w:r>
        <w:rPr>
          <w:rFonts w:eastAsia="黑体" w:cs="楷体" w:ascii="SimHei" w:hAnsi="SimHei"/>
          <w:sz w:val="24"/>
          <w:szCs w:val="24"/>
        </w:rPr>
        <w:t>0</w:t>
      </w:r>
      <w:r>
        <w:rPr>
          <w:rFonts w:ascii="SimHei" w:hAnsi="SimHei" w:cs="楷体" w:eastAsia="黑体"/>
          <w:sz w:val="24"/>
          <w:szCs w:val="24"/>
        </w:rPr>
        <w:t>分位薪酬标准的，按现薪酬折算到上一水平等级对应职等的相应分位值，然后进行年度薪酬分位值调整，最高不超过该员工现任职位的职位标准职等</w:t>
      </w:r>
      <w:r>
        <w:rPr>
          <w:rFonts w:eastAsia="黑体" w:cs="楷体" w:ascii="SimHei" w:hAnsi="SimHei"/>
          <w:sz w:val="24"/>
          <w:szCs w:val="24"/>
        </w:rPr>
        <w:t>50</w:t>
      </w:r>
      <w:r>
        <w:rPr>
          <w:rFonts w:ascii="SimHei" w:hAnsi="SimHei" w:cs="楷体" w:eastAsia="黑体"/>
          <w:sz w:val="24"/>
          <w:szCs w:val="24"/>
        </w:rPr>
        <w:t>分位（不包括工龄分位值、职称分位值）。</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eastAsia="黑体" w:cs="楷体" w:ascii="SimHei" w:hAnsi="SimHei"/>
          <w:sz w:val="24"/>
          <w:szCs w:val="24"/>
        </w:rPr>
        <w:t>2</w:t>
      </w:r>
      <w:r>
        <w:rPr>
          <w:rFonts w:ascii="SimHei" w:hAnsi="SimHei" w:cs="楷体" w:eastAsia="黑体"/>
          <w:sz w:val="24"/>
          <w:szCs w:val="24"/>
        </w:rPr>
        <w:t>、员工个人职位水平等级等于现任职位标准级，正常调整的：</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如员工现薪酬分位值（不包括工龄分位值、职称分位值）低于该职位标准职等</w:t>
      </w:r>
      <w:r>
        <w:rPr>
          <w:rFonts w:eastAsia="黑体" w:cs="楷体" w:ascii="SimHei" w:hAnsi="SimHei"/>
          <w:sz w:val="24"/>
          <w:szCs w:val="24"/>
        </w:rPr>
        <w:t>50</w:t>
      </w:r>
      <w:r>
        <w:rPr>
          <w:rFonts w:ascii="SimHei" w:hAnsi="SimHei" w:cs="楷体" w:eastAsia="黑体"/>
          <w:sz w:val="24"/>
          <w:szCs w:val="24"/>
        </w:rPr>
        <w:t>分位的，根据员工绩效结果</w:t>
      </w:r>
      <w:r>
        <w:rPr>
          <w:rFonts w:eastAsia="黑体" w:cs="楷体" w:ascii="SimHei" w:hAnsi="SimHei"/>
          <w:sz w:val="24"/>
          <w:szCs w:val="24"/>
        </w:rPr>
        <w:t>,</w:t>
      </w:r>
      <w:r>
        <w:rPr>
          <w:rFonts w:ascii="SimHei" w:hAnsi="SimHei" w:cs="楷体" w:eastAsia="黑体"/>
          <w:sz w:val="24"/>
          <w:szCs w:val="24"/>
        </w:rPr>
        <w:t>进行年度薪酬分位值调整，最高不超过该职位标准职等</w:t>
      </w:r>
      <w:r>
        <w:rPr>
          <w:rFonts w:eastAsia="黑体" w:cs="楷体" w:ascii="SimHei" w:hAnsi="SimHei"/>
          <w:sz w:val="24"/>
          <w:szCs w:val="24"/>
        </w:rPr>
        <w:t>50</w:t>
      </w:r>
      <w:r>
        <w:rPr>
          <w:rFonts w:ascii="SimHei" w:hAnsi="SimHei" w:cs="楷体" w:eastAsia="黑体"/>
          <w:sz w:val="24"/>
          <w:szCs w:val="24"/>
        </w:rPr>
        <w:t>分位（不包括工龄分位值、职称分位值）；</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如员工现薪酬分位值（不包括工龄分位值、职称分位值）已等于或高于该职位标准职等</w:t>
      </w:r>
      <w:r>
        <w:rPr>
          <w:rFonts w:eastAsia="黑体" w:cs="楷体" w:ascii="SimHei" w:hAnsi="SimHei"/>
          <w:sz w:val="24"/>
          <w:szCs w:val="24"/>
        </w:rPr>
        <w:t>50</w:t>
      </w:r>
      <w:r>
        <w:rPr>
          <w:rFonts w:ascii="SimHei" w:hAnsi="SimHei" w:cs="楷体" w:eastAsia="黑体"/>
          <w:sz w:val="24"/>
          <w:szCs w:val="24"/>
        </w:rPr>
        <w:t>分位的，不再按绩效结果进行年度薪酬分位值调整。</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eastAsia="黑体" w:cs="楷体" w:ascii="SimHei" w:hAnsi="SimHei"/>
          <w:sz w:val="24"/>
          <w:szCs w:val="24"/>
        </w:rPr>
        <w:t>3</w:t>
      </w:r>
      <w:r>
        <w:rPr>
          <w:rFonts w:ascii="SimHei" w:hAnsi="SimHei" w:cs="楷体" w:eastAsia="黑体"/>
          <w:sz w:val="24"/>
          <w:szCs w:val="24"/>
        </w:rPr>
        <w:t>、员工个人职位水平等级下调的：</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该员工工作年限不满五年的，从次月起按新职位水平等级定等；工作年限满五年、不满十年的</w:t>
      </w:r>
      <w:r>
        <w:rPr>
          <w:rFonts w:eastAsia="黑体" w:cs="楷体" w:ascii="SimHei" w:hAnsi="SimHei"/>
          <w:sz w:val="24"/>
        </w:rPr>
        <w:t>,</w:t>
      </w:r>
      <w:r>
        <w:rPr>
          <w:rFonts w:ascii="SimHei" w:hAnsi="SimHei" w:cs="楷体" w:eastAsia="黑体"/>
          <w:sz w:val="24"/>
        </w:rPr>
        <w:t>从次月起逐年降一等，直至新职位水平等级职等；工作年限满十年的，第一年保持原职位水平等级职等不变一年，从次年一年期满的次月起逐年降一等</w:t>
      </w:r>
      <w:r>
        <w:rPr>
          <w:rFonts w:eastAsia="黑体" w:cs="楷体" w:ascii="SimHei" w:hAnsi="SimHei"/>
          <w:sz w:val="24"/>
        </w:rPr>
        <w:t>,</w:t>
      </w:r>
      <w:r>
        <w:rPr>
          <w:rFonts w:ascii="SimHei" w:hAnsi="SimHei" w:cs="楷体" w:eastAsia="黑体"/>
          <w:sz w:val="24"/>
        </w:rPr>
        <w:t>直至新职位水平等级职等。</w:t>
      </w:r>
    </w:p>
    <w:p>
      <w:pPr>
        <w:pStyle w:val="3"/>
        <w:keepNext w:val="false"/>
        <w:keepLines w:val="false"/>
        <w:pageBreakBefore w:val="false"/>
        <w:widowControl w:val="false"/>
        <w:kinsoku w:val="true"/>
        <w:overflowPunct w:val="true"/>
        <w:autoSpaceDE w:val="true"/>
        <w:bidi w:val="0"/>
        <w:spacing w:lineRule="auto" w:line="360" w:before="0" w:after="0"/>
        <w:ind w:start="0" w:firstLine="480"/>
        <w:textAlignment w:val="auto"/>
        <w:rPr>
          <w:rFonts w:ascii="楷体" w:hAnsi="楷体" w:eastAsia="楷体" w:cs="楷体"/>
          <w:sz w:val="24"/>
          <w:szCs w:val="24"/>
        </w:rPr>
      </w:pPr>
      <w:r>
        <w:rPr>
          <w:rFonts w:ascii="SimHei" w:hAnsi="SimHei" w:cs="楷体" w:eastAsia="黑体"/>
          <w:sz w:val="24"/>
          <w:szCs w:val="24"/>
        </w:rPr>
        <w:t>该员工薪酬分位值不变。</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（二）标准级与高级水平等级之间的调整</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标准级晋升为高级水平等级一般通过竞聘的方式进行，比例原则控制在达到职位标准级水平等级人员的</w:t>
      </w:r>
      <w:r>
        <w:rPr>
          <w:rFonts w:eastAsia="黑体" w:cs="楷体" w:ascii="SimHei" w:hAnsi="SimHei"/>
          <w:sz w:val="24"/>
        </w:rPr>
        <w:t>15%</w:t>
      </w:r>
      <w:r>
        <w:rPr>
          <w:rFonts w:ascii="SimHei" w:hAnsi="SimHei" w:cs="楷体" w:eastAsia="黑体"/>
          <w:sz w:val="24"/>
        </w:rPr>
        <w:t>以内，聘期一年，该员工的个人水平等级从聘任的次月起调整，绩效分位值不变。</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同时符合下列所有条件的人员，具备标准级调整到高级的基本条件：</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w:t>
      </w:r>
      <w:r>
        <w:rPr>
          <w:rFonts w:eastAsia="黑体" w:cs="楷体" w:ascii="SimHei" w:hAnsi="SimHei"/>
          <w:sz w:val="24"/>
        </w:rPr>
        <w:t>1</w:t>
      </w:r>
      <w:r>
        <w:rPr>
          <w:rFonts w:ascii="SimHei" w:hAnsi="SimHei" w:cs="楷体" w:eastAsia="黑体"/>
          <w:sz w:val="24"/>
        </w:rPr>
        <w:t>）在本职位标准级工作满一年以上。</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w:t>
      </w:r>
      <w:r>
        <w:rPr>
          <w:rFonts w:eastAsia="黑体" w:cs="楷体" w:ascii="SimHei" w:hAnsi="SimHei"/>
          <w:sz w:val="24"/>
        </w:rPr>
        <w:t>2</w:t>
      </w:r>
      <w:r>
        <w:rPr>
          <w:rFonts w:ascii="SimHei" w:hAnsi="SimHei" w:cs="楷体" w:eastAsia="黑体"/>
          <w:sz w:val="24"/>
        </w:rPr>
        <w:t>）</w:t>
      </w:r>
      <w:r>
        <w:rPr>
          <w:rFonts w:ascii="SimHei" w:hAnsi="SimHei" w:cs="楷体" w:eastAsia="黑体"/>
          <w:bCs/>
          <w:sz w:val="24"/>
        </w:rPr>
        <w:t>上年度绩效考核良好以上。</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其中省公司标准职等为</w:t>
      </w:r>
      <w:r>
        <w:rPr>
          <w:rFonts w:eastAsia="黑体" w:cs="楷体" w:ascii="SimHei" w:hAnsi="SimHei"/>
          <w:sz w:val="24"/>
        </w:rPr>
        <w:t>8</w:t>
      </w:r>
      <w:r>
        <w:rPr>
          <w:rFonts w:ascii="SimHei" w:hAnsi="SimHei" w:cs="楷体" w:eastAsia="黑体"/>
          <w:sz w:val="24"/>
        </w:rPr>
        <w:t>等及以上、分公司标准职等为</w:t>
      </w:r>
      <w:r>
        <w:rPr>
          <w:rFonts w:eastAsia="黑体" w:cs="楷体" w:ascii="SimHei" w:hAnsi="SimHei"/>
          <w:sz w:val="24"/>
        </w:rPr>
        <w:t>7</w:t>
      </w:r>
      <w:r>
        <w:rPr>
          <w:rFonts w:ascii="SimHei" w:hAnsi="SimHei" w:cs="楷体" w:eastAsia="黑体"/>
          <w:sz w:val="24"/>
        </w:rPr>
        <w:t>等及以上的职位标准级与高级水平等级之间的调整按照公司专业技术通道职位竞聘管理办法规定执行。</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70"/>
        <w:textAlignment w:val="auto"/>
        <w:rPr>
          <w:rFonts w:ascii="楷体" w:hAnsi="楷体" w:eastAsia="楷体" w:cs="楷体"/>
          <w:bCs/>
          <w:sz w:val="24"/>
        </w:rPr>
      </w:pPr>
      <w:r>
        <w:rPr>
          <w:rFonts w:ascii="SimHei" w:hAnsi="SimHei" w:cs="楷体" w:eastAsia="黑体"/>
          <w:bCs/>
          <w:sz w:val="24"/>
        </w:rPr>
        <w:t>省公司</w:t>
      </w:r>
      <w:r>
        <w:rPr>
          <w:rFonts w:eastAsia="黑体" w:cs="楷体" w:ascii="SimHei" w:hAnsi="SimHei"/>
          <w:bCs/>
          <w:sz w:val="24"/>
        </w:rPr>
        <w:t>8</w:t>
      </w:r>
      <w:r>
        <w:rPr>
          <w:rFonts w:ascii="SimHei" w:hAnsi="SimHei" w:cs="楷体" w:eastAsia="黑体"/>
          <w:bCs/>
          <w:sz w:val="24"/>
        </w:rPr>
        <w:t>等以下、分公司</w:t>
      </w:r>
      <w:r>
        <w:rPr>
          <w:rFonts w:eastAsia="黑体" w:cs="楷体" w:ascii="SimHei" w:hAnsi="SimHei"/>
          <w:bCs/>
          <w:sz w:val="24"/>
        </w:rPr>
        <w:t>7</w:t>
      </w:r>
      <w:r>
        <w:rPr>
          <w:rFonts w:ascii="SimHei" w:hAnsi="SimHei" w:cs="楷体" w:eastAsia="黑体"/>
          <w:bCs/>
          <w:sz w:val="24"/>
        </w:rPr>
        <w:t>等以下职位标准级与高级之间的晋升，省公司将晋升指标分配给每个部门，部门通过内部竞聘方式确定人选；分公司在指标范围内组织实施。</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（三）员工年度绩效考核结果欠佳，员工职位水平等级降一级，个人职等对应降一等，薪酬分位值降至对应职等相同分位值。</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二、员工职位变化情况下，职位水平等级</w:t>
      </w:r>
      <w:r>
        <w:rPr>
          <w:rFonts w:eastAsia="黑体" w:cs="楷体" w:ascii="SimHei" w:hAnsi="SimHei"/>
          <w:b/>
          <w:sz w:val="24"/>
        </w:rPr>
        <w:t>/</w:t>
      </w:r>
      <w:r>
        <w:rPr>
          <w:rFonts w:ascii="SimHei" w:hAnsi="SimHei" w:cs="楷体" w:eastAsia="黑体"/>
          <w:b/>
          <w:sz w:val="24"/>
        </w:rPr>
        <w:t>个人职等调整：</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eastAsia="黑体" w:cs="楷体" w:ascii="SimHei" w:hAnsi="SimHei"/>
          <w:sz w:val="24"/>
        </w:rPr>
        <w:t>1</w:t>
      </w:r>
      <w:r>
        <w:rPr>
          <w:rFonts w:ascii="SimHei" w:hAnsi="SimHei" w:cs="楷体" w:eastAsia="黑体"/>
          <w:sz w:val="24"/>
        </w:rPr>
        <w:t>、标准职等相同的不同职位之间调整，套用个人原职等对应水平等级。</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eastAsia="黑体" w:cs="楷体" w:ascii="SimHei" w:hAnsi="SimHei"/>
          <w:sz w:val="24"/>
        </w:rPr>
        <w:t>2</w:t>
      </w:r>
      <w:r>
        <w:rPr>
          <w:rFonts w:ascii="SimHei" w:hAnsi="SimHei" w:cs="楷体" w:eastAsia="黑体"/>
          <w:sz w:val="24"/>
        </w:rPr>
        <w:t>、由低职等职位变动为高职等职位的，个人职等当年保持不变，如个人原职等与新职位各水平等级对应职等有重合的，套用原个人职等对应水平等级；如个人原职等与新职位各水平等级对应职等没有重合的，个人职位水平等级暂不确定；待当年完整绩效考核年度结果出来后，在次年根据绩效结果进行调整薪酬分位值，逐步调整到位（按第十八条一、（一）、</w:t>
      </w:r>
      <w:r>
        <w:rPr>
          <w:rFonts w:eastAsia="黑体" w:cs="楷体" w:ascii="SimHei" w:hAnsi="SimHei"/>
          <w:sz w:val="24"/>
        </w:rPr>
        <w:t>1</w:t>
      </w:r>
      <w:r>
        <w:rPr>
          <w:rFonts w:ascii="SimHei" w:hAnsi="SimHei" w:cs="楷体" w:eastAsia="黑体"/>
          <w:sz w:val="24"/>
        </w:rPr>
        <w:t>条规定执行）。</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eastAsia="黑体" w:cs="楷体" w:ascii="SimHei" w:hAnsi="SimHei"/>
          <w:sz w:val="24"/>
        </w:rPr>
        <w:t>3</w:t>
      </w:r>
      <w:r>
        <w:rPr>
          <w:rFonts w:ascii="SimHei" w:hAnsi="SimHei" w:cs="楷体" w:eastAsia="黑体"/>
          <w:sz w:val="24"/>
        </w:rPr>
        <w:t>、由高职等职位变动为低职等职位的，如个人原职等与新职位各水平等级对应职等有重合的，套用个人原职等对应新职位相应水平等级；如个人原职等与新职位各水平等级对应职等没有重合的，执行新职位的高级（均按第十八条一、（一）、</w:t>
      </w:r>
      <w:r>
        <w:rPr>
          <w:rFonts w:eastAsia="黑体" w:cs="楷体" w:ascii="SimHei" w:hAnsi="SimHei"/>
          <w:sz w:val="24"/>
        </w:rPr>
        <w:t>3</w:t>
      </w:r>
      <w:r>
        <w:rPr>
          <w:rFonts w:ascii="SimHei" w:hAnsi="SimHei" w:cs="楷体" w:eastAsia="黑体"/>
          <w:sz w:val="24"/>
        </w:rPr>
        <w:t>条逐步调整到位；因工作失职等降职而职位调整的按相关规定执行）。</w:t>
      </w:r>
    </w:p>
    <w:p>
      <w:pPr>
        <w:pStyle w:val="Normal"/>
        <w:keepNext w:val="false"/>
        <w:keepLines w:val="false"/>
        <w:pageBreakBefore w:val="false"/>
        <w:widowControl w:val="false"/>
        <w:kinsoku w:val="true"/>
        <w:overflowPunct w:val="true"/>
        <w:autoSpaceDE w:val="true"/>
        <w:bidi w:val="0"/>
        <w:spacing w:lineRule="auto" w:line="360"/>
        <w:ind w:start="0" w:hanging="0"/>
        <w:jc w:val="center"/>
        <w:textAlignment w:val="auto"/>
        <w:rPr>
          <w:rFonts w:ascii="楷体" w:hAnsi="楷体" w:eastAsia="楷体" w:cs="楷体"/>
          <w:b/>
          <w:b/>
          <w:sz w:val="24"/>
        </w:rPr>
      </w:pPr>
      <w:r>
        <w:rPr>
          <w:rFonts w:ascii="SimHei" w:hAnsi="SimHei" w:cs="楷体" w:eastAsia="黑体"/>
          <w:b/>
          <w:sz w:val="24"/>
        </w:rPr>
        <w:t>第五章  附则</w:t>
      </w:r>
    </w:p>
    <w:p>
      <w:pPr>
        <w:pStyle w:val="Normal"/>
        <w:keepNext w:val="false"/>
        <w:keepLines w:val="false"/>
        <w:pageBreakBefore w:val="false"/>
        <w:widowControl w:val="false"/>
        <w:kinsoku w:val="true"/>
        <w:overflowPunct w:val="true"/>
        <w:autoSpaceDE w:val="true"/>
        <w:bidi w:val="0"/>
        <w:spacing w:lineRule="auto" w:line="360"/>
        <w:ind w:start="0" w:firstLine="482"/>
        <w:textAlignment w:val="auto"/>
        <w:rPr>
          <w:rFonts w:ascii="楷体" w:hAnsi="楷体" w:eastAsia="楷体" w:cs="楷体"/>
          <w:b/>
          <w:b/>
          <w:sz w:val="24"/>
        </w:rPr>
      </w:pPr>
      <w:r>
        <w:rPr>
          <w:rFonts w:ascii="SimHei" w:hAnsi="SimHei" w:cs="楷体" w:eastAsia="黑体"/>
          <w:b/>
          <w:sz w:val="24"/>
        </w:rPr>
        <w:t>第十九条  其它</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（一）如本办法与公司其他文件规定相冲突的，按本办法执行。</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（二）中层实职退出人员等有特殊规定的按相关规定执行。</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某集团有关规定执行。</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ascii="SimHei" w:hAnsi="SimHei" w:cs="楷体" w:eastAsia="黑体"/>
          <w:sz w:val="24"/>
        </w:rPr>
        <w:t>（四）本办法解释权属省公司人力资源部。</w:t>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firstLine="480"/>
        <w:textAlignment w:val="auto"/>
        <w:rPr>
          <w:rFonts w:ascii="楷体" w:hAnsi="楷体" w:eastAsia="楷体" w:cs="楷体"/>
          <w:sz w:val="24"/>
        </w:rPr>
      </w:pPr>
      <w:r>
        <w:rPr>
          <w:rFonts w:ascii="SimHei" w:hAnsi="SimHei" w:cs="楷体" w:eastAsia="黑体"/>
          <w:sz w:val="24"/>
        </w:rPr>
        <w:t>（五）本办法自发文之日起实施。</w:t>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pacing w:lineRule="auto" w:line="360"/>
        <w:ind w:start="0" w:firstLine="480"/>
        <w:textAlignment w:val="auto"/>
        <w:rPr>
          <w:rFonts w:ascii="楷体" w:hAnsi="楷体" w:eastAsia="楷体" w:cs="楷体"/>
          <w:sz w:val="24"/>
        </w:rPr>
      </w:pPr>
      <w:r>
        <w:rPr>
          <w:rFonts w:eastAsia="黑体" w:cs="楷体" w:ascii="SimHei" w:hAnsi="SimHei"/>
          <w:sz w:val="24"/>
        </w:rPr>
      </w:r>
    </w:p>
    <w:p>
      <w:pPr>
        <w:pStyle w:val="Normal"/>
        <w:keepNext w:val="false"/>
        <w:keepLines w:val="false"/>
        <w:pageBreakBefore w:val="false"/>
        <w:widowControl w:val="false"/>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ascii="SimHei" w:hAnsi="SimHei" w:cs="楷体" w:eastAsia="黑体"/>
          <w:spacing w:val="20"/>
          <w:sz w:val="24"/>
        </w:rPr>
        <w:t>附件一：</w:t>
      </w:r>
    </w:p>
    <w:p>
      <w:pPr>
        <w:pStyle w:val="Normal"/>
        <w:keepNext w:val="false"/>
        <w:keepLines w:val="false"/>
        <w:pageBreakBefore w:val="false"/>
        <w:widowControl w:val="false"/>
        <w:kinsoku w:val="true"/>
        <w:overflowPunct w:val="true"/>
        <w:autoSpaceDE w:val="true"/>
        <w:bidi w:val="0"/>
        <w:snapToGrid w:val="false"/>
        <w:spacing w:lineRule="auto" w:line="360"/>
        <w:ind w:start="0" w:firstLine="560"/>
        <w:textAlignment w:val="auto"/>
        <w:rPr>
          <w:rFonts w:cs="楷体"/>
        </w:rPr>
      </w:pPr>
      <w:r>
        <w:rPr>
          <w:rFonts w:eastAsia="黑体" w:cs="楷体" w:ascii="SimHei" w:hAnsi="SimHei"/>
          <w:spacing w:val="20"/>
          <w:sz w:val="24"/>
        </w:rPr>
        <w:t xml:space="preserve">                                      </w:t>
      </w:r>
      <w:r>
        <w:rPr>
          <w:rFonts w:ascii="SimHei" w:hAnsi="SimHei" w:cs="楷体" w:eastAsia="黑体"/>
          <w:spacing w:val="20"/>
          <w:sz w:val="24"/>
        </w:rPr>
        <w:t>单位：年</w:t>
      </w:r>
    </w:p>
    <w:tbl>
      <w:tblPr>
        <w:tblW w:w="8835" w:type="dxa"/>
        <w:jc w:val="center"/>
        <w:tblInd w:w="0" w:type="dxa"/>
        <w:tblLayout w:type="fixed"/>
        <w:tblCellMar>
          <w:top w:w="0" w:type="dxa"/>
          <w:start w:w="0" w:type="dxa"/>
          <w:bottom w:w="0" w:type="dxa"/>
          <w:end w:w="0" w:type="dxa"/>
        </w:tblCellMar>
      </w:tblPr>
      <w:tblGrid>
        <w:gridCol w:w="1065"/>
        <w:gridCol w:w="1575"/>
        <w:gridCol w:w="1470"/>
        <w:gridCol w:w="1470"/>
        <w:gridCol w:w="1470"/>
        <w:gridCol w:w="1785"/>
      </w:tblGrid>
      <w:tr>
        <w:trPr>
          <w:trHeight w:val="270" w:hRule="atLeast"/>
        </w:trPr>
        <w:tc>
          <w:tcPr>
            <w:tcW w:w="1065" w:type="dxa"/>
            <w:vMerge w:val="restart"/>
            <w:tcBorders>
              <w:top w:val="single" w:sz="4" w:space="0" w:color="000000"/>
              <w:start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职等</w:t>
            </w:r>
          </w:p>
        </w:tc>
        <w:tc>
          <w:tcPr>
            <w:tcW w:w="7770" w:type="dxa"/>
            <w:gridSpan w:val="5"/>
            <w:tcBorders>
              <w:top w:val="single" w:sz="4"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工作年限</w:t>
            </w:r>
          </w:p>
        </w:tc>
      </w:tr>
      <w:tr>
        <w:trPr>
          <w:trHeight w:val="450" w:hRule="atLeast"/>
        </w:trPr>
        <w:tc>
          <w:tcPr>
            <w:tcW w:w="1065" w:type="dxa"/>
            <w:vMerge w:val="continue"/>
            <w:tcBorders>
              <w:top w:val="single" w:sz="4" w:space="0" w:color="000000"/>
              <w:start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楷体" w:cs="楷体" w:ascii="楷体" w:hAnsi="楷体"/>
                <w:spacing w:val="20"/>
                <w:sz w:val="24"/>
              </w:rPr>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博士</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硕士</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本科</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专科</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中专及以下</w:t>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11</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4</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5</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7</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9</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10</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3</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4</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6</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8</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9</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2</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3</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5</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7</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8</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3</w:t>
            </w:r>
            <w:r>
              <w:rPr>
                <w:rFonts w:ascii="SimHei" w:hAnsi="SimHei" w:cs="楷体" w:eastAsia="黑体"/>
                <w:spacing w:val="20"/>
                <w:sz w:val="24"/>
              </w:rPr>
              <w:t>个月后</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2</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4</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5</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7</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3</w:t>
            </w:r>
            <w:r>
              <w:rPr>
                <w:rFonts w:ascii="SimHei" w:hAnsi="SimHei" w:cs="楷体" w:eastAsia="黑体"/>
                <w:spacing w:val="20"/>
                <w:sz w:val="24"/>
              </w:rPr>
              <w:t>个月内</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6</w:t>
            </w:r>
            <w:r>
              <w:rPr>
                <w:rFonts w:ascii="SimHei" w:hAnsi="SimHei" w:cs="楷体" w:eastAsia="黑体"/>
                <w:spacing w:val="20"/>
                <w:sz w:val="24"/>
              </w:rPr>
              <w:t>个月后</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2</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3</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4</w:t>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6</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6</w:t>
            </w:r>
            <w:r>
              <w:rPr>
                <w:rFonts w:ascii="SimHei" w:hAnsi="SimHei" w:cs="楷体" w:eastAsia="黑体"/>
                <w:spacing w:val="20"/>
                <w:sz w:val="24"/>
              </w:rPr>
              <w:t>个月内</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2</w:t>
            </w:r>
          </w:p>
        </w:tc>
      </w:tr>
      <w:tr>
        <w:trPr>
          <w:trHeight w:val="270" w:hRule="atLeast"/>
        </w:trPr>
        <w:tc>
          <w:tcPr>
            <w:tcW w:w="106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5</w:t>
            </w:r>
          </w:p>
        </w:tc>
        <w:tc>
          <w:tcPr>
            <w:tcW w:w="1575"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w:t>
            </w:r>
          </w:p>
        </w:tc>
        <w:tc>
          <w:tcPr>
            <w:tcW w:w="1470" w:type="dxa"/>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w:t>
            </w:r>
          </w:p>
        </w:tc>
        <w:tc>
          <w:tcPr>
            <w:tcW w:w="1785" w:type="dxa"/>
            <w:tcBorders>
              <w:top w:val="single" w:sz="6" w:space="0" w:color="000000"/>
              <w:start w:val="single" w:sz="6" w:space="0" w:color="000000"/>
              <w:bottom w:val="single" w:sz="6"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1</w:t>
            </w:r>
          </w:p>
        </w:tc>
      </w:tr>
      <w:tr>
        <w:trPr>
          <w:trHeight w:val="270" w:hRule="atLeast"/>
        </w:trPr>
        <w:tc>
          <w:tcPr>
            <w:tcW w:w="1065" w:type="dxa"/>
            <w:tcBorders>
              <w:top w:val="single" w:sz="6" w:space="0" w:color="000000"/>
              <w:start w:val="single" w:sz="6" w:space="0" w:color="000000"/>
              <w:bottom w:val="single" w:sz="4"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t>4</w:t>
            </w:r>
          </w:p>
        </w:tc>
        <w:tc>
          <w:tcPr>
            <w:tcW w:w="1575" w:type="dxa"/>
            <w:tcBorders>
              <w:top w:val="single" w:sz="6" w:space="0" w:color="000000"/>
              <w:start w:val="single" w:sz="6" w:space="0" w:color="000000"/>
              <w:bottom w:val="single" w:sz="4"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c>
          <w:tcPr>
            <w:tcW w:w="1470" w:type="dxa"/>
            <w:tcBorders>
              <w:top w:val="single" w:sz="6" w:space="0" w:color="000000"/>
              <w:start w:val="single" w:sz="6" w:space="0" w:color="000000"/>
              <w:bottom w:val="single" w:sz="4"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eastAsia="黑体" w:cs="楷体" w:ascii="SimHei" w:hAnsi="SimHei"/>
                <w:spacing w:val="20"/>
                <w:sz w:val="24"/>
              </w:rPr>
            </w:r>
          </w:p>
        </w:tc>
        <w:tc>
          <w:tcPr>
            <w:tcW w:w="1470" w:type="dxa"/>
            <w:tcBorders>
              <w:top w:val="single" w:sz="6" w:space="0" w:color="000000"/>
              <w:start w:val="single" w:sz="6" w:space="0" w:color="000000"/>
              <w:bottom w:val="single" w:sz="4"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见习期内</w:t>
            </w:r>
          </w:p>
        </w:tc>
        <w:tc>
          <w:tcPr>
            <w:tcW w:w="1470" w:type="dxa"/>
            <w:tcBorders>
              <w:top w:val="single" w:sz="6" w:space="0" w:color="000000"/>
              <w:start w:val="single" w:sz="6" w:space="0" w:color="000000"/>
              <w:bottom w:val="single" w:sz="4"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见习期内</w:t>
            </w:r>
          </w:p>
        </w:tc>
        <w:tc>
          <w:tcPr>
            <w:tcW w:w="1785" w:type="dxa"/>
            <w:tcBorders>
              <w:top w:val="single" w:sz="6" w:space="0" w:color="000000"/>
              <w:start w:val="single" w:sz="6" w:space="0" w:color="000000"/>
              <w:bottom w:val="single" w:sz="4" w:space="0" w:color="000000"/>
              <w:end w:val="single" w:sz="4"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jc w:val="center"/>
              <w:textAlignment w:val="auto"/>
              <w:rPr>
                <w:rFonts w:ascii="楷体" w:hAnsi="楷体" w:eastAsia="楷体" w:cs="楷体"/>
                <w:spacing w:val="20"/>
                <w:sz w:val="24"/>
              </w:rPr>
            </w:pPr>
            <w:r>
              <w:rPr>
                <w:rFonts w:ascii="SimHei" w:hAnsi="SimHei" w:cs="楷体" w:eastAsia="黑体"/>
                <w:spacing w:val="20"/>
                <w:sz w:val="24"/>
              </w:rPr>
              <w:t>见习期内</w:t>
            </w:r>
          </w:p>
        </w:tc>
      </w:tr>
    </w:tbl>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eastAsia="黑体" w:cs="楷体" w:ascii="SimHei" w:hAnsi="SimHei"/>
          <w:spacing w:val="20"/>
          <w:sz w:val="24"/>
        </w:rPr>
      </w:r>
    </w:p>
    <w:p>
      <w:pPr>
        <w:pStyle w:val="Normal"/>
        <w:keepNext w:val="false"/>
        <w:keepLines w:val="false"/>
        <w:pageBreakBefore w:val="false"/>
        <w:widowControl w:val="false"/>
        <w:tabs>
          <w:tab w:val="clear" w:pos="420"/>
          <w:tab w:val="left" w:pos="840" w:leader="none"/>
        </w:tabs>
        <w:kinsoku w:val="true"/>
        <w:overflowPunct w:val="true"/>
        <w:autoSpaceDE w:val="true"/>
        <w:bidi w:val="0"/>
        <w:snapToGrid w:val="false"/>
        <w:spacing w:lineRule="auto" w:line="360"/>
        <w:ind w:start="0" w:hanging="0"/>
        <w:textAlignment w:val="auto"/>
        <w:rPr>
          <w:rFonts w:ascii="楷体" w:hAnsi="楷体" w:eastAsia="楷体" w:cs="楷体"/>
          <w:spacing w:val="20"/>
          <w:sz w:val="24"/>
        </w:rPr>
      </w:pPr>
      <w:r>
        <w:rPr>
          <w:rFonts w:ascii="SimHei" w:hAnsi="SimHei" w:cs="楷体" w:eastAsia="黑体"/>
          <w:spacing w:val="20"/>
          <w:sz w:val="24"/>
        </w:rPr>
        <w:t>附件二：</w:t>
      </w:r>
    </w:p>
    <w:p>
      <w:pPr>
        <w:pStyle w:val="Normal"/>
        <w:keepNext w:val="false"/>
        <w:keepLines w:val="false"/>
        <w:pageBreakBefore w:val="false"/>
        <w:widowControl w:val="false"/>
        <w:kinsoku w:val="true"/>
        <w:overflowPunct w:val="true"/>
        <w:autoSpaceDE w:val="true"/>
        <w:bidi w:val="0"/>
        <w:spacing w:lineRule="auto" w:line="360"/>
        <w:ind w:start="0" w:hanging="0"/>
        <w:jc w:val="center"/>
        <w:textAlignment w:val="auto"/>
        <w:rPr>
          <w:rFonts w:ascii="楷体" w:hAnsi="楷体" w:eastAsia="楷体" w:cs="楷体"/>
          <w:spacing w:val="30"/>
          <w:sz w:val="36"/>
          <w:szCs w:val="36"/>
        </w:rPr>
      </w:pPr>
      <w:r>
        <w:rPr>
          <w:rFonts w:ascii="SimHei" w:hAnsi="SimHei" w:cs="楷体" w:eastAsia="黑体"/>
          <w:spacing w:val="30"/>
          <w:sz w:val="36"/>
          <w:szCs w:val="36"/>
          <w:lang w:eastAsia="zh-CN"/>
        </w:rPr>
        <w:t>通讯公司</w:t>
      </w:r>
      <w:r>
        <w:rPr>
          <w:rFonts w:ascii="SimHei" w:hAnsi="SimHei" w:cs="楷体" w:eastAsia="黑体"/>
          <w:spacing w:val="30"/>
          <w:sz w:val="36"/>
          <w:szCs w:val="36"/>
        </w:rPr>
        <w:t>员工岗位调整审批表</w:t>
      </w:r>
    </w:p>
    <w:p>
      <w:pPr>
        <w:pStyle w:val="Normal"/>
        <w:keepNext w:val="false"/>
        <w:keepLines w:val="false"/>
        <w:pageBreakBefore w:val="false"/>
        <w:widowControl w:val="false"/>
        <w:kinsoku w:val="true"/>
        <w:overflowPunct w:val="true"/>
        <w:autoSpaceDE w:val="true"/>
        <w:bidi w:val="0"/>
        <w:spacing w:lineRule="auto" w:line="360"/>
        <w:ind w:start="0" w:hanging="0"/>
        <w:textAlignment w:val="auto"/>
        <w:rPr>
          <w:rFonts w:ascii="楷体" w:hAnsi="楷体" w:eastAsia="楷体" w:cs="楷体"/>
          <w:spacing w:val="30"/>
          <w:sz w:val="36"/>
          <w:szCs w:val="36"/>
        </w:rPr>
      </w:pPr>
      <w:r>
        <w:rPr>
          <w:rFonts w:eastAsia="黑体" w:cs="楷体" w:ascii="SimHei" w:hAnsi="SimHei"/>
          <w:spacing w:val="30"/>
          <w:sz w:val="36"/>
          <w:szCs w:val="36"/>
        </w:rPr>
      </w:r>
    </w:p>
    <w:tbl>
      <w:tblPr>
        <w:tblW w:w="9033" w:type="dxa"/>
        <w:jc w:val="center"/>
        <w:tblInd w:w="0" w:type="dxa"/>
        <w:tblLayout w:type="fixed"/>
        <w:tblCellMar>
          <w:top w:w="0" w:type="dxa"/>
          <w:start w:w="108" w:type="dxa"/>
          <w:bottom w:w="0" w:type="dxa"/>
          <w:end w:w="108" w:type="dxa"/>
        </w:tblCellMar>
      </w:tblPr>
      <w:tblGrid>
        <w:gridCol w:w="1053"/>
        <w:gridCol w:w="12"/>
        <w:gridCol w:w="1038"/>
        <w:gridCol w:w="525"/>
        <w:gridCol w:w="420"/>
        <w:gridCol w:w="1050"/>
        <w:gridCol w:w="1050"/>
        <w:gridCol w:w="1050"/>
        <w:gridCol w:w="945"/>
        <w:gridCol w:w="1890"/>
      </w:tblGrid>
      <w:tr>
        <w:trPr>
          <w:trHeight w:val="680" w:hRule="atLeast"/>
        </w:trPr>
        <w:tc>
          <w:tcPr>
            <w:tcW w:w="1053" w:type="dxa"/>
            <w:tcBorders>
              <w:top w:val="single" w:sz="12"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z w:val="24"/>
              </w:rPr>
              <w:t>姓  名</w:t>
            </w:r>
          </w:p>
        </w:tc>
        <w:tc>
          <w:tcPr>
            <w:tcW w:w="1050" w:type="dxa"/>
            <w:gridSpan w:val="2"/>
            <w:tcBorders>
              <w:top w:val="single" w:sz="12"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tc>
        <w:tc>
          <w:tcPr>
            <w:tcW w:w="945" w:type="dxa"/>
            <w:gridSpan w:val="2"/>
            <w:tcBorders>
              <w:top w:val="single" w:sz="12"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z w:val="24"/>
              </w:rPr>
              <w:t>性 别</w:t>
            </w:r>
          </w:p>
        </w:tc>
        <w:tc>
          <w:tcPr>
            <w:tcW w:w="1050" w:type="dxa"/>
            <w:tcBorders>
              <w:top w:val="single" w:sz="12"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tc>
        <w:tc>
          <w:tcPr>
            <w:tcW w:w="1050" w:type="dxa"/>
            <w:tcBorders>
              <w:top w:val="single" w:sz="12"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firstLine="100"/>
              <w:textAlignment w:val="auto"/>
              <w:rPr>
                <w:rFonts w:ascii="楷体" w:hAnsi="楷体" w:eastAsia="楷体" w:cs="楷体"/>
                <w:b/>
                <w:b/>
                <w:spacing w:val="-20"/>
                <w:sz w:val="24"/>
              </w:rPr>
            </w:pPr>
            <w:r>
              <w:rPr>
                <w:rFonts w:ascii="SimHei" w:hAnsi="SimHei" w:cs="楷体" w:eastAsia="黑体"/>
                <w:b/>
                <w:spacing w:val="-20"/>
                <w:sz w:val="24"/>
              </w:rPr>
              <w:t>学 历</w:t>
            </w:r>
          </w:p>
        </w:tc>
        <w:tc>
          <w:tcPr>
            <w:tcW w:w="1050" w:type="dxa"/>
            <w:tcBorders>
              <w:top w:val="single" w:sz="12"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pacing w:val="-20"/>
                <w:sz w:val="24"/>
              </w:rPr>
            </w:pPr>
            <w:r>
              <w:rPr>
                <w:rFonts w:eastAsia="黑体" w:cs="楷体" w:ascii="SimHei" w:hAnsi="SimHei"/>
                <w:b/>
                <w:spacing w:val="-20"/>
                <w:sz w:val="24"/>
              </w:rPr>
            </w:r>
          </w:p>
        </w:tc>
        <w:tc>
          <w:tcPr>
            <w:tcW w:w="945" w:type="dxa"/>
            <w:tcBorders>
              <w:top w:val="single" w:sz="12"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z w:val="24"/>
              </w:rPr>
              <w:t>进公司</w:t>
            </w:r>
          </w:p>
          <w:p>
            <w:pPr>
              <w:pStyle w:val="Normal"/>
              <w:keepNext w:val="false"/>
              <w:keepLines w:val="false"/>
              <w:widowControl w:val="false"/>
              <w:kinsoku w:val="true"/>
              <w:overflowPunct w:val="true"/>
              <w:autoSpaceDE w:val="true"/>
              <w:bidi w:val="0"/>
              <w:spacing w:lineRule="auto" w:line="360"/>
              <w:ind w:start="0" w:firstLine="120"/>
              <w:textAlignment w:val="auto"/>
              <w:rPr>
                <w:rFonts w:ascii="楷体" w:hAnsi="楷体" w:eastAsia="楷体" w:cs="楷体"/>
                <w:sz w:val="24"/>
              </w:rPr>
            </w:pPr>
            <w:r>
              <w:rPr>
                <w:rFonts w:ascii="SimHei" w:hAnsi="SimHei" w:cs="楷体" w:eastAsia="黑体"/>
                <w:b/>
                <w:sz w:val="24"/>
              </w:rPr>
              <w:t>时间</w:t>
            </w:r>
          </w:p>
        </w:tc>
        <w:tc>
          <w:tcPr>
            <w:tcW w:w="1890" w:type="dxa"/>
            <w:tcBorders>
              <w:top w:val="single" w:sz="12"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sz w:val="24"/>
              </w:rPr>
            </w:pPr>
            <w:r>
              <w:rPr>
                <w:rFonts w:eastAsia="黑体" w:cs="楷体" w:ascii="SimHei" w:hAnsi="SimHei"/>
                <w:sz w:val="24"/>
              </w:rPr>
            </w:r>
          </w:p>
        </w:tc>
      </w:tr>
      <w:tr>
        <w:trPr>
          <w:trHeight w:val="680" w:hRule="atLeast"/>
        </w:trPr>
        <w:tc>
          <w:tcPr>
            <w:tcW w:w="1053" w:type="dxa"/>
            <w:tcBorders>
              <w:top w:val="single" w:sz="6"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z w:val="24"/>
              </w:rPr>
              <w:t>变动前</w:t>
            </w:r>
          </w:p>
        </w:tc>
        <w:tc>
          <w:tcPr>
            <w:tcW w:w="1575" w:type="dxa"/>
            <w:gridSpan w:val="3"/>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pacing w:val="-20"/>
                <w:sz w:val="24"/>
              </w:rPr>
              <w:t xml:space="preserve">现 任 职 </w:t>
            </w:r>
            <w:r>
              <w:rPr>
                <w:rFonts w:ascii="SimHei" w:hAnsi="SimHei" w:cs="楷体" w:eastAsia="黑体"/>
                <w:b/>
                <w:sz w:val="24"/>
              </w:rPr>
              <w:t>位</w:t>
            </w:r>
          </w:p>
        </w:tc>
        <w:tc>
          <w:tcPr>
            <w:tcW w:w="2520" w:type="dxa"/>
            <w:gridSpan w:val="3"/>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tc>
        <w:tc>
          <w:tcPr>
            <w:tcW w:w="1995" w:type="dxa"/>
            <w:gridSpan w:val="2"/>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pacing w:val="-20"/>
                <w:sz w:val="24"/>
              </w:rPr>
              <w:t xml:space="preserve">岗 位 标 准 职 </w:t>
            </w:r>
            <w:r>
              <w:rPr>
                <w:rFonts w:ascii="SimHei" w:hAnsi="SimHei" w:cs="楷体" w:eastAsia="黑体"/>
                <w:b/>
                <w:sz w:val="24"/>
              </w:rPr>
              <w:t>等</w:t>
            </w:r>
          </w:p>
        </w:tc>
        <w:tc>
          <w:tcPr>
            <w:tcW w:w="1890" w:type="dxa"/>
            <w:tcBorders>
              <w:top w:val="single" w:sz="6"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tc>
      </w:tr>
      <w:tr>
        <w:trPr>
          <w:trHeight w:val="680" w:hRule="atLeast"/>
        </w:trPr>
        <w:tc>
          <w:tcPr>
            <w:tcW w:w="1053" w:type="dxa"/>
            <w:tcBorders>
              <w:top w:val="single" w:sz="6"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ascii="SimHei" w:hAnsi="SimHei" w:cs="楷体" w:eastAsia="黑体"/>
                <w:b/>
                <w:sz w:val="24"/>
              </w:rPr>
              <w:t>变动后</w:t>
            </w:r>
          </w:p>
        </w:tc>
        <w:tc>
          <w:tcPr>
            <w:tcW w:w="1575" w:type="dxa"/>
            <w:gridSpan w:val="3"/>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pacing w:val="-20"/>
                <w:sz w:val="24"/>
              </w:rPr>
            </w:pPr>
            <w:r>
              <w:rPr>
                <w:rFonts w:ascii="SimHei" w:hAnsi="SimHei" w:cs="楷体" w:eastAsia="黑体"/>
                <w:b/>
                <w:spacing w:val="-20"/>
                <w:sz w:val="24"/>
              </w:rPr>
              <w:t>拟 任 职 位</w:t>
            </w:r>
          </w:p>
        </w:tc>
        <w:tc>
          <w:tcPr>
            <w:tcW w:w="2520" w:type="dxa"/>
            <w:gridSpan w:val="3"/>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pacing w:val="-20"/>
                <w:sz w:val="24"/>
              </w:rPr>
            </w:pPr>
            <w:r>
              <w:rPr>
                <w:rFonts w:eastAsia="黑体" w:cs="楷体" w:ascii="SimHei" w:hAnsi="SimHei"/>
                <w:b/>
                <w:spacing w:val="-20"/>
                <w:sz w:val="24"/>
              </w:rPr>
            </w:r>
          </w:p>
        </w:tc>
        <w:tc>
          <w:tcPr>
            <w:tcW w:w="1995" w:type="dxa"/>
            <w:gridSpan w:val="2"/>
            <w:tcBorders>
              <w:top w:val="single" w:sz="6" w:space="0" w:color="000000"/>
              <w:start w:val="single" w:sz="6"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pacing w:val="-20"/>
                <w:sz w:val="24"/>
              </w:rPr>
            </w:pPr>
            <w:r>
              <w:rPr>
                <w:rFonts w:ascii="SimHei" w:hAnsi="SimHei" w:cs="楷体" w:eastAsia="黑体"/>
                <w:b/>
                <w:spacing w:val="-20"/>
                <w:sz w:val="24"/>
              </w:rPr>
              <w:t>岗 位 标 准 职</w:t>
            </w:r>
            <w:r>
              <w:rPr>
                <w:rFonts w:ascii="SimHei" w:hAnsi="SimHei" w:cs="楷体" w:eastAsia="黑体"/>
                <w:b/>
                <w:sz w:val="24"/>
              </w:rPr>
              <w:t>等</w:t>
            </w:r>
          </w:p>
        </w:tc>
        <w:tc>
          <w:tcPr>
            <w:tcW w:w="1890" w:type="dxa"/>
            <w:tcBorders>
              <w:top w:val="single" w:sz="6"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pacing w:val="-20"/>
                <w:sz w:val="24"/>
              </w:rPr>
            </w:pPr>
            <w:r>
              <w:rPr>
                <w:rFonts w:eastAsia="黑体" w:cs="楷体" w:ascii="SimHei" w:hAnsi="SimHei"/>
                <w:b/>
                <w:spacing w:val="-20"/>
                <w:sz w:val="24"/>
              </w:rPr>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岗</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位</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变</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动</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理</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由</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所</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在</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部</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门</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意</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见</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firstLine="4200"/>
              <w:textAlignment w:val="auto"/>
              <w:rPr>
                <w:rFonts w:ascii="楷体" w:hAnsi="楷体" w:eastAsia="楷体" w:cs="楷体"/>
                <w:sz w:val="24"/>
              </w:rPr>
            </w:pPr>
            <w:r>
              <w:rPr>
                <w:rFonts w:ascii="SimHei" w:hAnsi="SimHei" w:cs="楷体" w:eastAsia="黑体"/>
                <w:sz w:val="24"/>
              </w:rPr>
              <w:t>部门经理：</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年     月    日</w:t>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人</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力</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资</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源</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部</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意</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见</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部门经理：</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年    月    日</w:t>
            </w:r>
          </w:p>
        </w:tc>
      </w:tr>
      <w:tr>
        <w:trPr>
          <w:cantSplit w:val="true"/>
        </w:trPr>
        <w:tc>
          <w:tcPr>
            <w:tcW w:w="1065" w:type="dxa"/>
            <w:gridSpan w:val="2"/>
            <w:tcBorders>
              <w:top w:val="single" w:sz="6" w:space="0" w:color="000000"/>
              <w:start w:val="single" w:sz="12" w:space="0" w:color="000000"/>
              <w:bottom w:val="single" w:sz="6"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公</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司</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领</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导</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意</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b/>
                <w:b/>
                <w:sz w:val="24"/>
              </w:rPr>
            </w:pPr>
            <w:r>
              <w:rPr>
                <w:rFonts w:eastAsia="黑体" w:cs="楷体" w:ascii="SimHei" w:hAnsi="SimHei"/>
                <w:b/>
                <w:sz w:val="24"/>
              </w:rPr>
              <w:t xml:space="preserve">  </w:t>
            </w:r>
            <w:r>
              <w:rPr>
                <w:rFonts w:ascii="SimHei" w:hAnsi="SimHei" w:cs="楷体" w:eastAsia="黑体"/>
                <w:b/>
                <w:sz w:val="24"/>
              </w:rPr>
              <w:t>见</w:t>
            </w:r>
          </w:p>
        </w:tc>
        <w:tc>
          <w:tcPr>
            <w:tcW w:w="7968" w:type="dxa"/>
            <w:gridSpan w:val="8"/>
            <w:tcBorders>
              <w:top w:val="single" w:sz="6" w:space="0" w:color="000000"/>
              <w:start w:val="single" w:sz="6" w:space="0" w:color="000000"/>
              <w:bottom w:val="single" w:sz="6"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b/>
                <w:b/>
                <w:sz w:val="24"/>
              </w:rPr>
            </w:pPr>
            <w:r>
              <w:rPr>
                <w:rFonts w:eastAsia="黑体" w:cs="楷体" w:ascii="SimHei" w:hAnsi="SimHei"/>
                <w:b/>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公司领导：</w:t>
            </w:r>
          </w:p>
          <w:p>
            <w:pPr>
              <w:pStyle w:val="Normal"/>
              <w:keepNext w:val="false"/>
              <w:keepLines w:val="false"/>
              <w:widowControl w:val="false"/>
              <w:kinsoku w:val="true"/>
              <w:overflowPunct w:val="true"/>
              <w:autoSpaceDE w:val="true"/>
              <w:bidi w:val="0"/>
              <w:spacing w:lineRule="auto" w:line="360"/>
              <w:ind w:start="0" w:hanging="0"/>
              <w:textAlignment w:val="auto"/>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年    月    日</w:t>
            </w:r>
          </w:p>
        </w:tc>
      </w:tr>
      <w:tr>
        <w:trPr>
          <w:cantSplit w:val="true"/>
        </w:trPr>
        <w:tc>
          <w:tcPr>
            <w:tcW w:w="1065" w:type="dxa"/>
            <w:gridSpan w:val="2"/>
            <w:tcBorders>
              <w:top w:val="single" w:sz="6" w:space="0" w:color="000000"/>
              <w:start w:val="single" w:sz="12" w:space="0" w:color="000000"/>
              <w:bottom w:val="single" w:sz="12" w:space="0" w:color="000000"/>
              <w:end w:val="single" w:sz="6" w:space="0" w:color="000000"/>
            </w:tcBorders>
            <w:vAlign w:val="center"/>
          </w:tcPr>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ascii="SimHei" w:hAnsi="SimHei" w:cs="楷体" w:eastAsia="黑体"/>
                <w:b/>
                <w:sz w:val="24"/>
              </w:rPr>
              <w:t>备</w:t>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b/>
                <w:b/>
                <w:sz w:val="24"/>
              </w:rPr>
            </w:pPr>
            <w:r>
              <w:rPr>
                <w:rFonts w:eastAsia="黑体" w:cs="楷体" w:ascii="SimHei" w:hAnsi="SimHei"/>
                <w:b/>
                <w:sz w:val="24"/>
              </w:rPr>
            </w:r>
          </w:p>
          <w:p>
            <w:pPr>
              <w:pStyle w:val="Normal"/>
              <w:keepNext w:val="false"/>
              <w:keepLines w:val="false"/>
              <w:widowControl w:val="false"/>
              <w:kinsoku w:val="true"/>
              <w:overflowPunct w:val="true"/>
              <w:autoSpaceDE w:val="true"/>
              <w:bidi w:val="0"/>
              <w:spacing w:lineRule="auto" w:line="360"/>
              <w:ind w:start="0" w:firstLine="241"/>
              <w:textAlignment w:val="auto"/>
              <w:rPr>
                <w:rFonts w:ascii="楷体" w:hAnsi="楷体" w:eastAsia="楷体" w:cs="楷体"/>
                <w:sz w:val="24"/>
              </w:rPr>
            </w:pPr>
            <w:r>
              <w:rPr>
                <w:rFonts w:ascii="SimHei" w:hAnsi="SimHei" w:cs="楷体" w:eastAsia="黑体"/>
                <w:b/>
                <w:sz w:val="24"/>
              </w:rPr>
              <w:t>注</w:t>
            </w:r>
          </w:p>
        </w:tc>
        <w:tc>
          <w:tcPr>
            <w:tcW w:w="7968" w:type="dxa"/>
            <w:gridSpan w:val="8"/>
            <w:tcBorders>
              <w:top w:val="single" w:sz="6" w:space="0" w:color="000000"/>
              <w:start w:val="single" w:sz="6" w:space="0" w:color="000000"/>
              <w:bottom w:val="single" w:sz="12" w:space="0" w:color="000000"/>
              <w:end w:val="single" w:sz="12" w:space="0" w:color="000000"/>
            </w:tcBorders>
            <w:vAlign w:val="center"/>
          </w:tcPr>
          <w:p>
            <w:pPr>
              <w:pStyle w:val="Normal"/>
              <w:keepNext w:val="false"/>
              <w:keepLines w:val="false"/>
              <w:widowControl w:val="false"/>
              <w:kinsoku w:val="true"/>
              <w:overflowPunct w:val="true"/>
              <w:autoSpaceDE w:val="true"/>
              <w:bidi w:val="0"/>
              <w:snapToGrid w:val="false"/>
              <w:spacing w:lineRule="auto" w:line="360"/>
              <w:ind w:start="0" w:hanging="0"/>
              <w:textAlignment w:val="auto"/>
              <w:rPr>
                <w:rFonts w:ascii="楷体" w:hAnsi="楷体" w:eastAsia="楷体" w:cs="楷体"/>
                <w:sz w:val="24"/>
              </w:rPr>
            </w:pPr>
            <w:r>
              <w:rPr>
                <w:rFonts w:eastAsia="黑体" w:cs="楷体" w:ascii="SimHei" w:hAnsi="SimHei"/>
                <w:sz w:val="24"/>
              </w:rPr>
            </w:r>
          </w:p>
        </w:tc>
      </w:tr>
    </w:tbl>
    <w:p>
      <w:pPr>
        <w:pStyle w:val="Normal"/>
        <w:keepNext w:val="false"/>
        <w:keepLines w:val="false"/>
        <w:pageBreakBefore w:val="false"/>
        <w:widowControl w:val="false"/>
        <w:kinsoku w:val="true"/>
        <w:overflowPunct w:val="true"/>
        <w:autoSpaceDE w:val="true"/>
        <w:bidi w:val="0"/>
        <w:spacing w:lineRule="auto" w:line="360"/>
        <w:ind w:start="0" w:firstLine="420"/>
        <w:textAlignment w:val="auto"/>
        <w:rPr>
          <w:rFonts w:ascii="楷体" w:hAnsi="楷体" w:eastAsia="楷体" w:cs="楷体"/>
        </w:rPr>
      </w:pPr>
      <w:r>
        <w:rPr>
          <w:rFonts w:eastAsia="黑体" w:cs="楷体" w:ascii="SimHei" w:hAnsi="SimHei"/>
        </w:rPr>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楷体">
    <w:charset w:val="86"/>
    <w:family w:val="auto"/>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宋体" w:hAnsi="宋体" w:cs="宋体"/>
        <w:color w:val="0080FF"/>
      </w:rPr>
    </w:pPr>
    <w:r>
      <w:rPr>
        <w:rFonts w:cs="宋体" w:ascii="宋体" w:hAnsi="宋体"/>
        <w:color w:val="0080FF"/>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832" w:hanging="360"/>
      </w:pPr>
      <w:rPr>
        <w:rFonts w:cs="楷体"/>
      </w:rPr>
    </w:lvl>
    <w:lvl w:ilvl="1">
      <w:start w:val="1"/>
      <w:numFmt w:val="lowerLetter"/>
      <w:lvlText w:val="%2)"/>
      <w:lvlJc w:val="start"/>
      <w:pPr>
        <w:tabs>
          <w:tab w:val="num" w:pos="0"/>
        </w:tabs>
        <w:ind w:start="1312" w:hanging="420"/>
      </w:pPr>
      <w:rPr/>
    </w:lvl>
    <w:lvl w:ilvl="2">
      <w:start w:val="1"/>
      <w:numFmt w:val="lowerRoman"/>
      <w:lvlText w:val="%3."/>
      <w:lvlJc w:val="end"/>
      <w:pPr>
        <w:tabs>
          <w:tab w:val="num" w:pos="0"/>
        </w:tabs>
        <w:ind w:start="1732" w:hanging="420"/>
      </w:pPr>
      <w:rPr/>
    </w:lvl>
    <w:lvl w:ilvl="3">
      <w:start w:val="1"/>
      <w:numFmt w:val="decimal"/>
      <w:lvlText w:val="%4."/>
      <w:lvlJc w:val="start"/>
      <w:pPr>
        <w:tabs>
          <w:tab w:val="num" w:pos="0"/>
        </w:tabs>
        <w:ind w:start="2152" w:hanging="420"/>
      </w:pPr>
      <w:rPr/>
    </w:lvl>
    <w:lvl w:ilvl="4">
      <w:start w:val="1"/>
      <w:numFmt w:val="lowerLetter"/>
      <w:lvlText w:val="%5)"/>
      <w:lvlJc w:val="start"/>
      <w:pPr>
        <w:tabs>
          <w:tab w:val="num" w:pos="0"/>
        </w:tabs>
        <w:ind w:start="2572" w:hanging="420"/>
      </w:pPr>
      <w:rPr/>
    </w:lvl>
    <w:lvl w:ilvl="5">
      <w:start w:val="1"/>
      <w:numFmt w:val="lowerRoman"/>
      <w:lvlText w:val="%6."/>
      <w:lvlJc w:val="end"/>
      <w:pPr>
        <w:tabs>
          <w:tab w:val="num" w:pos="0"/>
        </w:tabs>
        <w:ind w:start="2992" w:hanging="420"/>
      </w:pPr>
      <w:rPr/>
    </w:lvl>
    <w:lvl w:ilvl="6">
      <w:start w:val="1"/>
      <w:numFmt w:val="decimal"/>
      <w:lvlText w:val="%7."/>
      <w:lvlJc w:val="start"/>
      <w:pPr>
        <w:tabs>
          <w:tab w:val="num" w:pos="0"/>
        </w:tabs>
        <w:ind w:start="3412" w:hanging="420"/>
      </w:pPr>
      <w:rPr/>
    </w:lvl>
    <w:lvl w:ilvl="7">
      <w:start w:val="1"/>
      <w:numFmt w:val="lowerLetter"/>
      <w:lvlText w:val="%8)"/>
      <w:lvlJc w:val="start"/>
      <w:pPr>
        <w:tabs>
          <w:tab w:val="num" w:pos="0"/>
        </w:tabs>
        <w:ind w:start="3832" w:hanging="420"/>
      </w:pPr>
      <w:rPr/>
    </w:lvl>
    <w:lvl w:ilvl="8">
      <w:start w:val="1"/>
      <w:numFmt w:val="lowerRoman"/>
      <w:lvlText w:val="%9."/>
      <w:lvlJc w:val="end"/>
      <w:pPr>
        <w:tabs>
          <w:tab w:val="num" w:pos="0"/>
        </w:tabs>
        <w:ind w:start="4252"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cs="楷体"/>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缩进 3"/>
    <w:basedOn w:val="Normal"/>
    <w:qFormat/>
    <w:pPr>
      <w:spacing w:before="0" w:after="120"/>
      <w:ind w:start="420" w:hanging="0"/>
    </w:pPr>
    <w:rPr>
      <w:sz w:val="16"/>
      <w:szCs w:val="16"/>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2880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2011-05-10T10:23:00Z</dcterms:created>
  <dc:creator> </dc:creator>
  <dc:description/>
  <dc:language>en-US</dc:language>
  <cp:lastModifiedBy>Administrator</cp:lastModifiedBy>
  <cp:lastPrinted>2009-03-12T13:39:00Z</cp:lastPrinted>
  <dcterms:modified xsi:type="dcterms:W3CDTF">2019-10-15T16:45:27Z</dcterms:modified>
  <cp:revision>15</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