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ascii="SimHei" w:hAnsi="SimHei" w:cs="宋体" w:eastAsia="黑体"/>
          <w:color w:val="000000"/>
          <w:sz w:val="36"/>
        </w:rPr>
        <w:t>农村商业银行薪酬管理暂行办法</w:t>
      </w:r>
    </w:p>
    <w:p>
      <w:pPr>
        <w:pStyle w:val="Normal"/>
        <w:snapToGrid w:val="false"/>
        <w:spacing w:lineRule="auto" w:line="360"/>
        <w:jc w:val="center"/>
        <w:rPr>
          <w:rFonts w:ascii="楷体" w:hAnsi="楷体" w:eastAsia="楷体" w:cs="楷体"/>
          <w:b/>
          <w:b/>
          <w:color w:val="000000"/>
          <w:sz w:val="24"/>
          <w:szCs w:val="21"/>
        </w:rPr>
      </w:pPr>
      <w:r>
        <w:rPr>
          <w:rFonts w:ascii="SimHei" w:hAnsi="SimHei" w:cs="楷体" w:eastAsia="黑体"/>
          <w:b/>
          <w:color w:val="000000"/>
          <w:sz w:val="28"/>
          <w:szCs w:val="21"/>
        </w:rPr>
        <w:t>第一章  总则</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第一条  为发挥薪酬分配的正向激励作用，切实转换经营机制，充分调动广大员工工作积极性、主动性和创造性，促进各项业务持续健康发展，根据《省行薪酬管理指导意见的通知》结合本行实际，特制定本办法。</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第二条  所有岗位贡献、酬劳均在岗位系数和绩效中体现。特殊岗位需要给予津补贴的根据省行统一规定发放。加班工资的计发按照有关规定执行。内退员工、工勤岗位工资按照省行有关人事管理办法执行。</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第三条  薪酬管理原则</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一、按劳计酬原则。实行工资与个人劳动和绩效挂钩，按贡献计酬，体现多劳多得，拉开分配档次。鼓励基层员工工资高于机关员工工资，一般员工工资高于领导干部工资，经营岗位工资高于管理岗位工资。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质效优先原则。以总行为单位，工资增长总额、增幅不得高于利润增长总额、增幅，确保效益增长水平高于工资增长水平；将控新降旧、综合治理、案件及支付风险防范与绩效工资挂钩，对经营管理存在重大问题的单位及相关责任人按规定扣减绩效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三、区别对待和兼顾公平原则。实行岗位和地域有别的考核机制，考核重点向一线倾斜、向经营岗位倾斜，向增量业务倾斜、向自营业务倾斜，培育全辖员工增强“劳动创造价值”的工作理念。</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四、实事求是原则。坚持从实际出发，客观公正考核，对弄虚作假、徇私舞弊行为一律严肃查处。</w:t>
      </w:r>
    </w:p>
    <w:p>
      <w:pPr>
        <w:pStyle w:val="Normal"/>
        <w:snapToGrid w:val="false"/>
        <w:spacing w:lineRule="auto" w:line="360"/>
        <w:jc w:val="center"/>
        <w:rPr>
          <w:rFonts w:ascii="楷体" w:hAnsi="楷体" w:eastAsia="楷体" w:cs="楷体"/>
          <w:color w:val="000000"/>
          <w:sz w:val="24"/>
          <w:szCs w:val="21"/>
        </w:rPr>
      </w:pPr>
      <w:r>
        <w:rPr>
          <w:rFonts w:ascii="SimHei" w:hAnsi="SimHei" w:cs="楷体" w:eastAsia="黑体"/>
          <w:b/>
          <w:color w:val="000000"/>
          <w:sz w:val="28"/>
          <w:szCs w:val="21"/>
        </w:rPr>
        <w:t>第二章  岗位设置</w:t>
      </w:r>
    </w:p>
    <w:p>
      <w:pPr>
        <w:pStyle w:val="Normal"/>
        <w:snapToGrid w:val="false"/>
        <w:spacing w:lineRule="auto" w:line="360"/>
        <w:ind w:start="105" w:firstLine="480"/>
        <w:rPr>
          <w:rFonts w:ascii="楷体" w:hAnsi="楷体" w:eastAsia="楷体" w:cs="楷体"/>
          <w:color w:val="000000"/>
          <w:sz w:val="24"/>
          <w:szCs w:val="21"/>
        </w:rPr>
      </w:pPr>
      <w:r>
        <w:rPr>
          <w:rFonts w:ascii="SimHei" w:hAnsi="SimHei" w:cs="楷体" w:eastAsia="黑体"/>
          <w:color w:val="000000"/>
          <w:sz w:val="24"/>
          <w:szCs w:val="21"/>
        </w:rPr>
        <w:t>第四条  全行设置管理岗、客户经理岗、柜员岗、保安岗及其他岗五类岗位。</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一、管理岗。指基层支行</w:t>
      </w:r>
      <w:r>
        <w:rPr>
          <w:rFonts w:eastAsia="黑体" w:cs="楷体" w:ascii="SimHei" w:hAnsi="SimHei"/>
          <w:color w:val="000000"/>
          <w:sz w:val="24"/>
          <w:szCs w:val="21"/>
        </w:rPr>
        <w:t>(</w:t>
      </w:r>
      <w:r>
        <w:rPr>
          <w:rFonts w:ascii="SimHei" w:hAnsi="SimHei" w:cs="楷体" w:eastAsia="黑体"/>
          <w:color w:val="000000"/>
          <w:sz w:val="24"/>
          <w:szCs w:val="21"/>
        </w:rPr>
        <w:t>含营业部</w:t>
      </w:r>
      <w:r>
        <w:rPr>
          <w:rFonts w:eastAsia="黑体" w:cs="楷体" w:ascii="SimHei" w:hAnsi="SimHei"/>
          <w:color w:val="000000"/>
          <w:sz w:val="24"/>
          <w:szCs w:val="21"/>
        </w:rPr>
        <w:t>)</w:t>
      </w:r>
      <w:r>
        <w:rPr>
          <w:rFonts w:ascii="SimHei" w:hAnsi="SimHei" w:cs="楷体" w:eastAsia="黑体"/>
          <w:color w:val="000000"/>
          <w:sz w:val="24"/>
          <w:szCs w:val="21"/>
        </w:rPr>
        <w:t>从事管理工作的人员。主要包括：支行行长、副行长</w:t>
      </w:r>
      <w:r>
        <w:rPr>
          <w:rFonts w:eastAsia="黑体" w:cs="楷体" w:ascii="SimHei" w:hAnsi="SimHei"/>
          <w:color w:val="000000"/>
          <w:sz w:val="24"/>
          <w:szCs w:val="21"/>
        </w:rPr>
        <w:t>(</w:t>
      </w:r>
      <w:r>
        <w:rPr>
          <w:rFonts w:ascii="SimHei" w:hAnsi="SimHei" w:cs="楷体" w:eastAsia="黑体"/>
          <w:color w:val="000000"/>
          <w:sz w:val="24"/>
          <w:szCs w:val="21"/>
        </w:rPr>
        <w:t>正、副股级</w:t>
      </w:r>
      <w:r>
        <w:rPr>
          <w:rFonts w:eastAsia="黑体" w:cs="楷体" w:ascii="SimHei" w:hAnsi="SimHei"/>
          <w:color w:val="000000"/>
          <w:sz w:val="24"/>
          <w:szCs w:val="21"/>
        </w:rPr>
        <w:t>)</w:t>
      </w:r>
      <w:r>
        <w:rPr>
          <w:rFonts w:ascii="SimHei" w:hAnsi="SimHei" w:cs="楷体" w:eastAsia="黑体"/>
          <w:color w:val="000000"/>
          <w:sz w:val="24"/>
          <w:szCs w:val="21"/>
        </w:rPr>
        <w:t>、会计主管、专职信贷员。</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二、客户经理岗。指基层支行从事存、贷款营销及管理的人员。包括一般信贷员、不良贷款清收盘活人员、专职揽储人员。</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三、柜员岗。指基层支行营业人员。包括综合柜员、主管授权柜员及大堂经理。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四、大堂经理岗。特指总行下文聘任的扁平化支行大堂经理。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五、保安岗。指乡镇支行</w:t>
      </w:r>
      <w:r>
        <w:rPr>
          <w:rFonts w:eastAsia="黑体" w:cs="楷体" w:ascii="SimHei" w:hAnsi="SimHei"/>
          <w:color w:val="000000"/>
          <w:sz w:val="24"/>
          <w:szCs w:val="21"/>
        </w:rPr>
        <w:t>(</w:t>
      </w:r>
      <w:r>
        <w:rPr>
          <w:rFonts w:ascii="SimHei" w:hAnsi="SimHei" w:cs="楷体" w:eastAsia="黑体"/>
          <w:color w:val="000000"/>
          <w:sz w:val="24"/>
          <w:szCs w:val="21"/>
        </w:rPr>
        <w:t>不含天城</w:t>
      </w:r>
      <w:r>
        <w:rPr>
          <w:rFonts w:eastAsia="黑体" w:cs="楷体" w:ascii="SimHei" w:hAnsi="SimHei"/>
          <w:color w:val="000000"/>
          <w:sz w:val="24"/>
          <w:szCs w:val="21"/>
        </w:rPr>
        <w:t>)</w:t>
      </w:r>
      <w:r>
        <w:rPr>
          <w:rFonts w:ascii="SimHei" w:hAnsi="SimHei" w:cs="楷体" w:eastAsia="黑体"/>
          <w:color w:val="000000"/>
          <w:sz w:val="24"/>
          <w:szCs w:val="21"/>
        </w:rPr>
        <w:t>大堂保安人员。乡镇支行保安人员由内部职工担任。</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六、其他岗。指上述界定岗位以外的其他岗位员工。</w:t>
      </w:r>
      <w:r>
        <w:rPr>
          <w:rFonts w:ascii="SimHei" w:hAnsi="SimHei" w:cs="楷体" w:eastAsia="黑体"/>
          <w:b/>
          <w:color w:val="000000"/>
          <w:sz w:val="28"/>
          <w:szCs w:val="21"/>
        </w:rPr>
        <w:t xml:space="preserve">                                                                                                                                                                                                                                                                                                                                                                                                 </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第五条  薪酬构成</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职工薪酬由基本工资、职级工资、效益工资、奖励工资及附加薪酬五部分组成。</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一、基本工资</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、工龄工资。按照参加工作时间长短进行界定，每月按每年工龄</w:t>
      </w:r>
      <w:r>
        <w:rPr>
          <w:rFonts w:eastAsia="黑体" w:cs="楷体" w:ascii="SimHei" w:hAnsi="SimHei"/>
          <w:color w:val="000000"/>
          <w:sz w:val="24"/>
          <w:szCs w:val="21"/>
        </w:rPr>
        <w:t>XX</w:t>
      </w:r>
      <w:r>
        <w:rPr>
          <w:rFonts w:ascii="SimHei" w:hAnsi="SimHei" w:cs="楷体" w:eastAsia="黑体"/>
          <w:color w:val="000000"/>
          <w:sz w:val="24"/>
          <w:szCs w:val="21"/>
        </w:rPr>
        <w:t>元计算。</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、学历工资。中专及以下学历或员级、技工级职称每人</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月，大专学历或初级师、技师职称每人</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月，本科或中级师、高级技工职称每人</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月，研究生或高级师职称每人</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w:t>
      </w:r>
    </w:p>
    <w:p>
      <w:pPr>
        <w:pStyle w:val="Normal"/>
        <w:snapToGrid w:val="false"/>
        <w:spacing w:lineRule="auto" w:line="360"/>
        <w:ind w:firstLine="480"/>
        <w:rPr>
          <w:rFonts w:ascii="楷体" w:hAnsi="楷体" w:eastAsia="楷体" w:cs="楷体"/>
          <w:color w:val="000000"/>
          <w:spacing w:val="-2"/>
          <w:sz w:val="24"/>
          <w:szCs w:val="21"/>
        </w:rPr>
      </w:pPr>
      <w:r>
        <w:rPr>
          <w:rFonts w:eastAsia="黑体" w:cs="楷体" w:ascii="SimHei" w:hAnsi="SimHei"/>
          <w:color w:val="000000"/>
          <w:sz w:val="24"/>
          <w:szCs w:val="21"/>
        </w:rPr>
        <w:t>3</w:t>
      </w:r>
      <w:r>
        <w:rPr>
          <w:rFonts w:ascii="SimHei" w:hAnsi="SimHei" w:cs="楷体" w:eastAsia="黑体"/>
          <w:color w:val="000000"/>
          <w:sz w:val="24"/>
          <w:szCs w:val="21"/>
        </w:rPr>
        <w:t>、</w:t>
      </w:r>
      <w:r>
        <w:rPr>
          <w:rFonts w:ascii="SimHei" w:hAnsi="SimHei" w:cs="楷体" w:eastAsia="黑体"/>
          <w:color w:val="000000"/>
          <w:spacing w:val="-2"/>
          <w:sz w:val="24"/>
          <w:szCs w:val="21"/>
        </w:rPr>
        <w:t>农村</w:t>
      </w:r>
      <w:r>
        <w:rPr>
          <w:rFonts w:ascii="SimHei" w:hAnsi="SimHei" w:cs="楷体" w:eastAsia="黑体"/>
          <w:color w:val="000000"/>
          <w:sz w:val="24"/>
          <w:szCs w:val="21"/>
        </w:rPr>
        <w:t>支行</w:t>
      </w:r>
      <w:r>
        <w:rPr>
          <w:rFonts w:ascii="SimHei" w:hAnsi="SimHei" w:cs="楷体" w:eastAsia="黑体"/>
          <w:color w:val="000000"/>
          <w:spacing w:val="-2"/>
          <w:sz w:val="24"/>
          <w:szCs w:val="21"/>
        </w:rPr>
        <w:t>津贴。为鼓励员工到山区农村</w:t>
      </w:r>
      <w:r>
        <w:rPr>
          <w:rFonts w:ascii="SimHei" w:hAnsi="SimHei" w:cs="楷体" w:eastAsia="黑体"/>
          <w:color w:val="000000"/>
          <w:sz w:val="24"/>
          <w:szCs w:val="21"/>
        </w:rPr>
        <w:t>支行</w:t>
      </w:r>
      <w:r>
        <w:rPr>
          <w:rFonts w:ascii="SimHei" w:hAnsi="SimHei" w:cs="楷体" w:eastAsia="黑体"/>
          <w:color w:val="000000"/>
          <w:spacing w:val="-2"/>
          <w:sz w:val="24"/>
          <w:szCs w:val="21"/>
        </w:rPr>
        <w:t>工作，对农村</w:t>
      </w:r>
      <w:r>
        <w:rPr>
          <w:rFonts w:ascii="SimHei" w:hAnsi="SimHei" w:cs="楷体" w:eastAsia="黑体"/>
          <w:color w:val="000000"/>
          <w:sz w:val="24"/>
          <w:szCs w:val="21"/>
        </w:rPr>
        <w:t>支行</w:t>
      </w:r>
      <w:r>
        <w:rPr>
          <w:rFonts w:ascii="SimHei" w:hAnsi="SimHei" w:cs="楷体" w:eastAsia="黑体"/>
          <w:color w:val="000000"/>
          <w:spacing w:val="-2"/>
          <w:sz w:val="24"/>
          <w:szCs w:val="21"/>
        </w:rPr>
        <w:t>干部员工计发农村</w:t>
      </w:r>
      <w:r>
        <w:rPr>
          <w:rFonts w:ascii="SimHei" w:hAnsi="SimHei" w:cs="楷体" w:eastAsia="黑体"/>
          <w:color w:val="000000"/>
          <w:sz w:val="24"/>
          <w:szCs w:val="21"/>
        </w:rPr>
        <w:t>支行</w:t>
      </w:r>
      <w:r>
        <w:rPr>
          <w:rFonts w:ascii="SimHei" w:hAnsi="SimHei" w:cs="楷体" w:eastAsia="黑体"/>
          <w:color w:val="000000"/>
          <w:spacing w:val="-2"/>
          <w:sz w:val="24"/>
          <w:szCs w:val="21"/>
        </w:rPr>
        <w:t>津贴。其中：</w:t>
      </w:r>
      <w:r>
        <w:rPr>
          <w:rFonts w:eastAsia="黑体" w:cs="楷体" w:ascii="SimHei" w:hAnsi="SimHei"/>
          <w:color w:val="000000"/>
          <w:spacing w:val="-2"/>
          <w:sz w:val="24"/>
          <w:szCs w:val="21"/>
        </w:rPr>
        <w:t>XX</w:t>
      </w:r>
      <w:r>
        <w:rPr>
          <w:rFonts w:ascii="SimHei" w:hAnsi="SimHei" w:cs="楷体" w:eastAsia="黑体"/>
          <w:color w:val="000000"/>
          <w:spacing w:val="-2"/>
          <w:sz w:val="24"/>
          <w:szCs w:val="21"/>
        </w:rPr>
        <w:t>支行每人</w:t>
      </w:r>
      <w:r>
        <w:rPr>
          <w:rFonts w:eastAsia="黑体" w:cs="楷体" w:ascii="SimHei" w:hAnsi="SimHei"/>
          <w:color w:val="000000"/>
          <w:spacing w:val="-2"/>
          <w:sz w:val="24"/>
          <w:szCs w:val="21"/>
        </w:rPr>
        <w:t>XX</w:t>
      </w:r>
      <w:r>
        <w:rPr>
          <w:rFonts w:ascii="SimHei" w:hAnsi="SimHei" w:cs="楷体" w:eastAsia="黑体"/>
          <w:color w:val="000000"/>
          <w:spacing w:val="-2"/>
          <w:sz w:val="24"/>
          <w:szCs w:val="21"/>
        </w:rPr>
        <w:t>元</w:t>
      </w:r>
      <w:r>
        <w:rPr>
          <w:rFonts w:eastAsia="黑体" w:cs="楷体" w:ascii="SimHei" w:hAnsi="SimHei"/>
          <w:color w:val="000000"/>
          <w:spacing w:val="-2"/>
          <w:sz w:val="24"/>
          <w:szCs w:val="21"/>
        </w:rPr>
        <w:t>/</w:t>
      </w:r>
      <w:r>
        <w:rPr>
          <w:rFonts w:ascii="SimHei" w:hAnsi="SimHei" w:cs="楷体" w:eastAsia="黑体"/>
          <w:color w:val="000000"/>
          <w:spacing w:val="-2"/>
          <w:sz w:val="24"/>
          <w:szCs w:val="21"/>
        </w:rPr>
        <w:t>月；</w:t>
      </w:r>
      <w:r>
        <w:rPr>
          <w:rFonts w:eastAsia="黑体" w:cs="楷体" w:ascii="SimHei" w:hAnsi="SimHei"/>
          <w:color w:val="000000"/>
          <w:spacing w:val="-2"/>
          <w:sz w:val="24"/>
          <w:szCs w:val="21"/>
        </w:rPr>
        <w:t>XX</w:t>
      </w:r>
      <w:r>
        <w:rPr>
          <w:rFonts w:ascii="SimHei" w:hAnsi="SimHei" w:cs="楷体" w:eastAsia="黑体"/>
          <w:color w:val="000000"/>
          <w:spacing w:val="-2"/>
          <w:sz w:val="24"/>
          <w:szCs w:val="21"/>
        </w:rPr>
        <w:t>支行每人</w:t>
      </w:r>
      <w:r>
        <w:rPr>
          <w:rFonts w:eastAsia="黑体" w:cs="楷体" w:ascii="SimHei" w:hAnsi="SimHei"/>
          <w:color w:val="000000"/>
          <w:spacing w:val="-2"/>
          <w:sz w:val="24"/>
          <w:szCs w:val="21"/>
        </w:rPr>
        <w:t>XX</w:t>
      </w:r>
      <w:r>
        <w:rPr>
          <w:rFonts w:ascii="SimHei" w:hAnsi="SimHei" w:cs="楷体" w:eastAsia="黑体"/>
          <w:color w:val="000000"/>
          <w:spacing w:val="-2"/>
          <w:sz w:val="24"/>
          <w:szCs w:val="21"/>
        </w:rPr>
        <w:t>元</w:t>
      </w:r>
      <w:r>
        <w:rPr>
          <w:rFonts w:eastAsia="黑体" w:cs="楷体" w:ascii="SimHei" w:hAnsi="SimHei"/>
          <w:color w:val="000000"/>
          <w:spacing w:val="-2"/>
          <w:sz w:val="24"/>
          <w:szCs w:val="21"/>
        </w:rPr>
        <w:t>/</w:t>
      </w:r>
      <w:r>
        <w:rPr>
          <w:rFonts w:ascii="SimHei" w:hAnsi="SimHei" w:cs="楷体" w:eastAsia="黑体"/>
          <w:color w:val="000000"/>
          <w:spacing w:val="-2"/>
          <w:sz w:val="24"/>
          <w:szCs w:val="21"/>
        </w:rPr>
        <w:t>月；</w:t>
      </w:r>
      <w:r>
        <w:rPr>
          <w:rFonts w:eastAsia="黑体" w:cs="楷体" w:ascii="SimHei" w:hAnsi="SimHei"/>
          <w:color w:val="000000"/>
          <w:spacing w:val="-2"/>
          <w:sz w:val="24"/>
          <w:szCs w:val="21"/>
        </w:rPr>
        <w:t>XX</w:t>
      </w:r>
      <w:r>
        <w:rPr>
          <w:rFonts w:ascii="SimHei" w:hAnsi="SimHei" w:cs="楷体" w:eastAsia="黑体"/>
          <w:color w:val="000000"/>
          <w:spacing w:val="-2"/>
          <w:sz w:val="24"/>
          <w:szCs w:val="21"/>
        </w:rPr>
        <w:t>支行、</w:t>
      </w:r>
      <w:r>
        <w:rPr>
          <w:rFonts w:eastAsia="黑体" w:cs="楷体" w:ascii="SimHei" w:hAnsi="SimHei"/>
          <w:color w:val="000000"/>
          <w:spacing w:val="-2"/>
          <w:sz w:val="24"/>
          <w:szCs w:val="21"/>
        </w:rPr>
        <w:t>XX</w:t>
      </w:r>
      <w:r>
        <w:rPr>
          <w:rFonts w:ascii="SimHei" w:hAnsi="SimHei" w:cs="楷体" w:eastAsia="黑体"/>
          <w:color w:val="000000"/>
          <w:spacing w:val="-2"/>
          <w:sz w:val="24"/>
          <w:szCs w:val="21"/>
        </w:rPr>
        <w:t>支行、</w:t>
      </w:r>
      <w:r>
        <w:rPr>
          <w:rFonts w:eastAsia="黑体" w:cs="楷体" w:ascii="SimHei" w:hAnsi="SimHei"/>
          <w:color w:val="000000"/>
          <w:spacing w:val="-2"/>
          <w:sz w:val="24"/>
          <w:szCs w:val="21"/>
        </w:rPr>
        <w:t>XX</w:t>
      </w:r>
      <w:r>
        <w:rPr>
          <w:rFonts w:ascii="SimHei" w:hAnsi="SimHei" w:cs="楷体" w:eastAsia="黑体"/>
          <w:color w:val="000000"/>
          <w:spacing w:val="-2"/>
          <w:sz w:val="24"/>
          <w:szCs w:val="21"/>
        </w:rPr>
        <w:t>支行每人</w:t>
      </w:r>
      <w:r>
        <w:rPr>
          <w:rFonts w:eastAsia="黑体" w:cs="楷体" w:ascii="SimHei" w:hAnsi="SimHei"/>
          <w:color w:val="000000"/>
          <w:spacing w:val="-2"/>
          <w:sz w:val="24"/>
          <w:szCs w:val="21"/>
        </w:rPr>
        <w:t>XX</w:t>
      </w:r>
      <w:r>
        <w:rPr>
          <w:rFonts w:ascii="SimHei" w:hAnsi="SimHei" w:cs="楷体" w:eastAsia="黑体"/>
          <w:color w:val="000000"/>
          <w:spacing w:val="-2"/>
          <w:sz w:val="24"/>
          <w:szCs w:val="21"/>
        </w:rPr>
        <w:t>元</w:t>
      </w:r>
      <w:r>
        <w:rPr>
          <w:rFonts w:eastAsia="黑体" w:cs="楷体" w:ascii="SimHei" w:hAnsi="SimHei"/>
          <w:color w:val="000000"/>
          <w:spacing w:val="-2"/>
          <w:sz w:val="24"/>
          <w:szCs w:val="21"/>
        </w:rPr>
        <w:t>/</w:t>
      </w:r>
      <w:r>
        <w:rPr>
          <w:rFonts w:ascii="SimHei" w:hAnsi="SimHei" w:cs="楷体" w:eastAsia="黑体"/>
          <w:color w:val="000000"/>
          <w:spacing w:val="-2"/>
          <w:sz w:val="24"/>
          <w:szCs w:val="21"/>
        </w:rPr>
        <w:t>月。</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二、职级工资</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、柜员岗。含综合柜员岗、授权岗、总行未下文聘任的其他大堂经理。一级柜员</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月；二级柜员</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月；三级柜员</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月。其中</w:t>
      </w:r>
      <w:r>
        <w:rPr>
          <w:rFonts w:eastAsia="黑体" w:cs="楷体" w:ascii="SimHei" w:hAnsi="SimHei"/>
          <w:color w:val="000000"/>
          <w:sz w:val="24"/>
          <w:szCs w:val="21"/>
        </w:rPr>
        <w:t>40</w:t>
      </w:r>
      <w:r>
        <w:rPr>
          <w:rFonts w:ascii="SimHei" w:hAnsi="SimHei" w:cs="楷体" w:eastAsia="黑体"/>
          <w:color w:val="000000"/>
          <w:sz w:val="24"/>
          <w:szCs w:val="21"/>
        </w:rPr>
        <w:t>岁以上不参与等级考核的，参照二级柜员标准计发。</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、客户经理岗。一级客户经理</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月；二级客户经理</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月；三级客户经理</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、大堂经理岗。扁平化支行已下文聘任的大堂经理</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、保安岗。指内部人员保安岗，支行保安岗人员由总行统一根据需求进行调配，每个支行定员</w:t>
      </w:r>
      <w:r>
        <w:rPr>
          <w:rFonts w:eastAsia="黑体" w:cs="楷体" w:ascii="SimHei" w:hAnsi="SimHei"/>
          <w:color w:val="000000"/>
          <w:sz w:val="24"/>
          <w:szCs w:val="21"/>
        </w:rPr>
        <w:t>1</w:t>
      </w:r>
      <w:r>
        <w:rPr>
          <w:rFonts w:ascii="SimHei" w:hAnsi="SimHei" w:cs="楷体" w:eastAsia="黑体"/>
          <w:color w:val="000000"/>
          <w:sz w:val="24"/>
          <w:szCs w:val="21"/>
        </w:rPr>
        <w:t>人，岗位工资</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月。保安岗以总行安排确定的人员为准。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、管理人员和会计主管。各支行行长</w:t>
      </w:r>
      <w:r>
        <w:rPr>
          <w:rFonts w:eastAsia="黑体" w:cs="楷体" w:ascii="SimHei" w:hAnsi="SimHei"/>
          <w:color w:val="000000"/>
          <w:sz w:val="24"/>
          <w:szCs w:val="21"/>
        </w:rPr>
        <w:t>(</w:t>
      </w:r>
      <w:r>
        <w:rPr>
          <w:rFonts w:ascii="SimHei" w:hAnsi="SimHei" w:cs="楷体" w:eastAsia="黑体"/>
          <w:color w:val="000000"/>
          <w:sz w:val="24"/>
          <w:szCs w:val="21"/>
        </w:rPr>
        <w:t>营业部经理</w:t>
      </w:r>
      <w:r>
        <w:rPr>
          <w:rFonts w:eastAsia="黑体" w:cs="楷体" w:ascii="SimHei" w:hAnsi="SimHei"/>
          <w:color w:val="000000"/>
          <w:sz w:val="24"/>
          <w:szCs w:val="21"/>
        </w:rPr>
        <w:t>)</w:t>
      </w:r>
      <w:r>
        <w:rPr>
          <w:rFonts w:ascii="SimHei" w:hAnsi="SimHei" w:cs="楷体" w:eastAsia="黑体"/>
          <w:color w:val="000000"/>
          <w:sz w:val="24"/>
          <w:szCs w:val="21"/>
        </w:rPr>
        <w:t>、会计主管按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月计发基本工资和职级工资，乡镇支行加计发农村支行津贴。</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、其他在岗人员。其他在岗人员未参加柜员岗、客户经理岗考核的，按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月执行。</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三、管理工资</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w:t>
      </w:r>
      <w:r>
        <w:rPr>
          <w:rFonts w:eastAsia="黑体" w:cs="楷体" w:ascii="SimHei" w:hAnsi="SimHei"/>
          <w:color w:val="000000"/>
          <w:sz w:val="24"/>
          <w:szCs w:val="21"/>
        </w:rPr>
        <w:t>)</w:t>
      </w:r>
      <w:r>
        <w:rPr>
          <w:rFonts w:ascii="SimHei" w:hAnsi="SimHei" w:cs="楷体" w:eastAsia="黑体"/>
          <w:color w:val="000000"/>
          <w:sz w:val="24"/>
          <w:szCs w:val="21"/>
        </w:rPr>
        <w:t>系数的确定。</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、支行行长。扁平化支行行长系数为</w:t>
      </w:r>
      <w:r>
        <w:rPr>
          <w:rFonts w:eastAsia="黑体" w:cs="楷体" w:ascii="SimHei" w:hAnsi="SimHei"/>
          <w:color w:val="000000"/>
          <w:sz w:val="24"/>
          <w:szCs w:val="21"/>
        </w:rPr>
        <w:t>2.0</w:t>
      </w:r>
      <w:r>
        <w:rPr>
          <w:rFonts w:ascii="SimHei" w:hAnsi="SimHei" w:cs="楷体" w:eastAsia="黑体"/>
          <w:color w:val="000000"/>
          <w:sz w:val="24"/>
          <w:szCs w:val="21"/>
        </w:rPr>
        <w:t>，重点乡镇支行行长系数为</w:t>
      </w:r>
      <w:r>
        <w:rPr>
          <w:rFonts w:eastAsia="黑体" w:cs="楷体" w:ascii="SimHei" w:hAnsi="SimHei"/>
          <w:color w:val="000000"/>
          <w:sz w:val="24"/>
          <w:szCs w:val="21"/>
        </w:rPr>
        <w:t>1.9</w:t>
      </w:r>
      <w:r>
        <w:rPr>
          <w:rFonts w:ascii="SimHei" w:hAnsi="SimHei" w:cs="楷体" w:eastAsia="黑体"/>
          <w:color w:val="000000"/>
          <w:sz w:val="24"/>
          <w:szCs w:val="21"/>
        </w:rPr>
        <w:t>，其他支行行长系数为</w:t>
      </w:r>
      <w:r>
        <w:rPr>
          <w:rFonts w:eastAsia="黑体" w:cs="楷体" w:ascii="SimHei" w:hAnsi="SimHei"/>
          <w:color w:val="000000"/>
          <w:sz w:val="24"/>
          <w:szCs w:val="21"/>
        </w:rPr>
        <w:t>1.8</w:t>
      </w:r>
      <w:r>
        <w:rPr>
          <w:rFonts w:ascii="SimHei" w:hAnsi="SimHei" w:cs="楷体" w:eastAsia="黑体"/>
          <w:color w:val="000000"/>
          <w:sz w:val="24"/>
          <w:szCs w:val="21"/>
        </w:rPr>
        <w:t>，全面负责的副行长相应下浮</w:t>
      </w:r>
      <w:r>
        <w:rPr>
          <w:rFonts w:eastAsia="黑体" w:cs="楷体" w:ascii="SimHei" w:hAnsi="SimHei"/>
          <w:color w:val="000000"/>
          <w:sz w:val="24"/>
          <w:szCs w:val="21"/>
        </w:rPr>
        <w:t>0.1</w:t>
      </w:r>
      <w:r>
        <w:rPr>
          <w:rFonts w:ascii="SimHei" w:hAnsi="SimHei" w:cs="楷体" w:eastAsia="黑体"/>
          <w:color w:val="000000"/>
          <w:sz w:val="24"/>
          <w:szCs w:val="21"/>
        </w:rPr>
        <w:t>系数。</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、支行副行长。扁平化支行副行长系数为</w:t>
      </w:r>
      <w:r>
        <w:rPr>
          <w:rFonts w:eastAsia="黑体" w:cs="楷体" w:ascii="SimHei" w:hAnsi="SimHei"/>
          <w:color w:val="000000"/>
          <w:sz w:val="24"/>
          <w:szCs w:val="21"/>
        </w:rPr>
        <w:t>1.6</w:t>
      </w:r>
      <w:r>
        <w:rPr>
          <w:rFonts w:ascii="SimHei" w:hAnsi="SimHei" w:cs="楷体" w:eastAsia="黑体"/>
          <w:color w:val="000000"/>
          <w:sz w:val="24"/>
          <w:szCs w:val="21"/>
        </w:rPr>
        <w:t>，重点乡镇支行副行长系数为</w:t>
      </w:r>
      <w:r>
        <w:rPr>
          <w:rFonts w:eastAsia="黑体" w:cs="楷体" w:ascii="SimHei" w:hAnsi="SimHei"/>
          <w:color w:val="000000"/>
          <w:sz w:val="24"/>
          <w:szCs w:val="21"/>
        </w:rPr>
        <w:t>1.5</w:t>
      </w:r>
      <w:r>
        <w:rPr>
          <w:rFonts w:ascii="SimHei" w:hAnsi="SimHei" w:cs="楷体" w:eastAsia="黑体"/>
          <w:color w:val="000000"/>
          <w:sz w:val="24"/>
          <w:szCs w:val="21"/>
        </w:rPr>
        <w:t>，其他支行副行长系数为</w:t>
      </w:r>
      <w:r>
        <w:rPr>
          <w:rFonts w:eastAsia="黑体" w:cs="楷体" w:ascii="SimHei" w:hAnsi="SimHei"/>
          <w:color w:val="000000"/>
          <w:sz w:val="24"/>
          <w:szCs w:val="21"/>
        </w:rPr>
        <w:t>1.4</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、正副股级。正股级系数</w:t>
      </w:r>
      <w:r>
        <w:rPr>
          <w:rFonts w:eastAsia="黑体" w:cs="楷体" w:ascii="SimHei" w:hAnsi="SimHei"/>
          <w:color w:val="000000"/>
          <w:sz w:val="24"/>
          <w:szCs w:val="21"/>
        </w:rPr>
        <w:t>1.5</w:t>
      </w:r>
      <w:r>
        <w:rPr>
          <w:rFonts w:ascii="SimHei" w:hAnsi="SimHei" w:cs="楷体" w:eastAsia="黑体"/>
          <w:color w:val="000000"/>
          <w:sz w:val="24"/>
          <w:szCs w:val="21"/>
        </w:rPr>
        <w:t>；副股级系数</w:t>
      </w:r>
      <w:r>
        <w:rPr>
          <w:rFonts w:eastAsia="黑体" w:cs="楷体" w:ascii="SimHei" w:hAnsi="SimHei"/>
          <w:color w:val="000000"/>
          <w:sz w:val="24"/>
          <w:szCs w:val="21"/>
        </w:rPr>
        <w:t>1.2</w:t>
      </w:r>
      <w:r>
        <w:rPr>
          <w:rFonts w:ascii="SimHei" w:hAnsi="SimHei" w:cs="楷体" w:eastAsia="黑体"/>
          <w:color w:val="000000"/>
          <w:sz w:val="24"/>
          <w:szCs w:val="21"/>
        </w:rPr>
        <w:t>。正副股级系数认定以《农村商业银行正、副股级干部工资系数认定方案》为依据，扁平化支行正副股级在相应系数的基础上上浮</w:t>
      </w:r>
      <w:r>
        <w:rPr>
          <w:rFonts w:eastAsia="黑体" w:cs="楷体" w:ascii="SimHei" w:hAnsi="SimHei"/>
          <w:color w:val="000000"/>
          <w:sz w:val="24"/>
          <w:szCs w:val="21"/>
        </w:rPr>
        <w:t>0.2</w:t>
      </w:r>
      <w:r>
        <w:rPr>
          <w:rFonts w:ascii="SimHei" w:hAnsi="SimHei" w:cs="楷体" w:eastAsia="黑体"/>
          <w:color w:val="000000"/>
          <w:sz w:val="24"/>
          <w:szCs w:val="21"/>
        </w:rPr>
        <w:t>，重点乡镇支行正副股级在相应系数的基础上上浮</w:t>
      </w:r>
      <w:r>
        <w:rPr>
          <w:rFonts w:eastAsia="黑体" w:cs="楷体" w:ascii="SimHei" w:hAnsi="SimHei"/>
          <w:color w:val="000000"/>
          <w:sz w:val="24"/>
          <w:szCs w:val="21"/>
        </w:rPr>
        <w:t>0.1</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二</w:t>
      </w:r>
      <w:r>
        <w:rPr>
          <w:rFonts w:eastAsia="黑体" w:cs="楷体" w:ascii="SimHei" w:hAnsi="SimHei"/>
          <w:color w:val="000000"/>
          <w:sz w:val="24"/>
          <w:szCs w:val="21"/>
        </w:rPr>
        <w:t>)</w:t>
      </w:r>
      <w:r>
        <w:rPr>
          <w:rFonts w:ascii="SimHei" w:hAnsi="SimHei" w:cs="楷体" w:eastAsia="黑体"/>
          <w:color w:val="000000"/>
          <w:sz w:val="24"/>
          <w:szCs w:val="21"/>
        </w:rPr>
        <w:t>工资考核。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、支行行长</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系数</w:t>
      </w:r>
      <w:r>
        <w:rPr>
          <w:rFonts w:eastAsia="黑体" w:cs="楷体" w:ascii="SimHei" w:hAnsi="SimHei"/>
          <w:color w:val="000000"/>
          <w:sz w:val="24"/>
          <w:szCs w:val="21"/>
        </w:rPr>
        <w:t>1.0</w:t>
      </w:r>
      <w:r>
        <w:rPr>
          <w:rFonts w:ascii="SimHei" w:hAnsi="SimHei" w:cs="楷体" w:eastAsia="黑体"/>
          <w:color w:val="000000"/>
          <w:sz w:val="24"/>
          <w:szCs w:val="21"/>
        </w:rPr>
        <w:t>。扁平化支行行长按机关人员考核，其他支行行长参与所在支行计价。</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定性定量考核工资。全年考核工资</w:t>
      </w:r>
      <w:r>
        <w:rPr>
          <w:rFonts w:eastAsia="黑体" w:cs="楷体" w:ascii="SimHei" w:hAnsi="SimHei"/>
          <w:color w:val="000000"/>
          <w:sz w:val="24"/>
          <w:szCs w:val="21"/>
        </w:rPr>
        <w:t>=XX</w:t>
      </w:r>
      <w:r>
        <w:rPr>
          <w:rFonts w:ascii="SimHei" w:hAnsi="SimHei" w:cs="楷体" w:eastAsia="黑体"/>
          <w:color w:val="000000"/>
          <w:sz w:val="24"/>
          <w:szCs w:val="21"/>
        </w:rPr>
        <w:t>万元</w:t>
      </w:r>
      <w:r>
        <w:rPr>
          <w:rFonts w:eastAsia="黑体" w:cs="楷体" w:ascii="SimHei" w:hAnsi="SimHei"/>
          <w:color w:val="000000"/>
          <w:sz w:val="24"/>
          <w:szCs w:val="21"/>
        </w:rPr>
        <w:t>×(</w:t>
      </w:r>
      <w:r>
        <w:rPr>
          <w:rFonts w:ascii="SimHei" w:hAnsi="SimHei" w:cs="楷体" w:eastAsia="黑体"/>
          <w:color w:val="000000"/>
          <w:sz w:val="24"/>
          <w:szCs w:val="21"/>
        </w:rPr>
        <w:t>系数－</w:t>
      </w:r>
      <w:r>
        <w:rPr>
          <w:rFonts w:eastAsia="黑体" w:cs="楷体" w:ascii="SimHei" w:hAnsi="SimHei"/>
          <w:color w:val="000000"/>
          <w:sz w:val="24"/>
          <w:szCs w:val="21"/>
        </w:rPr>
        <w:t>1.0)</w:t>
      </w:r>
      <w:r>
        <w:rPr>
          <w:rFonts w:ascii="SimHei" w:hAnsi="SimHei" w:cs="楷体" w:eastAsia="黑体"/>
          <w:color w:val="000000"/>
          <w:sz w:val="24"/>
          <w:szCs w:val="21"/>
        </w:rPr>
        <w:t>。每季按完成各项经营指标情况百分量化浮动考核到人</w:t>
      </w:r>
      <w:r>
        <w:rPr>
          <w:rFonts w:eastAsia="黑体" w:cs="楷体" w:ascii="SimHei" w:hAnsi="SimHei"/>
          <w:color w:val="000000"/>
          <w:sz w:val="24"/>
          <w:szCs w:val="21"/>
        </w:rPr>
        <w:t>,</w:t>
      </w:r>
      <w:r>
        <w:rPr>
          <w:rFonts w:ascii="SimHei" w:hAnsi="SimHei" w:cs="楷体" w:eastAsia="黑体"/>
          <w:color w:val="000000"/>
          <w:sz w:val="24"/>
          <w:szCs w:val="21"/>
        </w:rPr>
        <w:t>年终总清算。</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、除支行行长外的其他副股级以上人员。</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系数</w:t>
      </w:r>
      <w:r>
        <w:rPr>
          <w:rFonts w:eastAsia="黑体" w:cs="楷体" w:ascii="SimHei" w:hAnsi="SimHei"/>
          <w:color w:val="000000"/>
          <w:sz w:val="24"/>
          <w:szCs w:val="21"/>
        </w:rPr>
        <w:t>1.0</w:t>
      </w:r>
      <w:r>
        <w:rPr>
          <w:rFonts w:ascii="SimHei" w:hAnsi="SimHei" w:cs="楷体" w:eastAsia="黑体"/>
          <w:color w:val="000000"/>
          <w:sz w:val="24"/>
          <w:szCs w:val="21"/>
        </w:rPr>
        <w:t>。系数</w:t>
      </w:r>
      <w:r>
        <w:rPr>
          <w:rFonts w:eastAsia="黑体" w:cs="楷体" w:ascii="SimHei" w:hAnsi="SimHei"/>
          <w:color w:val="000000"/>
          <w:sz w:val="24"/>
          <w:szCs w:val="21"/>
        </w:rPr>
        <w:t>1.0</w:t>
      </w:r>
      <w:r>
        <w:rPr>
          <w:rFonts w:ascii="SimHei" w:hAnsi="SimHei" w:cs="楷体" w:eastAsia="黑体"/>
          <w:color w:val="000000"/>
          <w:sz w:val="24"/>
          <w:szCs w:val="21"/>
        </w:rPr>
        <w:t>参与所在支行计价。</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定性定量考核工资。全年考核工资</w:t>
      </w:r>
      <w:r>
        <w:rPr>
          <w:rFonts w:eastAsia="黑体" w:cs="楷体" w:ascii="SimHei" w:hAnsi="SimHei"/>
          <w:color w:val="000000"/>
          <w:sz w:val="24"/>
          <w:szCs w:val="21"/>
        </w:rPr>
        <w:t>=XX</w:t>
      </w:r>
      <w:r>
        <w:rPr>
          <w:rFonts w:ascii="SimHei" w:hAnsi="SimHei" w:cs="楷体" w:eastAsia="黑体"/>
          <w:color w:val="000000"/>
          <w:sz w:val="24"/>
          <w:szCs w:val="21"/>
        </w:rPr>
        <w:t>万元</w:t>
      </w:r>
      <w:r>
        <w:rPr>
          <w:rFonts w:eastAsia="黑体" w:cs="楷体" w:ascii="SimHei" w:hAnsi="SimHei"/>
          <w:color w:val="000000"/>
          <w:sz w:val="24"/>
          <w:szCs w:val="21"/>
        </w:rPr>
        <w:t>×(</w:t>
      </w:r>
      <w:r>
        <w:rPr>
          <w:rFonts w:ascii="SimHei" w:hAnsi="SimHei" w:cs="楷体" w:eastAsia="黑体"/>
          <w:color w:val="000000"/>
          <w:sz w:val="24"/>
          <w:szCs w:val="21"/>
        </w:rPr>
        <w:t>系数－</w:t>
      </w:r>
      <w:r>
        <w:rPr>
          <w:rFonts w:eastAsia="黑体" w:cs="楷体" w:ascii="SimHei" w:hAnsi="SimHei"/>
          <w:color w:val="000000"/>
          <w:sz w:val="24"/>
          <w:szCs w:val="21"/>
        </w:rPr>
        <w:t>1.0)</w:t>
      </w:r>
      <w:r>
        <w:rPr>
          <w:rFonts w:ascii="SimHei" w:hAnsi="SimHei" w:cs="楷体" w:eastAsia="黑体"/>
          <w:color w:val="000000"/>
          <w:sz w:val="24"/>
          <w:szCs w:val="21"/>
        </w:rPr>
        <w:t>。按季参照所在支行定性定量考核到支行，再由各支行根据本支行方案考核到人，年终总清算。</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四、效益工资。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效益工资根据总行今年拟实现利润总额确定，直接参与含量计酬。</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五、奖励工资。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奖励工资指依托绩效考核指标体系，拓宽绩效考核外延，大力开展争先创优活动和“春天行动”等活动的奖励工资。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六、附加薪酬。</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体现薪酬的社会保障功能，包括津补贴、职工福利费、社会保险、住房公积金、补充养老保险等。</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津补贴。包括通讯费、交通费等，项目及发放标准按照上级主管行社相关规定执行。</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职工福利费。指按相关政策规定支付的职工福利性支出。</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社会保险。主要包含单位为职工计缴的基本养老保险、医疗保险、失业保险、工伤保险、生育保险五个险种的社会保险费。</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住房公积金。按国家规定的基准和比例为职工计缴的住房公积金单位部分。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补充养老保险。按国家规定的基准和比例为职工计缴的企业年金单位部分。</w:t>
      </w:r>
    </w:p>
    <w:p>
      <w:pPr>
        <w:pStyle w:val="Normal"/>
        <w:snapToGrid w:val="false"/>
        <w:spacing w:lineRule="auto" w:line="360"/>
        <w:jc w:val="center"/>
        <w:rPr>
          <w:rFonts w:ascii="楷体" w:hAnsi="楷体" w:eastAsia="楷体" w:cs="楷体"/>
          <w:b/>
          <w:b/>
          <w:color w:val="000000"/>
          <w:sz w:val="24"/>
          <w:szCs w:val="21"/>
        </w:rPr>
      </w:pPr>
      <w:r>
        <w:rPr>
          <w:rFonts w:ascii="SimHei" w:hAnsi="SimHei" w:cs="楷体" w:eastAsia="黑体"/>
          <w:b/>
          <w:color w:val="000000"/>
          <w:sz w:val="28"/>
          <w:szCs w:val="21"/>
        </w:rPr>
        <w:t>第四章  薪金考核</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第六条  基本工资与职级工资的考核</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员工基本工资和职级工资由各支行与员工日常考勤挂钩考核，并实行倒扣制。上班时间迟到或早退一次扣</w:t>
      </w:r>
      <w:r>
        <w:rPr>
          <w:rFonts w:eastAsia="黑体" w:cs="楷体" w:ascii="SimHei" w:hAnsi="SimHei"/>
          <w:color w:val="000000"/>
          <w:sz w:val="24"/>
          <w:szCs w:val="21"/>
        </w:rPr>
        <w:t>XX</w:t>
      </w:r>
      <w:r>
        <w:rPr>
          <w:rFonts w:ascii="SimHei" w:hAnsi="SimHei" w:cs="楷体" w:eastAsia="黑体"/>
          <w:color w:val="000000"/>
          <w:sz w:val="24"/>
          <w:szCs w:val="21"/>
        </w:rPr>
        <w:t>元、旷工一天扣</w:t>
      </w:r>
      <w:r>
        <w:rPr>
          <w:rFonts w:eastAsia="黑体" w:cs="楷体" w:ascii="SimHei" w:hAnsi="SimHei"/>
          <w:color w:val="000000"/>
          <w:sz w:val="24"/>
          <w:szCs w:val="21"/>
        </w:rPr>
        <w:t>XX</w:t>
      </w:r>
      <w:r>
        <w:rPr>
          <w:rFonts w:ascii="SimHei" w:hAnsi="SimHei" w:cs="楷体" w:eastAsia="黑体"/>
          <w:color w:val="000000"/>
          <w:sz w:val="24"/>
          <w:szCs w:val="21"/>
        </w:rPr>
        <w:t>元；无故不参加单位组织的集体活动一次扣</w:t>
      </w:r>
      <w:r>
        <w:rPr>
          <w:rFonts w:eastAsia="黑体" w:cs="楷体" w:ascii="SimHei" w:hAnsi="SimHei"/>
          <w:color w:val="000000"/>
          <w:sz w:val="24"/>
          <w:szCs w:val="21"/>
        </w:rPr>
        <w:t>XX</w:t>
      </w:r>
      <w:r>
        <w:rPr>
          <w:rFonts w:ascii="SimHei" w:hAnsi="SimHei" w:cs="楷体" w:eastAsia="黑体"/>
          <w:color w:val="000000"/>
          <w:sz w:val="24"/>
          <w:szCs w:val="21"/>
        </w:rPr>
        <w:t>元；无故不参加单位组织学习的一次扣</w:t>
      </w:r>
      <w:r>
        <w:rPr>
          <w:rFonts w:eastAsia="黑体" w:cs="楷体" w:ascii="SimHei" w:hAnsi="SimHei"/>
          <w:color w:val="000000"/>
          <w:sz w:val="24"/>
          <w:szCs w:val="21"/>
        </w:rPr>
        <w:t>XX</w:t>
      </w:r>
      <w:r>
        <w:rPr>
          <w:rFonts w:ascii="SimHei" w:hAnsi="SimHei" w:cs="楷体" w:eastAsia="黑体"/>
          <w:color w:val="000000"/>
          <w:sz w:val="24"/>
          <w:szCs w:val="21"/>
        </w:rPr>
        <w:t>元。</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第七条  管理工资的考核内容及标准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基层支行人员管理工资由总行按季考核，实行指标打分及倒扣分，总行组织相关职能部室针对相关文件条款集中打分，通报各支行分项分数情况，并将综合打分作为工资考核的依据。具体考核内容如下：</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w:t>
      </w:r>
      <w:r>
        <w:rPr>
          <w:rFonts w:eastAsia="黑体" w:cs="楷体" w:ascii="SimHei" w:hAnsi="SimHei"/>
          <w:color w:val="000000"/>
          <w:sz w:val="24"/>
          <w:szCs w:val="21"/>
        </w:rPr>
        <w:t>)</w:t>
      </w:r>
      <w:r>
        <w:rPr>
          <w:rFonts w:ascii="SimHei" w:hAnsi="SimHei" w:cs="楷体" w:eastAsia="黑体"/>
          <w:color w:val="000000"/>
          <w:sz w:val="24"/>
          <w:szCs w:val="21"/>
        </w:rPr>
        <w:t>定量指标考核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、综合业务经营支行</w:t>
      </w:r>
      <w:r>
        <w:rPr>
          <w:rFonts w:eastAsia="黑体" w:cs="楷体" w:ascii="SimHei" w:hAnsi="SimHei"/>
          <w:color w:val="000000"/>
          <w:sz w:val="24"/>
          <w:szCs w:val="21"/>
        </w:rPr>
        <w:t>(70</w:t>
      </w:r>
      <w:r>
        <w:rPr>
          <w:rFonts w:ascii="SimHei" w:hAnsi="SimHei" w:cs="楷体" w:eastAsia="黑体"/>
          <w:color w:val="000000"/>
          <w:sz w:val="24"/>
          <w:szCs w:val="21"/>
        </w:rPr>
        <w:t>分</w:t>
      </w: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存款净增</w:t>
      </w:r>
      <w:r>
        <w:rPr>
          <w:rFonts w:eastAsia="黑体" w:cs="楷体" w:ascii="SimHei" w:hAnsi="SimHei"/>
          <w:color w:val="000000"/>
          <w:sz w:val="24"/>
          <w:szCs w:val="21"/>
        </w:rPr>
        <w:t>(40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。超任务的按比例加分，欠任务的按比例扣减，比年初下降的不得分，</w:t>
      </w:r>
      <w:r>
        <w:rPr>
          <w:rFonts w:eastAsia="黑体" w:cs="楷体" w:ascii="SimHei" w:hAnsi="SimHei"/>
          <w:color w:val="000000"/>
          <w:sz w:val="24"/>
          <w:szCs w:val="21"/>
        </w:rPr>
        <w:t>50</w:t>
      </w:r>
      <w:r>
        <w:rPr>
          <w:rFonts w:ascii="SimHei" w:hAnsi="SimHei" w:cs="楷体" w:eastAsia="黑体"/>
          <w:color w:val="000000"/>
          <w:sz w:val="24"/>
          <w:szCs w:val="21"/>
        </w:rPr>
        <w:t>分封顶。考核任务按余额和积数双向考核，各占比</w:t>
      </w:r>
      <w:r>
        <w:rPr>
          <w:rFonts w:eastAsia="黑体" w:cs="楷体" w:ascii="SimHei" w:hAnsi="SimHei"/>
          <w:color w:val="000000"/>
          <w:sz w:val="24"/>
          <w:szCs w:val="21"/>
        </w:rPr>
        <w:t>50%</w:t>
      </w:r>
      <w:r>
        <w:rPr>
          <w:rFonts w:ascii="SimHei" w:hAnsi="SimHei" w:cs="楷体" w:eastAsia="黑体"/>
          <w:color w:val="000000"/>
          <w:sz w:val="24"/>
          <w:szCs w:val="21"/>
        </w:rPr>
        <w:t>。该项由业务拓展部考核。</w:t>
      </w:r>
    </w:p>
    <w:p>
      <w:pPr>
        <w:pStyle w:val="Normal"/>
        <w:numPr>
          <w:ilvl w:val="0"/>
          <w:numId w:val="0"/>
        </w:numPr>
        <w:snapToGrid w:val="false"/>
        <w:spacing w:lineRule="auto" w:line="360"/>
        <w:ind w:firstLine="480"/>
        <w:outlineLvl w:val="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贷款净增</w:t>
      </w:r>
      <w:r>
        <w:rPr>
          <w:rFonts w:eastAsia="黑体" w:cs="楷体" w:ascii="SimHei" w:hAnsi="SimHei"/>
          <w:color w:val="000000"/>
          <w:sz w:val="24"/>
          <w:szCs w:val="21"/>
        </w:rPr>
        <w:t>(15</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。超任务的按比例加分，欠任务的按比例扣减，比年初下降的不得分，</w:t>
      </w:r>
      <w:r>
        <w:rPr>
          <w:rFonts w:eastAsia="黑体" w:cs="楷体" w:ascii="SimHei" w:hAnsi="SimHei"/>
          <w:color w:val="000000"/>
          <w:sz w:val="24"/>
          <w:szCs w:val="21"/>
        </w:rPr>
        <w:t>20</w:t>
      </w:r>
      <w:r>
        <w:rPr>
          <w:rFonts w:ascii="SimHei" w:hAnsi="SimHei" w:cs="楷体" w:eastAsia="黑体"/>
          <w:color w:val="000000"/>
          <w:sz w:val="24"/>
          <w:szCs w:val="21"/>
        </w:rPr>
        <w:t>分封顶。该项由信贷管理部考核。</w:t>
      </w:r>
    </w:p>
    <w:p>
      <w:pPr>
        <w:pStyle w:val="Normal"/>
        <w:snapToGrid w:val="false"/>
        <w:spacing w:lineRule="auto" w:line="360"/>
        <w:ind w:firstLine="480"/>
        <w:rPr>
          <w:rFonts w:ascii="楷体" w:hAnsi="楷体" w:eastAsia="楷体" w:cs="宋体-方正超大字符集;宋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电子银行业务</w:t>
      </w:r>
      <w:r>
        <w:rPr>
          <w:rFonts w:eastAsia="黑体" w:cs="楷体" w:ascii="SimHei" w:hAnsi="SimHei"/>
          <w:color w:val="000000"/>
          <w:sz w:val="24"/>
          <w:szCs w:val="21"/>
        </w:rPr>
        <w:t>(</w:t>
      </w:r>
      <w:r>
        <w:rPr>
          <w:rFonts w:eastAsia="黑体" w:cs="宋体-方正超大字符集;宋体" w:ascii="SimHei" w:hAnsi="SimHei"/>
          <w:color w:val="000000"/>
          <w:sz w:val="24"/>
          <w:szCs w:val="21"/>
        </w:rPr>
        <w:t>15</w:t>
      </w:r>
      <w:r>
        <w:rPr>
          <w:rFonts w:ascii="SimHei" w:hAnsi="SimHei" w:cs="宋体-方正超大字符集;宋体" w:eastAsia="黑体"/>
          <w:color w:val="000000"/>
          <w:sz w:val="24"/>
          <w:szCs w:val="21"/>
        </w:rPr>
        <w:t>分</w:t>
      </w:r>
      <w:r>
        <w:rPr>
          <w:rFonts w:eastAsia="黑体" w:cs="宋体-方正超大字符集;宋体" w:ascii="SimHei" w:hAnsi="SimHei"/>
          <w:color w:val="000000"/>
          <w:sz w:val="24"/>
          <w:szCs w:val="21"/>
        </w:rPr>
        <w:t>)</w:t>
      </w:r>
      <w:r>
        <w:rPr>
          <w:rFonts w:ascii="SimHei" w:hAnsi="SimHei" w:cs="宋体-方正超大字符集;宋体" w:eastAsia="黑体"/>
          <w:color w:val="000000"/>
          <w:sz w:val="24"/>
          <w:szCs w:val="21"/>
        </w:rPr>
        <w:t>。</w:t>
      </w:r>
      <w:r>
        <w:rPr>
          <w:rFonts w:ascii="SimHei" w:hAnsi="SimHei" w:cs="楷体" w:eastAsia="黑体"/>
          <w:color w:val="000000"/>
          <w:sz w:val="24"/>
          <w:szCs w:val="21"/>
        </w:rPr>
        <w:t>超任务的按比例加分，欠任务的按比例扣减，</w:t>
      </w:r>
      <w:r>
        <w:rPr>
          <w:rFonts w:eastAsia="黑体" w:cs="楷体" w:ascii="SimHei" w:hAnsi="SimHei"/>
          <w:color w:val="000000"/>
          <w:sz w:val="24"/>
          <w:szCs w:val="21"/>
        </w:rPr>
        <w:t>20</w:t>
      </w:r>
      <w:r>
        <w:rPr>
          <w:rFonts w:ascii="SimHei" w:hAnsi="SimHei" w:cs="楷体" w:eastAsia="黑体"/>
          <w:color w:val="000000"/>
          <w:sz w:val="24"/>
          <w:szCs w:val="21"/>
        </w:rPr>
        <w:t>分封顶。该项</w:t>
      </w:r>
      <w:r>
        <w:rPr>
          <w:rFonts w:ascii="SimHei" w:hAnsi="SimHei" w:cs="宋体-方正超大字符集;宋体" w:eastAsia="黑体"/>
          <w:color w:val="000000"/>
          <w:sz w:val="24"/>
          <w:szCs w:val="21"/>
        </w:rPr>
        <w:t>由电子银行部考核。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、单一经营存款业务的支行</w:t>
      </w:r>
      <w:r>
        <w:rPr>
          <w:rFonts w:eastAsia="黑体" w:cs="楷体" w:ascii="SimHei" w:hAnsi="SimHei"/>
          <w:color w:val="000000"/>
          <w:sz w:val="24"/>
          <w:szCs w:val="21"/>
        </w:rPr>
        <w:t>(70</w:t>
      </w:r>
      <w:r>
        <w:rPr>
          <w:rFonts w:ascii="SimHei" w:hAnsi="SimHei" w:cs="楷体" w:eastAsia="黑体"/>
          <w:color w:val="000000"/>
          <w:sz w:val="24"/>
          <w:szCs w:val="21"/>
        </w:rPr>
        <w:t>分</w:t>
      </w: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存款净增</w:t>
      </w:r>
      <w:r>
        <w:rPr>
          <w:rFonts w:eastAsia="黑体" w:cs="楷体" w:ascii="SimHei" w:hAnsi="SimHei"/>
          <w:color w:val="000000"/>
          <w:sz w:val="24"/>
          <w:szCs w:val="21"/>
        </w:rPr>
        <w:t>(50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。超任务的按比例加分，欠任务的按比例扣减，比年初下降的不得分。考核任务按余额和积数双向考核，各占比</w:t>
      </w:r>
      <w:r>
        <w:rPr>
          <w:rFonts w:eastAsia="黑体" w:cs="楷体" w:ascii="SimHei" w:hAnsi="SimHei"/>
          <w:color w:val="000000"/>
          <w:sz w:val="24"/>
          <w:szCs w:val="21"/>
        </w:rPr>
        <w:t>50%</w:t>
      </w:r>
      <w:r>
        <w:rPr>
          <w:rFonts w:ascii="SimHei" w:hAnsi="SimHei" w:cs="楷体" w:eastAsia="黑体"/>
          <w:color w:val="000000"/>
          <w:sz w:val="24"/>
          <w:szCs w:val="21"/>
        </w:rPr>
        <w:t>，</w:t>
      </w:r>
      <w:r>
        <w:rPr>
          <w:rFonts w:eastAsia="黑体" w:cs="楷体" w:ascii="SimHei" w:hAnsi="SimHei"/>
          <w:color w:val="000000"/>
          <w:sz w:val="24"/>
          <w:szCs w:val="21"/>
        </w:rPr>
        <w:t>65</w:t>
      </w:r>
      <w:r>
        <w:rPr>
          <w:rFonts w:ascii="SimHei" w:hAnsi="SimHei" w:cs="楷体" w:eastAsia="黑体"/>
          <w:color w:val="000000"/>
          <w:sz w:val="24"/>
          <w:szCs w:val="21"/>
        </w:rPr>
        <w:t>分封顶。该项由业务拓展部考核。</w:t>
      </w:r>
    </w:p>
    <w:p>
      <w:pPr>
        <w:pStyle w:val="Normal"/>
        <w:snapToGrid w:val="false"/>
        <w:spacing w:lineRule="auto" w:line="360"/>
        <w:ind w:firstLine="480"/>
        <w:rPr>
          <w:rFonts w:ascii="楷体" w:hAnsi="楷体" w:eastAsia="楷体" w:cs="宋体-方正超大字符集;宋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电子银行业务</w:t>
      </w:r>
      <w:r>
        <w:rPr>
          <w:rFonts w:eastAsia="黑体" w:cs="楷体" w:ascii="SimHei" w:hAnsi="SimHei"/>
          <w:color w:val="000000"/>
          <w:sz w:val="24"/>
          <w:szCs w:val="21"/>
        </w:rPr>
        <w:t>(20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。超任务的按比例加分，欠任务的按比例扣减，</w:t>
      </w:r>
      <w:r>
        <w:rPr>
          <w:rFonts w:eastAsia="黑体" w:cs="楷体" w:ascii="SimHei" w:hAnsi="SimHei"/>
          <w:color w:val="000000"/>
          <w:sz w:val="24"/>
          <w:szCs w:val="21"/>
        </w:rPr>
        <w:t>25</w:t>
      </w:r>
      <w:r>
        <w:rPr>
          <w:rFonts w:ascii="SimHei" w:hAnsi="SimHei" w:cs="楷体" w:eastAsia="黑体"/>
          <w:color w:val="000000"/>
          <w:sz w:val="24"/>
          <w:szCs w:val="21"/>
        </w:rPr>
        <w:t>分封顶。该项</w:t>
      </w:r>
      <w:r>
        <w:rPr>
          <w:rFonts w:ascii="SimHei" w:hAnsi="SimHei" w:cs="宋体-方正超大字符集;宋体" w:eastAsia="黑体"/>
          <w:color w:val="000000"/>
          <w:sz w:val="24"/>
          <w:szCs w:val="21"/>
        </w:rPr>
        <w:t>由电子银行部考核。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二</w:t>
      </w:r>
      <w:r>
        <w:rPr>
          <w:rFonts w:eastAsia="黑体" w:cs="楷体" w:ascii="SimHei" w:hAnsi="SimHei"/>
          <w:color w:val="000000"/>
          <w:sz w:val="24"/>
          <w:szCs w:val="21"/>
        </w:rPr>
        <w:t>)</w:t>
      </w:r>
      <w:r>
        <w:rPr>
          <w:rFonts w:ascii="SimHei" w:hAnsi="SimHei" w:cs="楷体" w:eastAsia="黑体"/>
          <w:color w:val="000000"/>
          <w:sz w:val="24"/>
          <w:szCs w:val="21"/>
        </w:rPr>
        <w:t>定性指标考核</w:t>
      </w:r>
      <w:r>
        <w:rPr>
          <w:rFonts w:eastAsia="黑体" w:cs="楷体" w:ascii="SimHei" w:hAnsi="SimHei"/>
          <w:color w:val="000000"/>
          <w:sz w:val="24"/>
          <w:szCs w:val="21"/>
        </w:rPr>
        <w:t>(30</w:t>
      </w:r>
      <w:r>
        <w:rPr>
          <w:rFonts w:ascii="SimHei" w:hAnsi="SimHei" w:cs="楷体" w:eastAsia="黑体"/>
          <w:color w:val="000000"/>
          <w:sz w:val="24"/>
          <w:szCs w:val="21"/>
        </w:rPr>
        <w:t>分</w:t>
      </w: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、安全保卫工作</w:t>
      </w:r>
      <w:r>
        <w:rPr>
          <w:rFonts w:eastAsia="黑体" w:cs="楷体" w:ascii="SimHei" w:hAnsi="SimHei"/>
          <w:color w:val="000000"/>
          <w:sz w:val="24"/>
          <w:szCs w:val="21"/>
        </w:rPr>
        <w:t>(5</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。该项由安全保卫部考核。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、优质文明服务</w:t>
      </w:r>
      <w:r>
        <w:rPr>
          <w:rFonts w:eastAsia="黑体" w:cs="楷体" w:ascii="SimHei" w:hAnsi="SimHei"/>
          <w:color w:val="000000"/>
          <w:sz w:val="24"/>
          <w:szCs w:val="21"/>
        </w:rPr>
        <w:t>(10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。该项由人事教育部考核。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、内控</w:t>
      </w:r>
      <w:r>
        <w:rPr>
          <w:rFonts w:eastAsia="黑体" w:cs="楷体" w:ascii="SimHei" w:hAnsi="SimHei"/>
          <w:color w:val="000000"/>
          <w:sz w:val="24"/>
          <w:szCs w:val="21"/>
        </w:rPr>
        <w:t>(</w:t>
      </w:r>
      <w:r>
        <w:rPr>
          <w:rFonts w:ascii="SimHei" w:hAnsi="SimHei" w:cs="楷体" w:eastAsia="黑体"/>
          <w:color w:val="000000"/>
          <w:sz w:val="24"/>
          <w:szCs w:val="21"/>
        </w:rPr>
        <w:t>案防</w:t>
      </w:r>
      <w:r>
        <w:rPr>
          <w:rFonts w:eastAsia="黑体" w:cs="楷体" w:ascii="SimHei" w:hAnsi="SimHei"/>
          <w:color w:val="000000"/>
          <w:sz w:val="24"/>
          <w:szCs w:val="21"/>
        </w:rPr>
        <w:t>)</w:t>
      </w:r>
      <w:r>
        <w:rPr>
          <w:rFonts w:ascii="SimHei" w:hAnsi="SimHei" w:cs="楷体" w:eastAsia="黑体"/>
          <w:color w:val="000000"/>
          <w:sz w:val="24"/>
          <w:szCs w:val="21"/>
        </w:rPr>
        <w:t>管理</w:t>
      </w:r>
      <w:r>
        <w:rPr>
          <w:rFonts w:eastAsia="黑体" w:cs="楷体" w:ascii="SimHei" w:hAnsi="SimHei"/>
          <w:color w:val="000000"/>
          <w:sz w:val="24"/>
          <w:szCs w:val="21"/>
        </w:rPr>
        <w:t>(10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。该项由稽核监察部负责，其他职能部门对口考核。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、合规管理工作</w:t>
      </w:r>
      <w:r>
        <w:rPr>
          <w:rFonts w:eastAsia="黑体" w:cs="楷体" w:ascii="SimHei" w:hAnsi="SimHei"/>
          <w:color w:val="000000"/>
          <w:sz w:val="24"/>
          <w:szCs w:val="21"/>
        </w:rPr>
        <w:t>(5</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。该项由风险合规部考核。</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对单位获得省级先进的加</w:t>
      </w:r>
      <w:r>
        <w:rPr>
          <w:rFonts w:eastAsia="黑体" w:cs="楷体" w:ascii="SimHei" w:hAnsi="SimHei"/>
          <w:color w:val="000000"/>
          <w:sz w:val="24"/>
          <w:szCs w:val="21"/>
        </w:rPr>
        <w:t>3</w:t>
      </w:r>
      <w:r>
        <w:rPr>
          <w:rFonts w:ascii="SimHei" w:hAnsi="SimHei" w:cs="楷体" w:eastAsia="黑体"/>
          <w:color w:val="000000"/>
          <w:sz w:val="24"/>
          <w:szCs w:val="21"/>
        </w:rPr>
        <w:t>分，获得市级先进的加</w:t>
      </w:r>
      <w:r>
        <w:rPr>
          <w:rFonts w:eastAsia="黑体" w:cs="楷体" w:ascii="SimHei" w:hAnsi="SimHei"/>
          <w:color w:val="000000"/>
          <w:sz w:val="24"/>
          <w:szCs w:val="21"/>
        </w:rPr>
        <w:t>2</w:t>
      </w:r>
      <w:r>
        <w:rPr>
          <w:rFonts w:ascii="SimHei" w:hAnsi="SimHei" w:cs="楷体" w:eastAsia="黑体"/>
          <w:color w:val="000000"/>
          <w:sz w:val="24"/>
          <w:szCs w:val="21"/>
        </w:rPr>
        <w:t>分，获得总行先进的加</w:t>
      </w:r>
      <w:r>
        <w:rPr>
          <w:rFonts w:eastAsia="黑体" w:cs="楷体" w:ascii="SimHei" w:hAnsi="SimHei"/>
          <w:color w:val="000000"/>
          <w:sz w:val="24"/>
          <w:szCs w:val="21"/>
        </w:rPr>
        <w:t>1</w:t>
      </w:r>
      <w:r>
        <w:rPr>
          <w:rFonts w:ascii="SimHei" w:hAnsi="SimHei" w:cs="楷体" w:eastAsia="黑体"/>
          <w:color w:val="000000"/>
          <w:sz w:val="24"/>
          <w:szCs w:val="21"/>
        </w:rPr>
        <w:t>分。该项由人事教育部考核。</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三</w:t>
      </w:r>
      <w:r>
        <w:rPr>
          <w:rFonts w:eastAsia="黑体" w:cs="楷体" w:ascii="SimHei" w:hAnsi="SimHei"/>
          <w:color w:val="000000"/>
          <w:sz w:val="24"/>
          <w:szCs w:val="21"/>
        </w:rPr>
        <w:t>)</w:t>
      </w:r>
      <w:r>
        <w:rPr>
          <w:rFonts w:ascii="SimHei" w:hAnsi="SimHei" w:cs="楷体" w:eastAsia="黑体"/>
          <w:color w:val="000000"/>
          <w:sz w:val="24"/>
          <w:szCs w:val="21"/>
        </w:rPr>
        <w:t>支行出现以下情况的，在内控</w:t>
      </w:r>
      <w:r>
        <w:rPr>
          <w:rFonts w:eastAsia="黑体" w:cs="楷体" w:ascii="SimHei" w:hAnsi="SimHei"/>
          <w:color w:val="000000"/>
          <w:sz w:val="24"/>
          <w:szCs w:val="21"/>
        </w:rPr>
        <w:t>(</w:t>
      </w:r>
      <w:r>
        <w:rPr>
          <w:rFonts w:ascii="SimHei" w:hAnsi="SimHei" w:cs="楷体" w:eastAsia="黑体"/>
          <w:color w:val="000000"/>
          <w:sz w:val="24"/>
          <w:szCs w:val="21"/>
        </w:rPr>
        <w:t>案防</w:t>
      </w:r>
      <w:r>
        <w:rPr>
          <w:rFonts w:eastAsia="黑体" w:cs="楷体" w:ascii="SimHei" w:hAnsi="SimHei"/>
          <w:color w:val="000000"/>
          <w:sz w:val="24"/>
          <w:szCs w:val="21"/>
        </w:rPr>
        <w:t>)</w:t>
      </w:r>
      <w:r>
        <w:rPr>
          <w:rFonts w:ascii="SimHei" w:hAnsi="SimHei" w:cs="楷体" w:eastAsia="黑体"/>
          <w:color w:val="000000"/>
          <w:sz w:val="24"/>
          <w:szCs w:val="21"/>
        </w:rPr>
        <w:t>和合规管理中倒扣分。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、员工行为管理。出现上访、打架斗殴、服务被投诉等不良行为的，一次扣</w:t>
      </w:r>
      <w:r>
        <w:rPr>
          <w:rFonts w:eastAsia="黑体" w:cs="楷体" w:ascii="SimHei" w:hAnsi="SimHei"/>
          <w:color w:val="000000"/>
          <w:sz w:val="24"/>
          <w:szCs w:val="21"/>
        </w:rPr>
        <w:t>1</w:t>
      </w:r>
      <w:r>
        <w:rPr>
          <w:rFonts w:ascii="SimHei" w:hAnsi="SimHei" w:cs="楷体" w:eastAsia="黑体"/>
          <w:color w:val="000000"/>
          <w:sz w:val="24"/>
          <w:szCs w:val="21"/>
        </w:rPr>
        <w:t>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、业务经营管理。费用报账不真实、超支；存贷款弄虚作假以及被省市级以上管理部门检查通报的，一次扣</w:t>
      </w:r>
      <w:r>
        <w:rPr>
          <w:rFonts w:eastAsia="黑体" w:cs="楷体" w:ascii="SimHei" w:hAnsi="SimHei"/>
          <w:color w:val="000000"/>
          <w:sz w:val="24"/>
          <w:szCs w:val="21"/>
        </w:rPr>
        <w:t>2</w:t>
      </w:r>
      <w:r>
        <w:rPr>
          <w:rFonts w:ascii="SimHei" w:hAnsi="SimHei" w:cs="楷体" w:eastAsia="黑体"/>
          <w:color w:val="000000"/>
          <w:sz w:val="24"/>
          <w:szCs w:val="21"/>
        </w:rPr>
        <w:t>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、出现重大风险事件的，内控</w:t>
      </w:r>
      <w:r>
        <w:rPr>
          <w:rFonts w:eastAsia="黑体" w:cs="楷体" w:ascii="SimHei" w:hAnsi="SimHei"/>
          <w:color w:val="000000"/>
          <w:sz w:val="24"/>
          <w:szCs w:val="21"/>
        </w:rPr>
        <w:t>(</w:t>
      </w:r>
      <w:r>
        <w:rPr>
          <w:rFonts w:ascii="SimHei" w:hAnsi="SimHei" w:cs="楷体" w:eastAsia="黑体"/>
          <w:color w:val="000000"/>
          <w:sz w:val="24"/>
          <w:szCs w:val="21"/>
        </w:rPr>
        <w:t>案防</w:t>
      </w:r>
      <w:r>
        <w:rPr>
          <w:rFonts w:eastAsia="黑体" w:cs="楷体" w:ascii="SimHei" w:hAnsi="SimHei"/>
          <w:color w:val="000000"/>
          <w:sz w:val="24"/>
          <w:szCs w:val="21"/>
        </w:rPr>
        <w:t>)</w:t>
      </w:r>
      <w:r>
        <w:rPr>
          <w:rFonts w:ascii="SimHei" w:hAnsi="SimHei" w:cs="楷体" w:eastAsia="黑体"/>
          <w:color w:val="000000"/>
          <w:sz w:val="24"/>
          <w:szCs w:val="21"/>
        </w:rPr>
        <w:t>管理和合规管理两项不得分。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第八条  计价工资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计价工资即含量计酬工资，与支行收存、收息、业务量等挂钩。</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一、参与计价工资人员：支行正、副行长和内外勤人员</w:t>
      </w:r>
      <w:r>
        <w:rPr>
          <w:rFonts w:eastAsia="黑体" w:cs="楷体" w:ascii="SimHei" w:hAnsi="SimHei"/>
          <w:color w:val="000000"/>
          <w:sz w:val="24"/>
          <w:szCs w:val="21"/>
        </w:rPr>
        <w:t>(</w:t>
      </w:r>
      <w:r>
        <w:rPr>
          <w:rFonts w:ascii="SimHei" w:hAnsi="SimHei" w:cs="楷体" w:eastAsia="黑体"/>
          <w:color w:val="000000"/>
          <w:sz w:val="24"/>
          <w:szCs w:val="21"/>
        </w:rPr>
        <w:t>不含见习期新员工和劳务派遣人员</w:t>
      </w:r>
      <w:r>
        <w:rPr>
          <w:rFonts w:eastAsia="黑体" w:cs="楷体" w:ascii="SimHei" w:hAnsi="SimHei"/>
          <w:color w:val="000000"/>
          <w:sz w:val="24"/>
          <w:szCs w:val="21"/>
        </w:rPr>
        <w:t>)</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二、计价工资计酬原则：</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支行行长</w:t>
      </w:r>
      <w:r>
        <w:rPr>
          <w:rFonts w:eastAsia="黑体" w:cs="楷体" w:ascii="SimHei" w:hAnsi="SimHei"/>
          <w:color w:val="000000"/>
          <w:sz w:val="24"/>
          <w:szCs w:val="21"/>
        </w:rPr>
        <w:t>(</w:t>
      </w:r>
      <w:r>
        <w:rPr>
          <w:rFonts w:ascii="SimHei" w:hAnsi="SimHei" w:cs="楷体" w:eastAsia="黑体"/>
          <w:color w:val="000000"/>
          <w:sz w:val="24"/>
          <w:szCs w:val="21"/>
        </w:rPr>
        <w:t>不含扁平化</w:t>
      </w:r>
      <w:r>
        <w:rPr>
          <w:rFonts w:eastAsia="黑体" w:cs="楷体" w:ascii="SimHei" w:hAnsi="SimHei"/>
          <w:color w:val="000000"/>
          <w:sz w:val="24"/>
          <w:szCs w:val="21"/>
        </w:rPr>
        <w:t>)</w:t>
      </w:r>
      <w:r>
        <w:rPr>
          <w:rFonts w:ascii="SimHei" w:hAnsi="SimHei" w:cs="楷体" w:eastAsia="黑体"/>
          <w:color w:val="000000"/>
          <w:sz w:val="24"/>
          <w:szCs w:val="21"/>
        </w:rPr>
        <w:t>每月计价工资最高不得超过所在支行人平工资的</w:t>
      </w:r>
      <w:r>
        <w:rPr>
          <w:rFonts w:eastAsia="黑体" w:cs="楷体" w:ascii="SimHei" w:hAnsi="SimHei"/>
          <w:color w:val="000000"/>
          <w:sz w:val="24"/>
          <w:szCs w:val="21"/>
        </w:rPr>
        <w:t>2.0</w:t>
      </w:r>
      <w:r>
        <w:rPr>
          <w:rFonts w:ascii="SimHei" w:hAnsi="SimHei" w:cs="楷体" w:eastAsia="黑体"/>
          <w:color w:val="000000"/>
          <w:sz w:val="24"/>
          <w:szCs w:val="21"/>
        </w:rPr>
        <w:t>倍，当月考核计价高于规定部分，留存财会统计部待年终统一清算，全年工资高于规定部分的一律扣发。一般员工</w:t>
      </w:r>
      <w:r>
        <w:rPr>
          <w:rFonts w:eastAsia="黑体" w:cs="楷体" w:ascii="SimHei" w:hAnsi="SimHei"/>
          <w:color w:val="000000"/>
          <w:sz w:val="24"/>
          <w:szCs w:val="21"/>
        </w:rPr>
        <w:t>(</w:t>
      </w:r>
      <w:r>
        <w:rPr>
          <w:rFonts w:ascii="SimHei" w:hAnsi="SimHei" w:cs="楷体" w:eastAsia="黑体"/>
          <w:color w:val="000000"/>
          <w:sz w:val="24"/>
          <w:szCs w:val="21"/>
        </w:rPr>
        <w:t>含副行长</w:t>
      </w:r>
      <w:r>
        <w:rPr>
          <w:rFonts w:eastAsia="黑体" w:cs="楷体" w:ascii="SimHei" w:hAnsi="SimHei"/>
          <w:color w:val="000000"/>
          <w:sz w:val="24"/>
          <w:szCs w:val="21"/>
        </w:rPr>
        <w:t>)</w:t>
      </w:r>
      <w:r>
        <w:rPr>
          <w:rFonts w:ascii="SimHei" w:hAnsi="SimHei" w:cs="楷体" w:eastAsia="黑体"/>
          <w:color w:val="000000"/>
          <w:sz w:val="24"/>
          <w:szCs w:val="21"/>
        </w:rPr>
        <w:t>每月计价工资不封顶，允许员工工资高于支行行长工资。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三、计价标准的确定</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w:t>
      </w:r>
      <w:r>
        <w:rPr>
          <w:rFonts w:eastAsia="黑体" w:cs="楷体" w:ascii="SimHei" w:hAnsi="SimHei"/>
          <w:color w:val="000000"/>
          <w:sz w:val="24"/>
          <w:szCs w:val="21"/>
        </w:rPr>
        <w:t>)</w:t>
      </w:r>
      <w:r>
        <w:rPr>
          <w:rFonts w:ascii="SimHei" w:hAnsi="SimHei" w:cs="楷体" w:eastAsia="黑体"/>
          <w:color w:val="000000"/>
          <w:sz w:val="24"/>
          <w:szCs w:val="21"/>
        </w:rPr>
        <w:t>存款计价标准。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、存量存款。核定方法：以总行确定各支行存量存款基数为准。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存量存款日万元计价标准。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1</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2</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2.5</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3</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4</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4.5</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7</w:t>
      </w:r>
      <w:r>
        <w:rPr>
          <w:rFonts w:ascii="SimHei" w:hAnsi="SimHei" w:cs="楷体" w:eastAsia="黑体"/>
          <w:color w:val="000000"/>
          <w:sz w:val="24"/>
          <w:szCs w:val="21"/>
        </w:rPr>
        <w:t>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、增量存款。核定方法：增量存款</w:t>
      </w:r>
      <w:r>
        <w:rPr>
          <w:rFonts w:eastAsia="黑体" w:cs="楷体" w:ascii="SimHei" w:hAnsi="SimHei"/>
          <w:color w:val="000000"/>
          <w:sz w:val="24"/>
          <w:szCs w:val="21"/>
        </w:rPr>
        <w:t>=</w:t>
      </w:r>
      <w:r>
        <w:rPr>
          <w:rFonts w:ascii="SimHei" w:hAnsi="SimHei" w:cs="楷体" w:eastAsia="黑体"/>
          <w:color w:val="000000"/>
          <w:sz w:val="24"/>
          <w:szCs w:val="21"/>
        </w:rPr>
        <w:t>考核期存款日积数和</w:t>
      </w:r>
      <w:r>
        <w:rPr>
          <w:rFonts w:eastAsia="黑体" w:cs="楷体" w:ascii="SimHei" w:hAnsi="SimHei"/>
          <w:color w:val="000000"/>
          <w:sz w:val="24"/>
          <w:szCs w:val="21"/>
        </w:rPr>
        <w:t>÷</w:t>
      </w:r>
      <w:r>
        <w:rPr>
          <w:rFonts w:ascii="SimHei" w:hAnsi="SimHei" w:cs="楷体" w:eastAsia="黑体"/>
          <w:color w:val="000000"/>
          <w:sz w:val="24"/>
          <w:szCs w:val="21"/>
        </w:rPr>
        <w:t>考核期天数</w:t>
      </w:r>
      <w:r>
        <w:rPr>
          <w:rFonts w:eastAsia="黑体" w:cs="楷体" w:ascii="SimHei" w:hAnsi="SimHei"/>
          <w:color w:val="000000"/>
          <w:sz w:val="24"/>
          <w:szCs w:val="21"/>
        </w:rPr>
        <w:t>-</w:t>
      </w:r>
      <w:r>
        <w:rPr>
          <w:rFonts w:ascii="SimHei" w:hAnsi="SimHei" w:cs="楷体" w:eastAsia="黑体"/>
          <w:color w:val="000000"/>
          <w:sz w:val="24"/>
          <w:szCs w:val="21"/>
        </w:rPr>
        <w:t>存量存款。</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增量存款日万元计价标准。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6</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7</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8</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10</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15</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18</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20</w:t>
      </w:r>
      <w:r>
        <w:rPr>
          <w:rFonts w:ascii="SimHei" w:hAnsi="SimHei" w:cs="楷体" w:eastAsia="黑体"/>
          <w:color w:val="000000"/>
          <w:sz w:val="24"/>
          <w:szCs w:val="21"/>
        </w:rPr>
        <w:t>分；</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22</w:t>
      </w:r>
      <w:r>
        <w:rPr>
          <w:rFonts w:ascii="SimHei" w:hAnsi="SimHei" w:cs="楷体" w:eastAsia="黑体"/>
          <w:color w:val="000000"/>
          <w:sz w:val="24"/>
          <w:szCs w:val="21"/>
        </w:rPr>
        <w:t>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二</w:t>
      </w:r>
      <w:r>
        <w:rPr>
          <w:rFonts w:eastAsia="黑体" w:cs="楷体" w:ascii="SimHei" w:hAnsi="SimHei"/>
          <w:color w:val="000000"/>
          <w:sz w:val="24"/>
          <w:szCs w:val="21"/>
        </w:rPr>
        <w:t>)</w:t>
      </w:r>
      <w:r>
        <w:rPr>
          <w:rFonts w:ascii="SimHei" w:hAnsi="SimHei" w:cs="楷体" w:eastAsia="黑体"/>
          <w:color w:val="000000"/>
          <w:sz w:val="24"/>
          <w:szCs w:val="21"/>
        </w:rPr>
        <w:t>贷款标准。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收息计价原则：一是增量贷款计价标准高于存量贷款计价标准；二是自营贷款计价标准高于担保公司贷款、按揭贷款、牵头行银团贷款、股权质押贷款、贴现等平台贷款计价标准。平台贷款的计价按不同贷款品种营销难易程度分类别计价，以贷款户头为基数计付工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、存量贷款计价标准。存量贷款以总行确定的清单为基准考核。</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平台类贷款</w:t>
      </w:r>
      <w:r>
        <w:rPr>
          <w:rFonts w:eastAsia="黑体" w:cs="楷体" w:ascii="SimHei" w:hAnsi="SimHei"/>
          <w:color w:val="000000"/>
          <w:sz w:val="24"/>
          <w:szCs w:val="21"/>
        </w:rPr>
        <w:t>(</w:t>
      </w:r>
      <w:r>
        <w:rPr>
          <w:rFonts w:ascii="SimHei" w:hAnsi="SimHei" w:cs="楷体" w:eastAsia="黑体"/>
          <w:color w:val="000000"/>
          <w:sz w:val="24"/>
          <w:szCs w:val="21"/>
        </w:rPr>
        <w:t>成员行银团、担保公司、按揭、股权保证</w:t>
      </w:r>
      <w:r>
        <w:rPr>
          <w:rFonts w:eastAsia="黑体" w:cs="楷体" w:ascii="SimHei" w:hAnsi="SimHei"/>
          <w:color w:val="000000"/>
          <w:sz w:val="24"/>
          <w:szCs w:val="21"/>
        </w:rPr>
        <w:t>)</w:t>
      </w:r>
      <w:r>
        <w:rPr>
          <w:rFonts w:ascii="SimHei" w:hAnsi="SimHei" w:cs="楷体" w:eastAsia="黑体"/>
          <w:color w:val="000000"/>
          <w:sz w:val="24"/>
          <w:szCs w:val="21"/>
        </w:rPr>
        <w:t>：单户每月</w:t>
      </w:r>
      <w:r>
        <w:rPr>
          <w:rFonts w:eastAsia="黑体" w:cs="楷体" w:ascii="SimHei" w:hAnsi="SimHei"/>
          <w:color w:val="000000"/>
          <w:sz w:val="24"/>
          <w:szCs w:val="21"/>
        </w:rPr>
        <w:t>5</w:t>
      </w:r>
      <w:r>
        <w:rPr>
          <w:rFonts w:ascii="SimHei" w:hAnsi="SimHei" w:cs="楷体" w:eastAsia="黑体"/>
          <w:color w:val="000000"/>
          <w:sz w:val="24"/>
          <w:szCs w:val="21"/>
        </w:rPr>
        <w:t>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自营类贷款</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农村支行：单户</w:t>
      </w:r>
      <w:r>
        <w:rPr>
          <w:rFonts w:eastAsia="黑体" w:cs="楷体" w:ascii="SimHei" w:hAnsi="SimHei"/>
          <w:color w:val="000000"/>
          <w:sz w:val="24"/>
          <w:szCs w:val="21"/>
        </w:rPr>
        <w:t>10</w:t>
      </w:r>
      <w:r>
        <w:rPr>
          <w:rFonts w:ascii="SimHei" w:hAnsi="SimHei" w:cs="楷体" w:eastAsia="黑体"/>
          <w:color w:val="000000"/>
          <w:sz w:val="24"/>
          <w:szCs w:val="21"/>
        </w:rPr>
        <w:t>万元以下的每月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10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100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500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元。单户多笔的按总额计算。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扁平化支行：单户</w:t>
      </w:r>
      <w:r>
        <w:rPr>
          <w:rFonts w:eastAsia="黑体" w:cs="楷体" w:ascii="SimHei" w:hAnsi="SimHei"/>
          <w:color w:val="000000"/>
          <w:sz w:val="24"/>
          <w:szCs w:val="21"/>
        </w:rPr>
        <w:t>10</w:t>
      </w:r>
      <w:r>
        <w:rPr>
          <w:rFonts w:ascii="SimHei" w:hAnsi="SimHei" w:cs="楷体" w:eastAsia="黑体"/>
          <w:color w:val="000000"/>
          <w:sz w:val="24"/>
          <w:szCs w:val="21"/>
        </w:rPr>
        <w:t>万元以下的每月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10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100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w:t>
      </w:r>
      <w:r>
        <w:rPr>
          <w:rFonts w:eastAsia="黑体" w:cs="楷体" w:ascii="SimHei" w:hAnsi="SimHei"/>
          <w:color w:val="000000"/>
          <w:sz w:val="24"/>
          <w:szCs w:val="21"/>
        </w:rPr>
        <w:t>500</w:t>
      </w:r>
      <w:r>
        <w:rPr>
          <w:rFonts w:ascii="SimHei" w:hAnsi="SimHei" w:cs="楷体" w:eastAsia="黑体"/>
          <w:color w:val="000000"/>
          <w:sz w:val="24"/>
          <w:szCs w:val="21"/>
        </w:rPr>
        <w:t>万元以上</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的每月</w:t>
      </w:r>
      <w:r>
        <w:rPr>
          <w:rFonts w:eastAsia="黑体" w:cs="楷体" w:ascii="SimHei" w:hAnsi="SimHei"/>
          <w:color w:val="000000"/>
          <w:sz w:val="24"/>
          <w:szCs w:val="21"/>
        </w:rPr>
        <w:t>XX</w:t>
      </w:r>
      <w:r>
        <w:rPr>
          <w:rFonts w:ascii="SimHei" w:hAnsi="SimHei" w:cs="楷体" w:eastAsia="黑体"/>
          <w:color w:val="000000"/>
          <w:sz w:val="24"/>
          <w:szCs w:val="21"/>
        </w:rPr>
        <w:t>元。单户多笔的按总额计算。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、增量贷款利息计价标准。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增量贷款核算标准如下：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增量的计价基数：总行以各支行</w:t>
      </w:r>
      <w:r>
        <w:rPr>
          <w:rFonts w:eastAsia="黑体" w:cs="楷体" w:ascii="SimHei" w:hAnsi="SimHei"/>
          <w:color w:val="000000"/>
          <w:sz w:val="24"/>
          <w:szCs w:val="21"/>
        </w:rPr>
        <w:t>2013</w:t>
      </w:r>
      <w:r>
        <w:rPr>
          <w:rFonts w:ascii="SimHei" w:hAnsi="SimHei" w:cs="楷体" w:eastAsia="黑体"/>
          <w:color w:val="000000"/>
          <w:sz w:val="24"/>
          <w:szCs w:val="21"/>
        </w:rPr>
        <w:t>年</w:t>
      </w:r>
      <w:r>
        <w:rPr>
          <w:rFonts w:eastAsia="黑体" w:cs="楷体" w:ascii="SimHei" w:hAnsi="SimHei"/>
          <w:color w:val="000000"/>
          <w:sz w:val="24"/>
          <w:szCs w:val="21"/>
        </w:rPr>
        <w:t>12</w:t>
      </w:r>
      <w:r>
        <w:rPr>
          <w:rFonts w:ascii="SimHei" w:hAnsi="SimHei" w:cs="楷体" w:eastAsia="黑体"/>
          <w:color w:val="000000"/>
          <w:sz w:val="24"/>
          <w:szCs w:val="21"/>
        </w:rPr>
        <w:t>月末应收应计利息收入额度为基数，在此基础上的增加额为增量计价考核数；</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计价标准。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乡</w:t>
      </w:r>
      <w:r>
        <w:rPr>
          <w:rFonts w:eastAsia="黑体" w:cs="楷体" w:ascii="SimHei" w:hAnsi="SimHei"/>
          <w:color w:val="000000"/>
          <w:sz w:val="24"/>
          <w:szCs w:val="21"/>
        </w:rPr>
        <w:t>(</w:t>
      </w:r>
      <w:r>
        <w:rPr>
          <w:rFonts w:ascii="SimHei" w:hAnsi="SimHei" w:cs="楷体" w:eastAsia="黑体"/>
          <w:color w:val="000000"/>
          <w:sz w:val="24"/>
          <w:szCs w:val="21"/>
        </w:rPr>
        <w:t>镇</w:t>
      </w:r>
      <w:r>
        <w:rPr>
          <w:rFonts w:eastAsia="黑体" w:cs="楷体" w:ascii="SimHei" w:hAnsi="SimHei"/>
          <w:color w:val="000000"/>
          <w:sz w:val="24"/>
          <w:szCs w:val="21"/>
        </w:rPr>
        <w:t>)</w:t>
      </w:r>
      <w:r>
        <w:rPr>
          <w:rFonts w:ascii="SimHei" w:hAnsi="SimHei" w:cs="楷体" w:eastAsia="黑体"/>
          <w:color w:val="000000"/>
          <w:sz w:val="24"/>
          <w:szCs w:val="21"/>
        </w:rPr>
        <w:t>支行计价标准。增量贷款利息均按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扁平化支行计价标准。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XX</w:t>
      </w:r>
      <w:r>
        <w:rPr>
          <w:rFonts w:ascii="SimHei" w:hAnsi="SimHei" w:cs="楷体" w:eastAsia="黑体"/>
          <w:color w:val="000000"/>
          <w:sz w:val="24"/>
          <w:szCs w:val="21"/>
        </w:rPr>
        <w:t>支行</w:t>
      </w:r>
      <w:r>
        <w:rPr>
          <w:rFonts w:eastAsia="黑体" w:cs="楷体" w:ascii="SimHei" w:hAnsi="SimHei"/>
          <w:color w:val="000000"/>
          <w:sz w:val="24"/>
          <w:szCs w:val="21"/>
        </w:rPr>
        <w:t>:</w:t>
      </w:r>
      <w:r>
        <w:rPr>
          <w:rFonts w:ascii="SimHei" w:hAnsi="SimHei" w:cs="楷体" w:eastAsia="黑体"/>
          <w:color w:val="000000"/>
          <w:sz w:val="24"/>
          <w:szCs w:val="21"/>
        </w:rPr>
        <w:t>自营类贷款利息按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万元计价；担保公司类贷款和贴现利息按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万元计价、按揭贷款利息按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万元计价，成员行社银团贷款、股权质押贷款按存量计价标准计价。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XX</w:t>
      </w:r>
      <w:r>
        <w:rPr>
          <w:rFonts w:ascii="SimHei" w:hAnsi="SimHei" w:cs="楷体" w:eastAsia="黑体"/>
          <w:color w:val="000000"/>
          <w:sz w:val="24"/>
          <w:szCs w:val="21"/>
        </w:rPr>
        <w:t>支行：自营类贷款利息按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万元计价；担保公司类贷款和贴现利息按</w:t>
      </w:r>
      <w:r>
        <w:rPr>
          <w:rFonts w:eastAsia="黑体" w:cs="楷体" w:ascii="SimHei" w:hAnsi="SimHei"/>
          <w:color w:val="000000"/>
          <w:sz w:val="24"/>
          <w:szCs w:val="21"/>
        </w:rPr>
        <w:t>350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万元计价、按揭贷款利息按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万元计价，成员行社银团贷款、股权质押贷款按存量计价标准计价。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XX</w:t>
      </w:r>
      <w:r>
        <w:rPr>
          <w:rFonts w:ascii="SimHei" w:hAnsi="SimHei" w:cs="楷体" w:eastAsia="黑体"/>
          <w:color w:val="000000"/>
          <w:sz w:val="24"/>
          <w:szCs w:val="21"/>
        </w:rPr>
        <w:t>支行：自营类贷款利息按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万元计价；担保公司类贷款和贴现利息按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万元计价、按揭贷款利息按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万元计价，成员行银团贷款、股权质押贷款按存量计价标准计价。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推介贷款计价及分配。实行全员推介贷款，对跨行成功推介的贷款，贷款利息收入计价以承贷行增量贷款利息收入的标准计价，只计算一次工资，但贷款任务推介支行和承贷支行双向计算，计价工资按责任人、贷后管理人员、业务操作员</w:t>
      </w:r>
      <w:r>
        <w:rPr>
          <w:rFonts w:eastAsia="黑体" w:cs="楷体" w:ascii="SimHei" w:hAnsi="SimHei"/>
          <w:color w:val="000000"/>
          <w:sz w:val="24"/>
          <w:szCs w:val="21"/>
        </w:rPr>
        <w:t>7:2:1</w:t>
      </w:r>
      <w:r>
        <w:rPr>
          <w:rFonts w:ascii="SimHei" w:hAnsi="SimHei" w:cs="楷体" w:eastAsia="黑体"/>
          <w:color w:val="000000"/>
          <w:sz w:val="24"/>
          <w:szCs w:val="21"/>
        </w:rPr>
        <w:t>的比例分配。</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存量贷款中当年到期或提前偿还贷款继续投放总行未认定为增量贷款的按存量计价标准每月增加</w:t>
      </w:r>
      <w:r>
        <w:rPr>
          <w:rFonts w:eastAsia="黑体" w:cs="楷体" w:ascii="SimHei" w:hAnsi="SimHei"/>
          <w:color w:val="000000"/>
          <w:sz w:val="24"/>
          <w:szCs w:val="21"/>
        </w:rPr>
        <w:t>XX</w:t>
      </w:r>
      <w:r>
        <w:rPr>
          <w:rFonts w:ascii="SimHei" w:hAnsi="SimHei" w:cs="楷体" w:eastAsia="黑体"/>
          <w:color w:val="000000"/>
          <w:sz w:val="24"/>
          <w:szCs w:val="21"/>
        </w:rPr>
        <w:t>元。</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三</w:t>
      </w:r>
      <w:r>
        <w:rPr>
          <w:rFonts w:eastAsia="黑体" w:cs="楷体" w:ascii="SimHei" w:hAnsi="SimHei"/>
          <w:color w:val="000000"/>
          <w:sz w:val="24"/>
          <w:szCs w:val="21"/>
        </w:rPr>
        <w:t>)</w:t>
      </w:r>
      <w:r>
        <w:rPr>
          <w:rFonts w:ascii="SimHei" w:hAnsi="SimHei" w:cs="楷体" w:eastAsia="黑体"/>
          <w:color w:val="000000"/>
          <w:sz w:val="24"/>
          <w:szCs w:val="21"/>
        </w:rPr>
        <w:t>表内外不良贷款清收计酬按风险部门有关规定执行，电子银行业务计酬按电子银行部门有关规定执行。</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四</w:t>
      </w:r>
      <w:r>
        <w:rPr>
          <w:rFonts w:eastAsia="黑体" w:cs="楷体" w:ascii="SimHei" w:hAnsi="SimHei"/>
          <w:color w:val="000000"/>
          <w:sz w:val="24"/>
          <w:szCs w:val="21"/>
        </w:rPr>
        <w:t>)</w:t>
      </w:r>
      <w:r>
        <w:rPr>
          <w:rFonts w:ascii="SimHei" w:hAnsi="SimHei" w:cs="楷体" w:eastAsia="黑体"/>
          <w:color w:val="000000"/>
          <w:sz w:val="24"/>
          <w:szCs w:val="21"/>
        </w:rPr>
        <w:t>业务量计价标准。</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、计价标准。柜台业务量按</w:t>
      </w:r>
      <w:r>
        <w:rPr>
          <w:rFonts w:eastAsia="黑体" w:cs="楷体" w:ascii="SimHei" w:hAnsi="SimHei"/>
          <w:color w:val="000000"/>
          <w:sz w:val="24"/>
          <w:szCs w:val="21"/>
        </w:rPr>
        <w:t>0.X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笔计价；放贷业务量银行承兑汇票贴现</w:t>
      </w:r>
      <w:r>
        <w:rPr>
          <w:rFonts w:eastAsia="黑体" w:cs="楷体" w:ascii="SimHei" w:hAnsi="SimHei"/>
          <w:color w:val="000000"/>
          <w:sz w:val="24"/>
          <w:szCs w:val="21"/>
        </w:rPr>
        <w:t>(</w:t>
      </w:r>
      <w:r>
        <w:rPr>
          <w:rFonts w:ascii="SimHei" w:hAnsi="SimHei" w:cs="楷体" w:eastAsia="黑体"/>
          <w:color w:val="000000"/>
          <w:sz w:val="24"/>
          <w:szCs w:val="21"/>
        </w:rPr>
        <w:t>以合同文本份数统计</w:t>
      </w:r>
      <w:r>
        <w:rPr>
          <w:rFonts w:eastAsia="黑体" w:cs="楷体" w:ascii="SimHei" w:hAnsi="SimHei"/>
          <w:color w:val="000000"/>
          <w:sz w:val="24"/>
          <w:szCs w:val="21"/>
        </w:rPr>
        <w:t>)</w:t>
      </w:r>
      <w:r>
        <w:rPr>
          <w:rFonts w:ascii="SimHei" w:hAnsi="SimHei" w:cs="楷体" w:eastAsia="黑体"/>
          <w:color w:val="000000"/>
          <w:sz w:val="24"/>
          <w:szCs w:val="21"/>
        </w:rPr>
        <w:t>和按揭贷款按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户计价，其他贷款单笔</w:t>
      </w:r>
      <w:r>
        <w:rPr>
          <w:rFonts w:eastAsia="黑体" w:cs="楷体" w:ascii="SimHei" w:hAnsi="SimHei"/>
          <w:color w:val="000000"/>
          <w:sz w:val="24"/>
          <w:szCs w:val="21"/>
        </w:rPr>
        <w:t>500</w:t>
      </w:r>
      <w:r>
        <w:rPr>
          <w:rFonts w:ascii="SimHei" w:hAnsi="SimHei" w:cs="楷体" w:eastAsia="黑体"/>
          <w:color w:val="000000"/>
          <w:sz w:val="24"/>
          <w:szCs w:val="21"/>
        </w:rPr>
        <w:t>万元以内</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户计价、单笔</w:t>
      </w:r>
      <w:r>
        <w:rPr>
          <w:rFonts w:eastAsia="黑体" w:cs="楷体" w:ascii="SimHei" w:hAnsi="SimHei"/>
          <w:color w:val="000000"/>
          <w:sz w:val="24"/>
          <w:szCs w:val="21"/>
        </w:rPr>
        <w:t>500</w:t>
      </w:r>
      <w:r>
        <w:rPr>
          <w:rFonts w:ascii="SimHei" w:hAnsi="SimHei" w:cs="楷体" w:eastAsia="黑体"/>
          <w:color w:val="000000"/>
          <w:sz w:val="24"/>
          <w:szCs w:val="21"/>
        </w:rPr>
        <w:t>万元以上按</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户计价。柜台每笔业务的传票附件不统计业务量。柜台业务量由会计主管负责考核统计，财会统计部和稽核监察部每月抽查不少于</w:t>
      </w:r>
      <w:r>
        <w:rPr>
          <w:rFonts w:eastAsia="黑体" w:cs="楷体" w:ascii="SimHei" w:hAnsi="SimHei"/>
          <w:color w:val="000000"/>
          <w:sz w:val="24"/>
          <w:szCs w:val="21"/>
        </w:rPr>
        <w:t>2</w:t>
      </w:r>
      <w:r>
        <w:rPr>
          <w:rFonts w:ascii="SimHei" w:hAnsi="SimHei" w:cs="楷体" w:eastAsia="黑体"/>
          <w:color w:val="000000"/>
          <w:sz w:val="24"/>
          <w:szCs w:val="21"/>
        </w:rPr>
        <w:t>个支行。业务量计价工资按支行考核，由支行据实分配上报。</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、代收代发业务量统计原则：①对代收代发业务笔数小于</w:t>
      </w:r>
      <w:r>
        <w:rPr>
          <w:rFonts w:eastAsia="黑体" w:cs="楷体" w:ascii="SimHei" w:hAnsi="SimHei"/>
          <w:color w:val="000000"/>
          <w:sz w:val="24"/>
          <w:szCs w:val="21"/>
        </w:rPr>
        <w:t>100</w:t>
      </w:r>
      <w:r>
        <w:rPr>
          <w:rFonts w:ascii="SimHei" w:hAnsi="SimHei" w:cs="楷体" w:eastAsia="黑体"/>
          <w:color w:val="000000"/>
          <w:sz w:val="24"/>
          <w:szCs w:val="21"/>
        </w:rPr>
        <w:t>笔的，按实际笔数计价，超过</w:t>
      </w:r>
      <w:r>
        <w:rPr>
          <w:rFonts w:eastAsia="黑体" w:cs="楷体" w:ascii="SimHei" w:hAnsi="SimHei"/>
          <w:color w:val="000000"/>
          <w:sz w:val="24"/>
          <w:szCs w:val="21"/>
        </w:rPr>
        <w:t>100</w:t>
      </w:r>
      <w:r>
        <w:rPr>
          <w:rFonts w:ascii="SimHei" w:hAnsi="SimHei" w:cs="楷体" w:eastAsia="黑体"/>
          <w:color w:val="000000"/>
          <w:sz w:val="24"/>
          <w:szCs w:val="21"/>
        </w:rPr>
        <w:t>笔的，基数按</w:t>
      </w:r>
      <w:r>
        <w:rPr>
          <w:rFonts w:eastAsia="黑体" w:cs="楷体" w:ascii="SimHei" w:hAnsi="SimHei"/>
          <w:color w:val="000000"/>
          <w:sz w:val="24"/>
          <w:szCs w:val="21"/>
        </w:rPr>
        <w:t>100</w:t>
      </w:r>
      <w:r>
        <w:rPr>
          <w:rFonts w:ascii="SimHei" w:hAnsi="SimHei" w:cs="楷体" w:eastAsia="黑体"/>
          <w:color w:val="000000"/>
          <w:sz w:val="24"/>
          <w:szCs w:val="21"/>
        </w:rPr>
        <w:t>笔，每增加</w:t>
      </w:r>
      <w:r>
        <w:rPr>
          <w:rFonts w:eastAsia="黑体" w:cs="楷体" w:ascii="SimHei" w:hAnsi="SimHei"/>
          <w:color w:val="000000"/>
          <w:sz w:val="24"/>
          <w:szCs w:val="21"/>
        </w:rPr>
        <w:t>100</w:t>
      </w:r>
      <w:r>
        <w:rPr>
          <w:rFonts w:ascii="SimHei" w:hAnsi="SimHei" w:cs="楷体" w:eastAsia="黑体"/>
          <w:color w:val="000000"/>
          <w:sz w:val="24"/>
          <w:szCs w:val="21"/>
        </w:rPr>
        <w:t>笔按</w:t>
      </w:r>
      <w:r>
        <w:rPr>
          <w:rFonts w:eastAsia="黑体" w:cs="楷体" w:ascii="SimHei" w:hAnsi="SimHei"/>
          <w:color w:val="000000"/>
          <w:sz w:val="24"/>
          <w:szCs w:val="21"/>
        </w:rPr>
        <w:t>1</w:t>
      </w:r>
      <w:r>
        <w:rPr>
          <w:rFonts w:ascii="SimHei" w:hAnsi="SimHei" w:cs="楷体" w:eastAsia="黑体"/>
          <w:color w:val="000000"/>
          <w:sz w:val="24"/>
          <w:szCs w:val="21"/>
        </w:rPr>
        <w:t>笔计价；②对工作量较大的重新开户代收代发业务按实际笔数计价；③代收代发过程中，错账处理的业务按实际笔数计价。</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、自助设备管理人员计价。对安装有自助设备的支行，自助设备管理人员补助工资按每台</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月计发。设立离行式自助银行</w:t>
      </w:r>
      <w:r>
        <w:rPr>
          <w:rFonts w:eastAsia="黑体" w:cs="楷体" w:ascii="SimHei" w:hAnsi="SimHei"/>
          <w:color w:val="000000"/>
          <w:sz w:val="24"/>
          <w:szCs w:val="21"/>
        </w:rPr>
        <w:t>(</w:t>
      </w:r>
      <w:r>
        <w:rPr>
          <w:rFonts w:ascii="SimHei" w:hAnsi="SimHei" w:cs="楷体" w:eastAsia="黑体"/>
          <w:color w:val="000000"/>
          <w:sz w:val="24"/>
          <w:szCs w:val="21"/>
        </w:rPr>
        <w:t>需加钞维护的</w:t>
      </w:r>
      <w:r>
        <w:rPr>
          <w:rFonts w:eastAsia="黑体" w:cs="楷体" w:ascii="SimHei" w:hAnsi="SimHei"/>
          <w:color w:val="000000"/>
          <w:sz w:val="24"/>
          <w:szCs w:val="21"/>
        </w:rPr>
        <w:t>ATM</w:t>
      </w:r>
      <w:r>
        <w:rPr>
          <w:rFonts w:ascii="SimHei" w:hAnsi="SimHei" w:cs="楷体" w:eastAsia="黑体"/>
          <w:color w:val="000000"/>
          <w:sz w:val="24"/>
          <w:szCs w:val="21"/>
        </w:rPr>
        <w:t>、</w:t>
      </w:r>
      <w:r>
        <w:rPr>
          <w:rFonts w:eastAsia="黑体" w:cs="楷体" w:ascii="SimHei" w:hAnsi="SimHei"/>
          <w:color w:val="000000"/>
          <w:sz w:val="24"/>
          <w:szCs w:val="21"/>
        </w:rPr>
        <w:t>CRS)</w:t>
      </w:r>
      <w:r>
        <w:rPr>
          <w:rFonts w:ascii="SimHei" w:hAnsi="SimHei" w:cs="楷体" w:eastAsia="黑体"/>
          <w:color w:val="000000"/>
          <w:sz w:val="24"/>
          <w:szCs w:val="21"/>
        </w:rPr>
        <w:t>的支行每台增加</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第九条  奖励工资。省市行业管理部门计发的奖励按上级规定计发；“春天行动”按总行春天行动方案考核计发；阶段性目标任务计发的奖励按职能部门制定的阶段性目标方案计发。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第十条  会计主管工资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一、基本工资。与日常考勤等挂钩，按月由所在支行将考核情况上报财会统计部考核计发。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二、绩效工资标准。会计主管系数</w:t>
      </w:r>
      <w:r>
        <w:rPr>
          <w:rFonts w:eastAsia="黑体" w:cs="楷体" w:ascii="SimHei" w:hAnsi="SimHei"/>
          <w:color w:val="000000"/>
          <w:sz w:val="24"/>
          <w:szCs w:val="21"/>
        </w:rPr>
        <w:t>1.2</w:t>
      </w:r>
      <w:r>
        <w:rPr>
          <w:rFonts w:ascii="SimHei" w:hAnsi="SimHei" w:cs="楷体" w:eastAsia="黑体"/>
          <w:color w:val="000000"/>
          <w:sz w:val="24"/>
          <w:szCs w:val="21"/>
        </w:rPr>
        <w:t>，其中聘任为副行长</w:t>
      </w:r>
      <w:r>
        <w:rPr>
          <w:rFonts w:eastAsia="黑体" w:cs="楷体" w:ascii="SimHei" w:hAnsi="SimHei"/>
          <w:color w:val="000000"/>
          <w:sz w:val="24"/>
          <w:szCs w:val="21"/>
        </w:rPr>
        <w:t>(</w:t>
      </w:r>
      <w:r>
        <w:rPr>
          <w:rFonts w:ascii="SimHei" w:hAnsi="SimHei" w:cs="楷体" w:eastAsia="黑体"/>
          <w:color w:val="000000"/>
          <w:sz w:val="24"/>
          <w:szCs w:val="21"/>
        </w:rPr>
        <w:t>副经理</w:t>
      </w:r>
      <w:r>
        <w:rPr>
          <w:rFonts w:eastAsia="黑体" w:cs="楷体" w:ascii="SimHei" w:hAnsi="SimHei"/>
          <w:color w:val="000000"/>
          <w:sz w:val="24"/>
          <w:szCs w:val="21"/>
        </w:rPr>
        <w:t>)</w:t>
      </w:r>
      <w:r>
        <w:rPr>
          <w:rFonts w:ascii="SimHei" w:hAnsi="SimHei" w:cs="楷体" w:eastAsia="黑体"/>
          <w:color w:val="000000"/>
          <w:sz w:val="24"/>
          <w:szCs w:val="21"/>
        </w:rPr>
        <w:t>的，按所在支行副行长</w:t>
      </w:r>
      <w:r>
        <w:rPr>
          <w:rFonts w:eastAsia="黑体" w:cs="楷体" w:ascii="SimHei" w:hAnsi="SimHei"/>
          <w:color w:val="000000"/>
          <w:sz w:val="24"/>
          <w:szCs w:val="21"/>
        </w:rPr>
        <w:t>(</w:t>
      </w:r>
      <w:r>
        <w:rPr>
          <w:rFonts w:ascii="SimHei" w:hAnsi="SimHei" w:cs="楷体" w:eastAsia="黑体"/>
          <w:color w:val="000000"/>
          <w:sz w:val="24"/>
          <w:szCs w:val="21"/>
        </w:rPr>
        <w:t>副经理</w:t>
      </w:r>
      <w:r>
        <w:rPr>
          <w:rFonts w:eastAsia="黑体" w:cs="楷体" w:ascii="SimHei" w:hAnsi="SimHei"/>
          <w:color w:val="000000"/>
          <w:sz w:val="24"/>
          <w:szCs w:val="21"/>
        </w:rPr>
        <w:t>)</w:t>
      </w:r>
      <w:r>
        <w:rPr>
          <w:rFonts w:ascii="SimHei" w:hAnsi="SimHei" w:cs="楷体" w:eastAsia="黑体"/>
          <w:color w:val="000000"/>
          <w:sz w:val="24"/>
          <w:szCs w:val="21"/>
        </w:rPr>
        <w:t>系数执行。</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三、绩效工资考核。系数</w:t>
      </w:r>
      <w:r>
        <w:rPr>
          <w:rFonts w:eastAsia="黑体" w:cs="楷体" w:ascii="SimHei" w:hAnsi="SimHei"/>
          <w:color w:val="000000"/>
          <w:sz w:val="24"/>
          <w:szCs w:val="21"/>
        </w:rPr>
        <w:t>1.0</w:t>
      </w:r>
      <w:r>
        <w:rPr>
          <w:rFonts w:ascii="SimHei" w:hAnsi="SimHei" w:cs="楷体" w:eastAsia="黑体"/>
          <w:color w:val="000000"/>
          <w:sz w:val="24"/>
          <w:szCs w:val="21"/>
        </w:rPr>
        <w:t>的工资参照总行机关人员，由财会统计部、稽核监察部和业务拓展部按其岗位职责履行情况按季考核兑现</w:t>
      </w:r>
      <w:r>
        <w:rPr>
          <w:rFonts w:eastAsia="黑体" w:cs="楷体" w:ascii="SimHei" w:hAnsi="SimHei"/>
          <w:color w:val="000000"/>
          <w:sz w:val="24"/>
          <w:szCs w:val="21"/>
        </w:rPr>
        <w:t>(</w:t>
      </w:r>
      <w:r>
        <w:rPr>
          <w:rFonts w:ascii="SimHei" w:hAnsi="SimHei" w:cs="楷体" w:eastAsia="黑体"/>
          <w:color w:val="000000"/>
          <w:sz w:val="24"/>
          <w:szCs w:val="21"/>
        </w:rPr>
        <w:t>考核分值：财会统计部</w:t>
      </w:r>
      <w:r>
        <w:rPr>
          <w:rFonts w:eastAsia="黑体" w:cs="楷体" w:ascii="SimHei" w:hAnsi="SimHei"/>
          <w:color w:val="000000"/>
          <w:sz w:val="24"/>
          <w:szCs w:val="21"/>
        </w:rPr>
        <w:t>50</w:t>
      </w:r>
      <w:r>
        <w:rPr>
          <w:rFonts w:ascii="SimHei" w:hAnsi="SimHei" w:cs="楷体" w:eastAsia="黑体"/>
          <w:color w:val="000000"/>
          <w:sz w:val="24"/>
          <w:szCs w:val="21"/>
        </w:rPr>
        <w:t>分、稽核监察部</w:t>
      </w:r>
      <w:r>
        <w:rPr>
          <w:rFonts w:eastAsia="黑体" w:cs="楷体" w:ascii="SimHei" w:hAnsi="SimHei"/>
          <w:color w:val="000000"/>
          <w:sz w:val="24"/>
          <w:szCs w:val="21"/>
        </w:rPr>
        <w:t>30</w:t>
      </w:r>
      <w:r>
        <w:rPr>
          <w:rFonts w:ascii="SimHei" w:hAnsi="SimHei" w:cs="楷体" w:eastAsia="黑体"/>
          <w:color w:val="000000"/>
          <w:sz w:val="24"/>
          <w:szCs w:val="21"/>
        </w:rPr>
        <w:t>分、业务拓展部</w:t>
      </w:r>
      <w:r>
        <w:rPr>
          <w:rFonts w:eastAsia="黑体" w:cs="楷体" w:ascii="SimHei" w:hAnsi="SimHei"/>
          <w:color w:val="000000"/>
          <w:sz w:val="24"/>
          <w:szCs w:val="21"/>
        </w:rPr>
        <w:t>10</w:t>
      </w:r>
      <w:r>
        <w:rPr>
          <w:rFonts w:ascii="SimHei" w:hAnsi="SimHei" w:cs="楷体" w:eastAsia="黑体"/>
          <w:color w:val="000000"/>
          <w:sz w:val="24"/>
          <w:szCs w:val="21"/>
        </w:rPr>
        <w:t>分、风险合规部</w:t>
      </w:r>
      <w:r>
        <w:rPr>
          <w:rFonts w:eastAsia="黑体" w:cs="楷体" w:ascii="SimHei" w:hAnsi="SimHei"/>
          <w:color w:val="000000"/>
          <w:sz w:val="24"/>
          <w:szCs w:val="21"/>
        </w:rPr>
        <w:t>10</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。得分</w:t>
      </w:r>
      <w:r>
        <w:rPr>
          <w:rFonts w:eastAsia="黑体" w:cs="楷体" w:ascii="SimHei" w:hAnsi="SimHei"/>
          <w:color w:val="000000"/>
          <w:sz w:val="24"/>
          <w:szCs w:val="21"/>
        </w:rPr>
        <w:t>95</w:t>
      </w:r>
      <w:r>
        <w:rPr>
          <w:rFonts w:ascii="SimHei" w:hAnsi="SimHei" w:cs="楷体" w:eastAsia="黑体"/>
          <w:color w:val="000000"/>
          <w:sz w:val="24"/>
          <w:szCs w:val="21"/>
        </w:rPr>
        <w:t>分</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w:t>
      </w:r>
      <w:r>
        <w:rPr>
          <w:rFonts w:ascii="SimHei" w:hAnsi="SimHei" w:cs="楷体" w:eastAsia="黑体"/>
          <w:color w:val="000000"/>
          <w:sz w:val="24"/>
          <w:szCs w:val="21"/>
        </w:rPr>
        <w:t>以上的，按满分考核，</w:t>
      </w:r>
      <w:r>
        <w:rPr>
          <w:rFonts w:eastAsia="黑体" w:cs="楷体" w:ascii="SimHei" w:hAnsi="SimHei"/>
          <w:color w:val="000000"/>
          <w:sz w:val="24"/>
          <w:szCs w:val="21"/>
        </w:rPr>
        <w:t>95</w:t>
      </w:r>
      <w:r>
        <w:rPr>
          <w:rFonts w:ascii="SimHei" w:hAnsi="SimHei" w:cs="楷体" w:eastAsia="黑体"/>
          <w:color w:val="000000"/>
          <w:sz w:val="24"/>
          <w:szCs w:val="21"/>
        </w:rPr>
        <w:t>分以下的按实际得分考核。超过</w:t>
      </w:r>
      <w:r>
        <w:rPr>
          <w:rFonts w:eastAsia="黑体" w:cs="楷体" w:ascii="SimHei" w:hAnsi="SimHei"/>
          <w:color w:val="000000"/>
          <w:sz w:val="24"/>
          <w:szCs w:val="21"/>
        </w:rPr>
        <w:t>1.0</w:t>
      </w:r>
      <w:r>
        <w:rPr>
          <w:rFonts w:ascii="SimHei" w:hAnsi="SimHei" w:cs="楷体" w:eastAsia="黑体"/>
          <w:color w:val="000000"/>
          <w:sz w:val="24"/>
          <w:szCs w:val="21"/>
        </w:rPr>
        <w:t>的系数工资，按季参照支行定性定量考核得分考核到支行，再由各支行根据本支行方案考核到人，年终总清算。</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四、各支行应分配会计主管存款任务，任务数不能低于总行相应职级人员，任务内存款不得计价。</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第十一条  信贷主管工资。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扁平化支行</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月，其他支行</w:t>
      </w:r>
      <w:r>
        <w:rPr>
          <w:rFonts w:eastAsia="黑体" w:cs="楷体" w:ascii="SimHei" w:hAnsi="SimHei"/>
          <w:color w:val="000000"/>
          <w:sz w:val="24"/>
          <w:szCs w:val="21"/>
        </w:rPr>
        <w:t>XX</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月作为信贷主管岗位工资，按季由信贷管理部按其工作情况考核兑现。</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第十二条  人员调整后计价工资分配</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一、贷款计价工资。因工作调动的人员，其营销的存量正常贷款日常贷后管理工作原则上应移交给承贷支行现客户经理。该部分贷款利息以承贷支行计价标准计价，按原贷款责任人</w:t>
      </w:r>
      <w:r>
        <w:rPr>
          <w:rFonts w:eastAsia="黑体" w:cs="楷体" w:ascii="SimHei" w:hAnsi="SimHei"/>
          <w:color w:val="000000"/>
          <w:sz w:val="24"/>
          <w:szCs w:val="21"/>
        </w:rPr>
        <w:t>70%</w:t>
      </w:r>
      <w:r>
        <w:rPr>
          <w:rFonts w:ascii="SimHei" w:hAnsi="SimHei" w:cs="楷体" w:eastAsia="黑体"/>
          <w:color w:val="000000"/>
          <w:sz w:val="24"/>
          <w:szCs w:val="21"/>
        </w:rPr>
        <w:t>、承贷支行</w:t>
      </w:r>
      <w:r>
        <w:rPr>
          <w:rFonts w:eastAsia="黑体" w:cs="楷体" w:ascii="SimHei" w:hAnsi="SimHei"/>
          <w:color w:val="000000"/>
          <w:sz w:val="24"/>
          <w:szCs w:val="21"/>
        </w:rPr>
        <w:t>30%</w:t>
      </w:r>
      <w:r>
        <w:rPr>
          <w:rFonts w:ascii="SimHei" w:hAnsi="SimHei" w:cs="楷体" w:eastAsia="黑体"/>
          <w:color w:val="000000"/>
          <w:sz w:val="24"/>
          <w:szCs w:val="21"/>
        </w:rPr>
        <w:t>的比例分配，原责任人负责该笔贷款的收回，原责任人调到总行的负责到期清收，但不参与计价。承贷支行现贷后管理人员负责该笔贷款移交后的日常贷后管理工作</w:t>
      </w:r>
      <w:r>
        <w:rPr>
          <w:rFonts w:eastAsia="黑体" w:cs="楷体" w:ascii="SimHei" w:hAnsi="SimHei"/>
          <w:color w:val="000000"/>
          <w:sz w:val="24"/>
          <w:szCs w:val="21"/>
        </w:rPr>
        <w:t>(</w:t>
      </w:r>
      <w:r>
        <w:rPr>
          <w:rFonts w:ascii="SimHei" w:hAnsi="SimHei" w:cs="楷体" w:eastAsia="黑体"/>
          <w:color w:val="000000"/>
          <w:sz w:val="24"/>
          <w:szCs w:val="21"/>
        </w:rPr>
        <w:t>含按期结息督促到位</w:t>
      </w:r>
      <w:r>
        <w:rPr>
          <w:rFonts w:eastAsia="黑体" w:cs="楷体" w:ascii="SimHei" w:hAnsi="SimHei"/>
          <w:color w:val="000000"/>
          <w:sz w:val="24"/>
          <w:szCs w:val="21"/>
        </w:rPr>
        <w:t>)</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二、存款计价工资。因工作调动的人员，其个人揽存的存款，按存款存入支行计价标准由该支行考核计发。</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 xml:space="preserve">第十三条   </w:t>
      </w:r>
      <w:r>
        <w:rPr>
          <w:rFonts w:ascii="SimHei" w:hAnsi="SimHei" w:cs="楷体" w:eastAsia="黑体"/>
          <w:color w:val="000000"/>
          <w:sz w:val="24"/>
          <w:szCs w:val="21"/>
        </w:rPr>
        <w:t>总行机关人员严禁在基层支行直接或间接获取绩效工资。一经查实的，全额扣回所得绩效工资，并对相关责任人给予纪律处分。总行或上级管理部门借用人员，借用期间工资由总行计发。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bCs/>
          <w:color w:val="000000"/>
          <w:sz w:val="24"/>
          <w:szCs w:val="21"/>
        </w:rPr>
        <w:t>第十四条  受处分、处理人员工资。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一、下岗</w:t>
      </w:r>
      <w:r>
        <w:rPr>
          <w:rFonts w:eastAsia="黑体" w:cs="楷体" w:ascii="SimHei" w:hAnsi="SimHei"/>
          <w:color w:val="000000"/>
          <w:sz w:val="24"/>
          <w:szCs w:val="21"/>
        </w:rPr>
        <w:t>(</w:t>
      </w:r>
      <w:r>
        <w:rPr>
          <w:rFonts w:ascii="SimHei" w:hAnsi="SimHei" w:cs="楷体" w:eastAsia="黑体"/>
          <w:color w:val="000000"/>
          <w:sz w:val="24"/>
          <w:szCs w:val="21"/>
        </w:rPr>
        <w:t>离岗</w:t>
      </w:r>
      <w:r>
        <w:rPr>
          <w:rFonts w:eastAsia="黑体" w:cs="楷体" w:ascii="SimHei" w:hAnsi="SimHei"/>
          <w:color w:val="000000"/>
          <w:sz w:val="24"/>
          <w:szCs w:val="21"/>
        </w:rPr>
        <w:t>)</w:t>
      </w:r>
      <w:r>
        <w:rPr>
          <w:rFonts w:ascii="SimHei" w:hAnsi="SimHei" w:cs="楷体" w:eastAsia="黑体"/>
          <w:color w:val="000000"/>
          <w:sz w:val="24"/>
          <w:szCs w:val="21"/>
        </w:rPr>
        <w:t>、待岗人员。下岗</w:t>
      </w:r>
      <w:r>
        <w:rPr>
          <w:rFonts w:eastAsia="黑体" w:cs="楷体" w:ascii="SimHei" w:hAnsi="SimHei"/>
          <w:color w:val="000000"/>
          <w:sz w:val="24"/>
          <w:szCs w:val="21"/>
        </w:rPr>
        <w:t>(</w:t>
      </w:r>
      <w:r>
        <w:rPr>
          <w:rFonts w:ascii="SimHei" w:hAnsi="SimHei" w:cs="楷体" w:eastAsia="黑体"/>
          <w:color w:val="000000"/>
          <w:sz w:val="24"/>
          <w:szCs w:val="21"/>
        </w:rPr>
        <w:t>离岗</w:t>
      </w:r>
      <w:r>
        <w:rPr>
          <w:rFonts w:eastAsia="黑体" w:cs="楷体" w:ascii="SimHei" w:hAnsi="SimHei"/>
          <w:color w:val="000000"/>
          <w:sz w:val="24"/>
          <w:szCs w:val="21"/>
        </w:rPr>
        <w:t>)</w:t>
      </w:r>
      <w:r>
        <w:rPr>
          <w:rFonts w:ascii="SimHei" w:hAnsi="SimHei" w:cs="楷体" w:eastAsia="黑体"/>
          <w:color w:val="000000"/>
          <w:sz w:val="24"/>
          <w:szCs w:val="21"/>
        </w:rPr>
        <w:t>、待岗期间只发最低工资</w:t>
      </w:r>
      <w:r>
        <w:rPr>
          <w:rFonts w:eastAsia="黑体" w:cs="楷体" w:ascii="SimHei" w:hAnsi="SimHei"/>
          <w:color w:val="000000"/>
          <w:sz w:val="24"/>
          <w:szCs w:val="21"/>
        </w:rPr>
        <w:t>(</w:t>
      </w:r>
      <w:r>
        <w:rPr>
          <w:rFonts w:ascii="SimHei" w:hAnsi="SimHei" w:cs="楷体" w:eastAsia="黑体"/>
          <w:color w:val="000000"/>
          <w:sz w:val="24"/>
          <w:szCs w:val="21"/>
        </w:rPr>
        <w:t>崇阳县劳动者最低工资标准，下同</w:t>
      </w:r>
      <w:r>
        <w:rPr>
          <w:rFonts w:eastAsia="黑体" w:cs="楷体" w:ascii="SimHei" w:hAnsi="SimHei"/>
          <w:color w:val="000000"/>
          <w:sz w:val="24"/>
          <w:szCs w:val="21"/>
        </w:rPr>
        <w:t>)</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二、撤职或降级人员。从撤职或降级次月起，执行新职级工资标准；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三、受记过、记大过处分的人员，从受处分的次月起，在处分期内按职级工资的</w:t>
      </w:r>
      <w:r>
        <w:rPr>
          <w:rFonts w:eastAsia="黑体" w:cs="楷体" w:ascii="SimHei" w:hAnsi="SimHei"/>
          <w:color w:val="000000"/>
          <w:sz w:val="24"/>
          <w:szCs w:val="21"/>
        </w:rPr>
        <w:t>50%</w:t>
      </w:r>
      <w:r>
        <w:rPr>
          <w:rFonts w:ascii="SimHei" w:hAnsi="SimHei" w:cs="楷体" w:eastAsia="黑体"/>
          <w:color w:val="000000"/>
          <w:sz w:val="24"/>
          <w:szCs w:val="21"/>
        </w:rPr>
        <w:t>考核发放，开除留用人员只发最低工资；</w:t>
      </w:r>
    </w:p>
    <w:p>
      <w:pPr>
        <w:pStyle w:val="Normal"/>
        <w:tabs>
          <w:tab w:val="clear" w:pos="420"/>
          <w:tab w:val="left" w:pos="1260" w:leader="none"/>
        </w:tabs>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四、被司法机关收容审查尚未作出结论的，收审期间停发工资。审查结束，没有问题的补发相应工资；有问题给予处分、处理的，按相应处分、处理类别计发工资。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bCs/>
          <w:color w:val="000000"/>
          <w:sz w:val="24"/>
          <w:szCs w:val="21"/>
        </w:rPr>
        <w:t>第十五条  内退、劳务派遣人员工资。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内退、劳务派遣人员工资由人事部门根据省行管理规定计发。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第十六条  </w:t>
      </w:r>
      <w:r>
        <w:rPr>
          <w:rFonts w:ascii="SimHei" w:hAnsi="SimHei" w:cs="楷体" w:eastAsia="黑体"/>
          <w:bCs/>
          <w:color w:val="000000"/>
          <w:sz w:val="24"/>
          <w:szCs w:val="21"/>
        </w:rPr>
        <w:t>病、事假期间工资。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一、病假在三个月以内的，病假期间基本工资全额计发，按病假实有天数扣减职级工资</w:t>
      </w:r>
      <w:r>
        <w:rPr>
          <w:rFonts w:eastAsia="黑体" w:cs="楷体" w:ascii="SimHei" w:hAnsi="SimHei"/>
          <w:color w:val="000000"/>
          <w:sz w:val="24"/>
          <w:szCs w:val="21"/>
        </w:rPr>
        <w:t>(</w:t>
      </w:r>
      <w:r>
        <w:rPr>
          <w:rFonts w:ascii="SimHei" w:hAnsi="SimHei" w:cs="楷体" w:eastAsia="黑体"/>
          <w:color w:val="000000"/>
          <w:sz w:val="24"/>
          <w:szCs w:val="21"/>
        </w:rPr>
        <w:t>应扣工资</w:t>
      </w:r>
      <w:r>
        <w:rPr>
          <w:rFonts w:eastAsia="黑体" w:cs="楷体" w:ascii="SimHei" w:hAnsi="SimHei"/>
          <w:color w:val="000000"/>
          <w:sz w:val="24"/>
          <w:szCs w:val="21"/>
        </w:rPr>
        <w:t>=</w:t>
      </w:r>
      <w:r>
        <w:rPr>
          <w:rFonts w:ascii="SimHei" w:hAnsi="SimHei" w:cs="楷体" w:eastAsia="黑体"/>
          <w:color w:val="000000"/>
          <w:sz w:val="24"/>
          <w:szCs w:val="21"/>
        </w:rPr>
        <w:t>职级工资</w:t>
      </w:r>
      <w:r>
        <w:rPr>
          <w:rFonts w:eastAsia="黑体" w:cs="楷体" w:ascii="SimHei" w:hAnsi="SimHei"/>
          <w:color w:val="000000"/>
          <w:sz w:val="24"/>
          <w:szCs w:val="21"/>
        </w:rPr>
        <w:t>÷20.83</w:t>
      </w:r>
      <w:r>
        <w:rPr>
          <w:rFonts w:ascii="SimHei" w:hAnsi="SimHei" w:cs="楷体" w:eastAsia="黑体"/>
          <w:color w:val="000000"/>
          <w:sz w:val="24"/>
          <w:szCs w:val="21"/>
        </w:rPr>
        <w:t>天</w:t>
      </w:r>
      <w:r>
        <w:rPr>
          <w:rFonts w:eastAsia="黑体" w:cs="楷体" w:ascii="SimHei" w:hAnsi="SimHei"/>
          <w:color w:val="000000"/>
          <w:sz w:val="24"/>
          <w:szCs w:val="21"/>
        </w:rPr>
        <w:t>×</w:t>
      </w:r>
      <w:r>
        <w:rPr>
          <w:rFonts w:ascii="SimHei" w:hAnsi="SimHei" w:cs="楷体" w:eastAsia="黑体"/>
          <w:color w:val="000000"/>
          <w:sz w:val="24"/>
          <w:szCs w:val="21"/>
        </w:rPr>
        <w:t>病假天数</w:t>
      </w:r>
      <w:r>
        <w:rPr>
          <w:rFonts w:eastAsia="黑体" w:cs="楷体" w:ascii="SimHei" w:hAnsi="SimHei"/>
          <w:color w:val="000000"/>
          <w:sz w:val="24"/>
          <w:szCs w:val="21"/>
        </w:rPr>
        <w:t>)</w:t>
      </w:r>
      <w:r>
        <w:rPr>
          <w:rFonts w:ascii="SimHei" w:hAnsi="SimHei" w:cs="楷体" w:eastAsia="黑体"/>
          <w:color w:val="000000"/>
          <w:sz w:val="24"/>
          <w:szCs w:val="21"/>
        </w:rPr>
        <w:t>，效益工资正常计发；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二、病假超过三个月不足六个月的，病假期间基本工资全额计发，按月扣减职级工资，效益工资正常计发；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三、病假超过六个月的，从第七个月起至医疗期满，只发基本工资；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四、因工负伤，治疗期间基本工资全额计发，职级工资按本单位职级工资考核平均水平计发，效益工资正常计发；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五、请事假一个月以内的，基本工资照发，职级工资按实有事假天数扣减工资。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扣减工资</w:t>
      </w:r>
      <w:r>
        <w:rPr>
          <w:rFonts w:eastAsia="黑体" w:cs="楷体" w:ascii="SimHei" w:hAnsi="SimHei"/>
          <w:color w:val="000000"/>
          <w:sz w:val="24"/>
          <w:szCs w:val="21"/>
        </w:rPr>
        <w:t>=</w:t>
      </w:r>
      <w:r>
        <w:rPr>
          <w:rFonts w:ascii="SimHei" w:hAnsi="SimHei" w:cs="楷体" w:eastAsia="黑体"/>
          <w:color w:val="000000"/>
          <w:sz w:val="24"/>
          <w:szCs w:val="21"/>
        </w:rPr>
        <w:t>职级工资</w:t>
      </w:r>
      <w:r>
        <w:rPr>
          <w:rFonts w:eastAsia="黑体" w:cs="楷体" w:ascii="SimHei" w:hAnsi="SimHei"/>
          <w:color w:val="000000"/>
          <w:sz w:val="24"/>
          <w:szCs w:val="21"/>
        </w:rPr>
        <w:t>÷20.83</w:t>
      </w:r>
      <w:r>
        <w:rPr>
          <w:rFonts w:ascii="SimHei" w:hAnsi="SimHei" w:cs="楷体" w:eastAsia="黑体"/>
          <w:color w:val="000000"/>
          <w:sz w:val="24"/>
          <w:szCs w:val="21"/>
        </w:rPr>
        <w:t>天</w:t>
      </w:r>
      <w:r>
        <w:rPr>
          <w:rFonts w:eastAsia="黑体" w:cs="楷体" w:ascii="SimHei" w:hAnsi="SimHei"/>
          <w:color w:val="000000"/>
          <w:sz w:val="24"/>
          <w:szCs w:val="21"/>
        </w:rPr>
        <w:t>×</w:t>
      </w:r>
      <w:r>
        <w:rPr>
          <w:rFonts w:ascii="SimHei" w:hAnsi="SimHei" w:cs="楷体" w:eastAsia="黑体"/>
          <w:color w:val="000000"/>
          <w:sz w:val="24"/>
          <w:szCs w:val="21"/>
        </w:rPr>
        <w:t>事假天数；</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六、请事假超过</w:t>
      </w:r>
      <w:r>
        <w:rPr>
          <w:rFonts w:eastAsia="黑体" w:cs="楷体" w:ascii="SimHei" w:hAnsi="SimHei"/>
          <w:color w:val="000000"/>
          <w:sz w:val="24"/>
          <w:szCs w:val="21"/>
        </w:rPr>
        <w:t>1</w:t>
      </w:r>
      <w:r>
        <w:rPr>
          <w:rFonts w:ascii="SimHei" w:hAnsi="SimHei" w:cs="楷体" w:eastAsia="黑体"/>
          <w:color w:val="000000"/>
          <w:sz w:val="24"/>
          <w:szCs w:val="21"/>
        </w:rPr>
        <w:t>个月的</w:t>
      </w:r>
      <w:r>
        <w:rPr>
          <w:rFonts w:eastAsia="黑体" w:cs="楷体" w:ascii="SimHei" w:hAnsi="SimHei"/>
          <w:color w:val="000000"/>
          <w:sz w:val="24"/>
          <w:szCs w:val="21"/>
        </w:rPr>
        <w:t>(</w:t>
      </w:r>
      <w:r>
        <w:rPr>
          <w:rFonts w:ascii="SimHei" w:hAnsi="SimHei" w:cs="楷体" w:eastAsia="黑体"/>
          <w:color w:val="000000"/>
          <w:sz w:val="24"/>
          <w:szCs w:val="21"/>
        </w:rPr>
        <w:t>一个月内请假超过</w:t>
      </w:r>
      <w:r>
        <w:rPr>
          <w:rFonts w:eastAsia="黑体" w:cs="楷体" w:ascii="SimHei" w:hAnsi="SimHei"/>
          <w:color w:val="000000"/>
          <w:sz w:val="24"/>
          <w:szCs w:val="21"/>
        </w:rPr>
        <w:t>21</w:t>
      </w:r>
      <w:r>
        <w:rPr>
          <w:rFonts w:ascii="SimHei" w:hAnsi="SimHei" w:cs="楷体" w:eastAsia="黑体"/>
          <w:color w:val="000000"/>
          <w:sz w:val="24"/>
          <w:szCs w:val="21"/>
        </w:rPr>
        <w:t>天的按一个月计算</w:t>
      </w:r>
      <w:r>
        <w:rPr>
          <w:rFonts w:eastAsia="黑体" w:cs="楷体" w:ascii="SimHei" w:hAnsi="SimHei"/>
          <w:color w:val="000000"/>
          <w:sz w:val="24"/>
          <w:szCs w:val="21"/>
        </w:rPr>
        <w:t>)</w:t>
      </w:r>
      <w:r>
        <w:rPr>
          <w:rFonts w:ascii="SimHei" w:hAnsi="SimHei" w:cs="楷体" w:eastAsia="黑体"/>
          <w:color w:val="000000"/>
          <w:sz w:val="24"/>
          <w:szCs w:val="21"/>
        </w:rPr>
        <w:t>，事假期间只发最低工资</w:t>
      </w:r>
      <w:r>
        <w:rPr>
          <w:rFonts w:eastAsia="黑体" w:cs="楷体" w:ascii="SimHei" w:hAnsi="SimHei"/>
          <w:color w:val="000000"/>
          <w:sz w:val="24"/>
          <w:szCs w:val="21"/>
        </w:rPr>
        <w:t>(</w:t>
      </w:r>
      <w:r>
        <w:rPr>
          <w:rFonts w:ascii="SimHei" w:hAnsi="SimHei" w:cs="楷体" w:eastAsia="黑体"/>
          <w:color w:val="000000"/>
          <w:sz w:val="24"/>
          <w:szCs w:val="21"/>
        </w:rPr>
        <w:t>所在地劳动者最低工资标准，不包括工龄工资、学历工资、职称工资</w:t>
      </w:r>
      <w:r>
        <w:rPr>
          <w:rFonts w:eastAsia="黑体" w:cs="楷体" w:ascii="SimHei" w:hAnsi="SimHei"/>
          <w:color w:val="000000"/>
          <w:sz w:val="24"/>
          <w:szCs w:val="21"/>
        </w:rPr>
        <w:t>)</w:t>
      </w:r>
      <w:r>
        <w:rPr>
          <w:rFonts w:ascii="SimHei" w:hAnsi="SimHei" w:cs="楷体" w:eastAsia="黑体"/>
          <w:color w:val="000000"/>
          <w:sz w:val="24"/>
          <w:szCs w:val="21"/>
        </w:rPr>
        <w:t>；累计超过</w:t>
      </w:r>
      <w:r>
        <w:rPr>
          <w:rFonts w:eastAsia="黑体" w:cs="楷体" w:ascii="SimHei" w:hAnsi="SimHei"/>
          <w:color w:val="000000"/>
          <w:sz w:val="24"/>
          <w:szCs w:val="21"/>
        </w:rPr>
        <w:t>3</w:t>
      </w:r>
      <w:r>
        <w:rPr>
          <w:rFonts w:ascii="SimHei" w:hAnsi="SimHei" w:cs="楷体" w:eastAsia="黑体"/>
          <w:color w:val="000000"/>
          <w:sz w:val="24"/>
          <w:szCs w:val="21"/>
        </w:rPr>
        <w:t>个月的，不计发效益工资；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七、旷工</w:t>
      </w:r>
      <w:r>
        <w:rPr>
          <w:rFonts w:eastAsia="黑体" w:cs="楷体" w:ascii="SimHei" w:hAnsi="SimHei"/>
          <w:color w:val="000000"/>
          <w:sz w:val="24"/>
          <w:szCs w:val="21"/>
        </w:rPr>
        <w:t>3</w:t>
      </w:r>
      <w:r>
        <w:rPr>
          <w:rFonts w:ascii="SimHei" w:hAnsi="SimHei" w:cs="楷体" w:eastAsia="黑体"/>
          <w:color w:val="000000"/>
          <w:sz w:val="24"/>
          <w:szCs w:val="21"/>
        </w:rPr>
        <w:t>天以内</w:t>
      </w:r>
      <w:r>
        <w:rPr>
          <w:rFonts w:eastAsia="黑体" w:cs="楷体" w:ascii="SimHei" w:hAnsi="SimHei"/>
          <w:color w:val="000000"/>
          <w:sz w:val="24"/>
          <w:szCs w:val="21"/>
        </w:rPr>
        <w:t>(</w:t>
      </w:r>
      <w:r>
        <w:rPr>
          <w:rFonts w:ascii="SimHei" w:hAnsi="SimHei" w:cs="楷体" w:eastAsia="黑体"/>
          <w:color w:val="000000"/>
          <w:sz w:val="24"/>
          <w:szCs w:val="21"/>
        </w:rPr>
        <w:t>含</w:t>
      </w:r>
      <w:r>
        <w:rPr>
          <w:rFonts w:eastAsia="黑体" w:cs="楷体" w:ascii="SimHei" w:hAnsi="SimHei"/>
          <w:color w:val="000000"/>
          <w:sz w:val="24"/>
          <w:szCs w:val="21"/>
        </w:rPr>
        <w:t>3</w:t>
      </w:r>
      <w:r>
        <w:rPr>
          <w:rFonts w:ascii="SimHei" w:hAnsi="SimHei" w:cs="楷体" w:eastAsia="黑体"/>
          <w:color w:val="000000"/>
          <w:sz w:val="24"/>
          <w:szCs w:val="21"/>
        </w:rPr>
        <w:t>天</w:t>
      </w:r>
      <w:r>
        <w:rPr>
          <w:rFonts w:eastAsia="黑体" w:cs="楷体" w:ascii="SimHei" w:hAnsi="SimHei"/>
          <w:color w:val="000000"/>
          <w:sz w:val="24"/>
          <w:szCs w:val="21"/>
        </w:rPr>
        <w:t>)</w:t>
      </w:r>
      <w:r>
        <w:rPr>
          <w:rFonts w:ascii="SimHei" w:hAnsi="SimHei" w:cs="楷体" w:eastAsia="黑体"/>
          <w:color w:val="000000"/>
          <w:sz w:val="24"/>
          <w:szCs w:val="21"/>
        </w:rPr>
        <w:t>的，按天扣减应得工资。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应得工资</w:t>
      </w:r>
      <w:r>
        <w:rPr>
          <w:rFonts w:eastAsia="黑体" w:cs="楷体" w:ascii="SimHei" w:hAnsi="SimHei"/>
          <w:color w:val="000000"/>
          <w:sz w:val="24"/>
          <w:szCs w:val="21"/>
        </w:rPr>
        <w:t>=(</w:t>
      </w:r>
      <w:r>
        <w:rPr>
          <w:rFonts w:ascii="SimHei" w:hAnsi="SimHei" w:cs="楷体" w:eastAsia="黑体"/>
          <w:color w:val="000000"/>
          <w:sz w:val="24"/>
          <w:szCs w:val="21"/>
        </w:rPr>
        <w:t>基本工资</w:t>
      </w:r>
      <w:r>
        <w:rPr>
          <w:rFonts w:eastAsia="黑体" w:cs="楷体" w:ascii="SimHei" w:hAnsi="SimHei"/>
          <w:color w:val="000000"/>
          <w:sz w:val="24"/>
          <w:szCs w:val="21"/>
        </w:rPr>
        <w:t>+</w:t>
      </w:r>
      <w:r>
        <w:rPr>
          <w:rFonts w:ascii="SimHei" w:hAnsi="SimHei" w:cs="楷体" w:eastAsia="黑体"/>
          <w:color w:val="000000"/>
          <w:sz w:val="24"/>
          <w:szCs w:val="21"/>
        </w:rPr>
        <w:t>职级工资</w:t>
      </w:r>
      <w:r>
        <w:rPr>
          <w:rFonts w:eastAsia="黑体" w:cs="楷体" w:ascii="SimHei" w:hAnsi="SimHei"/>
          <w:color w:val="000000"/>
          <w:sz w:val="24"/>
          <w:szCs w:val="21"/>
        </w:rPr>
        <w:t>)÷20.83</w:t>
      </w:r>
      <w:r>
        <w:rPr>
          <w:rFonts w:ascii="SimHei" w:hAnsi="SimHei" w:cs="楷体" w:eastAsia="黑体"/>
          <w:color w:val="000000"/>
          <w:sz w:val="24"/>
          <w:szCs w:val="21"/>
        </w:rPr>
        <w:t>天；</w:t>
      </w:r>
      <w:r>
        <w:rPr>
          <w:rFonts w:eastAsia="黑体" w:cs="楷体" w:ascii="SimHei" w:hAnsi="SimHei"/>
          <w:color w:val="000000"/>
          <w:sz w:val="24"/>
          <w:szCs w:val="21"/>
        </w:rPr>
        <w:t>3</w:t>
      </w:r>
      <w:r>
        <w:rPr>
          <w:rFonts w:ascii="SimHei" w:hAnsi="SimHei" w:cs="楷体" w:eastAsia="黑体"/>
          <w:color w:val="000000"/>
          <w:sz w:val="24"/>
          <w:szCs w:val="21"/>
        </w:rPr>
        <w:t>天以上的，全额扣减当月应得工资。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八、假期工作。按规定享有的婚假、丧假、探亲假、产假、年度休假，假期工资按应得工资全额计发。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九、不在岗人员只发基本工资，其他工资不予计发。</w:t>
      </w:r>
    </w:p>
    <w:p>
      <w:pPr>
        <w:pStyle w:val="Normal"/>
        <w:snapToGrid w:val="false"/>
        <w:spacing w:lineRule="auto" w:line="360"/>
        <w:jc w:val="center"/>
        <w:rPr>
          <w:rFonts w:ascii="楷体" w:hAnsi="楷体" w:eastAsia="楷体" w:cs="楷体"/>
          <w:color w:val="000000"/>
          <w:sz w:val="24"/>
          <w:szCs w:val="21"/>
        </w:rPr>
      </w:pPr>
      <w:r>
        <w:rPr>
          <w:rFonts w:ascii="SimHei" w:hAnsi="SimHei" w:cs="楷体" w:eastAsia="黑体"/>
          <w:b/>
          <w:color w:val="000000"/>
          <w:sz w:val="28"/>
          <w:szCs w:val="21"/>
        </w:rPr>
        <w:t>第五章  考核要求</w:t>
      </w:r>
    </w:p>
    <w:p>
      <w:pPr>
        <w:pStyle w:val="Normal"/>
        <w:snapToGrid w:val="false"/>
        <w:spacing w:lineRule="auto" w:line="360"/>
        <w:ind w:firstLine="480"/>
        <w:rPr>
          <w:rFonts w:ascii="楷体" w:hAnsi="楷体" w:eastAsia="楷体" w:cs="楷体"/>
          <w:color w:val="000000"/>
          <w:kern w:val="2"/>
          <w:sz w:val="24"/>
          <w:szCs w:val="21"/>
        </w:rPr>
      </w:pPr>
      <w:r>
        <w:rPr>
          <w:rFonts w:ascii="SimHei" w:hAnsi="SimHei" w:cs="楷体" w:eastAsia="黑体"/>
          <w:color w:val="000000"/>
          <w:sz w:val="24"/>
          <w:szCs w:val="21"/>
        </w:rPr>
        <w:t xml:space="preserve">第十七条  </w:t>
      </w:r>
      <w:r>
        <w:rPr>
          <w:rFonts w:ascii="SimHei" w:hAnsi="SimHei" w:cs="楷体" w:eastAsia="黑体"/>
          <w:color w:val="000000"/>
          <w:kern w:val="2"/>
          <w:sz w:val="24"/>
          <w:szCs w:val="21"/>
        </w:rPr>
        <w:t>强化领导，明确职责。</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kern w:val="2"/>
          <w:sz w:val="24"/>
          <w:szCs w:val="21"/>
        </w:rPr>
        <w:t>一、组织领导。总行</w:t>
      </w:r>
      <w:r>
        <w:rPr>
          <w:rFonts w:ascii="SimHei" w:hAnsi="SimHei" w:cs="楷体" w:eastAsia="黑体"/>
          <w:color w:val="000000"/>
          <w:sz w:val="24"/>
          <w:szCs w:val="21"/>
        </w:rPr>
        <w:t>成立以董事长任组长，行长、副行长、监事长任副组长的薪酬考核领导小组，负责全行薪酬管理的领导。领导小组下设办公室，由财会统计部、人事教育部、信贷管理部、风险合规部、稽核监察部、安全保卫部、业务拓展部和电子银行部组成，负责薪酬日常考核工作。</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部门职责。人事教育部负责每月基础工资及职级工资的管理和确定；财会统计部负责基础工资、职级工资及计价薪酬的审核、汇总及兑现。财会统计部、信贷管理部、风险合规部、业务拓展部和电子银行部负责对各支行年度业绩真实性考核；人事教育部、稽核监察部、安全保卫部负责对各支行年度定性指标的考核；各支行负责按月公示各自支行个人业绩和考核情况。</w:t>
      </w:r>
    </w:p>
    <w:p>
      <w:pPr>
        <w:pStyle w:val="Normal"/>
        <w:snapToGrid w:val="false"/>
        <w:spacing w:lineRule="auto" w:line="360"/>
        <w:ind w:start="2" w:firstLine="480"/>
        <w:rPr>
          <w:rFonts w:ascii="楷体" w:hAnsi="楷体" w:eastAsia="楷体" w:cs="楷体"/>
          <w:color w:val="000000"/>
          <w:sz w:val="24"/>
          <w:szCs w:val="21"/>
        </w:rPr>
      </w:pPr>
      <w:r>
        <w:rPr>
          <w:rFonts w:ascii="SimHei" w:hAnsi="SimHei" w:cs="楷体" w:eastAsia="黑体"/>
          <w:color w:val="000000"/>
          <w:kern w:val="2"/>
          <w:sz w:val="24"/>
          <w:szCs w:val="21"/>
        </w:rPr>
        <w:t>第十八条  台账管理。</w:t>
      </w:r>
      <w:r>
        <w:rPr>
          <w:rFonts w:ascii="SimHei" w:hAnsi="SimHei" w:cs="楷体" w:eastAsia="黑体"/>
          <w:color w:val="000000"/>
          <w:sz w:val="24"/>
          <w:szCs w:val="21"/>
        </w:rPr>
        <w:t>员工业绩台账是计价工资考核真实可靠的依据，各支行必须加强对存款和贷款等业绩台账的管理，总行业务拓展部负责督促检查台账管理情况。</w:t>
      </w:r>
    </w:p>
    <w:p>
      <w:pPr>
        <w:pStyle w:val="Normal"/>
        <w:snapToGrid w:val="false"/>
        <w:spacing w:lineRule="auto" w:line="360"/>
        <w:ind w:start="2" w:firstLine="480"/>
        <w:rPr>
          <w:rFonts w:ascii="楷体" w:hAnsi="楷体" w:eastAsia="楷体" w:cs="楷体"/>
          <w:color w:val="000000"/>
          <w:sz w:val="24"/>
          <w:szCs w:val="21"/>
        </w:rPr>
      </w:pPr>
      <w:r>
        <w:rPr>
          <w:rFonts w:ascii="SimHei" w:hAnsi="SimHei" w:cs="楷体" w:eastAsia="黑体"/>
          <w:color w:val="000000"/>
          <w:sz w:val="24"/>
          <w:szCs w:val="21"/>
        </w:rPr>
        <w:t>一、各支行行长是台账管理和工资考核的第一责任人；会计主管是直接责任人，负责台账的登记与管理工作，由业务拓展部按季打分考核。</w:t>
      </w:r>
    </w:p>
    <w:p>
      <w:pPr>
        <w:pStyle w:val="Normal"/>
        <w:snapToGrid w:val="false"/>
        <w:spacing w:lineRule="auto" w:line="360"/>
        <w:ind w:start="2" w:firstLine="480"/>
        <w:rPr>
          <w:rFonts w:ascii="楷体" w:hAnsi="楷体" w:eastAsia="楷体" w:cs="楷体"/>
          <w:color w:val="000000"/>
          <w:sz w:val="24"/>
          <w:szCs w:val="21"/>
        </w:rPr>
      </w:pPr>
      <w:r>
        <w:rPr>
          <w:rFonts w:ascii="SimHei" w:hAnsi="SimHei" w:cs="楷体" w:eastAsia="黑体"/>
          <w:color w:val="000000"/>
          <w:sz w:val="24"/>
          <w:szCs w:val="21"/>
        </w:rPr>
        <w:t>二、台账应做到每日登记，并由员工和会计主管签字确认，按月汇总公布。对业绩台账有异议的，可在各支行公布后三日内向所在支行行长提出诉求，逾期不再受理。</w:t>
      </w:r>
    </w:p>
    <w:p>
      <w:pPr>
        <w:pStyle w:val="Normal"/>
        <w:snapToGrid w:val="false"/>
        <w:spacing w:lineRule="auto" w:line="360"/>
        <w:ind w:start="2" w:firstLine="480"/>
        <w:rPr>
          <w:rFonts w:ascii="楷体" w:hAnsi="楷体" w:eastAsia="楷体" w:cs="楷体"/>
          <w:color w:val="000000"/>
          <w:sz w:val="24"/>
          <w:szCs w:val="21"/>
        </w:rPr>
      </w:pPr>
      <w:r>
        <w:rPr>
          <w:rFonts w:ascii="SimHei" w:hAnsi="SimHei" w:cs="楷体" w:eastAsia="黑体"/>
          <w:color w:val="000000"/>
          <w:sz w:val="24"/>
          <w:szCs w:val="21"/>
        </w:rPr>
        <w:t>三、新招录员工见习期内由所在支行建立个人业绩台账，其工资不参与薪酬分配。见习期满后，视同正式员工参与薪酬分配。</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第十九条  薪酬支付管理。</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一、基础工资和职级工资。按月结合出勤率等由人事教育部考核后，交财会统计部计发。</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二、效益及含量计价工资。各支行行长负责考核，员工签字确认。每月</w:t>
      </w:r>
      <w:r>
        <w:rPr>
          <w:rFonts w:eastAsia="黑体" w:cs="楷体" w:ascii="SimHei" w:hAnsi="SimHei"/>
          <w:color w:val="000000"/>
          <w:sz w:val="24"/>
          <w:szCs w:val="21"/>
        </w:rPr>
        <w:t>1</w:t>
      </w:r>
      <w:r>
        <w:rPr>
          <w:rFonts w:ascii="SimHei" w:hAnsi="SimHei" w:cs="楷体" w:eastAsia="黑体"/>
          <w:color w:val="000000"/>
          <w:sz w:val="24"/>
          <w:szCs w:val="21"/>
        </w:rPr>
        <w:t>日按照所在支行员工绩效计算出上月到人计价工资交总行财会统计部审核、汇总；每月</w:t>
      </w:r>
      <w:r>
        <w:rPr>
          <w:rFonts w:eastAsia="黑体" w:cs="楷体" w:ascii="SimHei" w:hAnsi="SimHei"/>
          <w:color w:val="000000"/>
          <w:sz w:val="24"/>
          <w:szCs w:val="21"/>
        </w:rPr>
        <w:t>5</w:t>
      </w:r>
      <w:r>
        <w:rPr>
          <w:rFonts w:ascii="SimHei" w:hAnsi="SimHei" w:cs="楷体" w:eastAsia="黑体"/>
          <w:color w:val="000000"/>
          <w:sz w:val="24"/>
          <w:szCs w:val="21"/>
        </w:rPr>
        <w:t>日前财会统计部将工资汇总数据下达到各支行，每月</w:t>
      </w:r>
      <w:r>
        <w:rPr>
          <w:rFonts w:eastAsia="黑体" w:cs="楷体" w:ascii="SimHei" w:hAnsi="SimHei"/>
          <w:color w:val="000000"/>
          <w:sz w:val="24"/>
          <w:szCs w:val="21"/>
        </w:rPr>
        <w:t>10</w:t>
      </w:r>
      <w:r>
        <w:rPr>
          <w:rFonts w:ascii="SimHei" w:hAnsi="SimHei" w:cs="楷体" w:eastAsia="黑体"/>
          <w:color w:val="000000"/>
          <w:sz w:val="24"/>
          <w:szCs w:val="21"/>
        </w:rPr>
        <w:t>日前各支行必须将拟兑现到人的工资造表签字后上报总行财会统计部再次审核汇总，每月</w:t>
      </w:r>
      <w:r>
        <w:rPr>
          <w:rFonts w:eastAsia="黑体" w:cs="楷体" w:ascii="SimHei" w:hAnsi="SimHei"/>
          <w:color w:val="000000"/>
          <w:sz w:val="24"/>
          <w:szCs w:val="21"/>
        </w:rPr>
        <w:t>15</w:t>
      </w:r>
      <w:r>
        <w:rPr>
          <w:rFonts w:ascii="SimHei" w:hAnsi="SimHei" w:cs="楷体" w:eastAsia="黑体"/>
          <w:color w:val="000000"/>
          <w:sz w:val="24"/>
          <w:szCs w:val="21"/>
        </w:rPr>
        <w:t>日前由总行财会统计部将工资交营业部通存直达兑现到人。原则上总行核定的工资必须按月兑现到人。各支行留存工资不得突破</w:t>
      </w:r>
      <w:r>
        <w:rPr>
          <w:rFonts w:eastAsia="黑体" w:cs="楷体" w:ascii="SimHei" w:hAnsi="SimHei"/>
          <w:color w:val="000000"/>
          <w:sz w:val="24"/>
          <w:szCs w:val="21"/>
        </w:rPr>
        <w:t>20%</w:t>
      </w:r>
      <w:r>
        <w:rPr>
          <w:rFonts w:ascii="SimHei" w:hAnsi="SimHei" w:cs="楷体" w:eastAsia="黑体"/>
          <w:color w:val="000000"/>
          <w:sz w:val="24"/>
          <w:szCs w:val="21"/>
        </w:rPr>
        <w:t>，由各支行考核兑现到人，年终将考核情况上报财会统计部备案。</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三、奖励工资。由总行相关部室按各自职能以阶段性任务完成情况考核兑现。</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四、管理工资。由总行相关职能部门对各支行按季考核，再由各支行考核到人，上报总行财会统计部计发，年终总清算。</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第二十条  严格检查，确保落实。总行业务拓展部和稽核监察部要定期检查支行业绩台账登记及执行情况，确保薪酬分配落实到位。各支行要严格按有关程序开展工作，对考核办法、计价标准、业绩台账及工资兑现方案予以公开，严禁弄虚作假。凡发现有弄虚作假的，一经查实，对相关责任人给予经济处罚或纪律处分。</w:t>
      </w:r>
    </w:p>
    <w:p>
      <w:pPr>
        <w:pStyle w:val="Normal"/>
        <w:snapToGrid w:val="false"/>
        <w:spacing w:lineRule="auto" w:line="360"/>
        <w:jc w:val="center"/>
        <w:rPr>
          <w:rFonts w:ascii="楷体" w:hAnsi="楷体" w:eastAsia="楷体" w:cs="楷体"/>
          <w:color w:val="000000"/>
          <w:sz w:val="24"/>
          <w:szCs w:val="21"/>
        </w:rPr>
      </w:pPr>
      <w:r>
        <w:rPr>
          <w:rFonts w:ascii="SimHei" w:hAnsi="SimHei" w:cs="楷体" w:eastAsia="黑体"/>
          <w:b/>
          <w:color w:val="000000"/>
          <w:sz w:val="28"/>
          <w:szCs w:val="21"/>
        </w:rPr>
        <w:t>第六章  附则</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第二十一条  本办法由</w:t>
      </w:r>
      <w:r>
        <w:rPr>
          <w:rFonts w:eastAsia="黑体" w:cs="楷体" w:ascii="SimHei" w:hAnsi="SimHei"/>
          <w:color w:val="000000"/>
          <w:sz w:val="24"/>
          <w:szCs w:val="21"/>
        </w:rPr>
        <w:t>XX</w:t>
      </w:r>
      <w:r>
        <w:rPr>
          <w:rFonts w:ascii="SimHei" w:hAnsi="SimHei" w:cs="楷体" w:eastAsia="黑体"/>
          <w:color w:val="000000"/>
          <w:sz w:val="24"/>
          <w:szCs w:val="21"/>
        </w:rPr>
        <w:t>农村商业银行负责解释和修订。</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第二十二条  本办法自</w:t>
      </w:r>
      <w:r>
        <w:rPr>
          <w:rFonts w:eastAsia="黑体" w:cs="楷体" w:ascii="SimHei" w:hAnsi="SimHei"/>
          <w:color w:val="000000"/>
          <w:sz w:val="24"/>
          <w:szCs w:val="21"/>
        </w:rPr>
        <w:t>20XX</w:t>
      </w:r>
      <w:r>
        <w:rPr>
          <w:rFonts w:ascii="SimHei" w:hAnsi="SimHei" w:cs="楷体" w:eastAsia="黑体"/>
          <w:color w:val="000000"/>
          <w:sz w:val="24"/>
          <w:szCs w:val="21"/>
        </w:rPr>
        <w:t>年</w:t>
      </w:r>
      <w:r>
        <w:rPr>
          <w:rFonts w:eastAsia="黑体" w:cs="楷体" w:ascii="SimHei" w:hAnsi="SimHei"/>
          <w:color w:val="000000"/>
          <w:sz w:val="24"/>
          <w:szCs w:val="21"/>
        </w:rPr>
        <w:t>XX</w:t>
      </w:r>
      <w:r>
        <w:rPr>
          <w:rFonts w:ascii="SimHei" w:hAnsi="SimHei" w:cs="楷体" w:eastAsia="黑体"/>
          <w:color w:val="000000"/>
          <w:sz w:val="24"/>
          <w:szCs w:val="21"/>
        </w:rPr>
        <w:t>月</w:t>
      </w:r>
      <w:r>
        <w:rPr>
          <w:rFonts w:eastAsia="黑体" w:cs="楷体" w:ascii="SimHei" w:hAnsi="SimHei"/>
          <w:color w:val="000000"/>
          <w:sz w:val="24"/>
          <w:szCs w:val="21"/>
        </w:rPr>
        <w:t>XX</w:t>
      </w:r>
      <w:r>
        <w:rPr>
          <w:rFonts w:ascii="SimHei" w:hAnsi="SimHei" w:cs="楷体" w:eastAsia="黑体"/>
          <w:color w:val="000000"/>
          <w:sz w:val="24"/>
          <w:szCs w:val="21"/>
        </w:rPr>
        <w:t>日起执行，凡与本办法相抵触的，以本办法为准。</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宋体">
    <w:charset w:val="86"/>
    <w:family w:val="auto"/>
    <w:pitch w:val="default"/>
  </w:font>
  <w:font w:name="Tahoma">
    <w:charset w:val="00" w:characterSet="windows-1252"/>
    <w:family w:val="swiss"/>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2">
              <wp:simplePos x="0" y="0"/>
              <wp:positionH relativeFrom="margin">
                <wp:align>center</wp:align>
              </wp:positionH>
              <wp:positionV relativeFrom="paragraph">
                <wp:posOffset>635</wp:posOffset>
              </wp:positionV>
              <wp:extent cx="899795" cy="151130"/>
              <wp:effectExtent l="0" t="0" r="0" b="0"/>
              <wp:wrapNone/>
              <wp:docPr id="1"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11</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11</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11</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11</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7"/>
      <w:numFmt w:val="chineseCountingThousand"/>
      <w:lvlText w:val="第%1条"/>
      <w:lvlJc w:val="start"/>
      <w:pPr>
        <w:tabs>
          <w:tab w:val="num" w:pos="0"/>
        </w:tabs>
        <w:ind w:start="1800" w:hanging="1200"/>
      </w:pPr>
      <w:rPr/>
    </w:lvl>
    <w:lvl w:ilvl="1">
      <w:start w:val="1"/>
      <w:numFmt w:val="lowerLetter"/>
      <w:lvlText w:val="%2)"/>
      <w:lvlJc w:val="start"/>
      <w:pPr>
        <w:tabs>
          <w:tab w:val="num" w:pos="0"/>
        </w:tabs>
        <w:ind w:start="1440" w:hanging="420"/>
      </w:pPr>
      <w:rPr/>
    </w:lvl>
    <w:lvl w:ilvl="2">
      <w:start w:val="1"/>
      <w:numFmt w:val="lowerRoman"/>
      <w:lvlText w:val="%3."/>
      <w:lvlJc w:val="end"/>
      <w:pPr>
        <w:tabs>
          <w:tab w:val="num" w:pos="0"/>
        </w:tabs>
        <w:ind w:start="1860" w:hanging="420"/>
      </w:pPr>
      <w:rPr/>
    </w:lvl>
    <w:lvl w:ilvl="3">
      <w:start w:val="1"/>
      <w:numFmt w:val="decimal"/>
      <w:lvlText w:val="%4."/>
      <w:lvlJc w:val="start"/>
      <w:pPr>
        <w:tabs>
          <w:tab w:val="num" w:pos="0"/>
        </w:tabs>
        <w:ind w:start="2280" w:hanging="420"/>
      </w:pPr>
      <w:rPr/>
    </w:lvl>
    <w:lvl w:ilvl="4">
      <w:start w:val="1"/>
      <w:numFmt w:val="lowerLetter"/>
      <w:lvlText w:val="%5)"/>
      <w:lvlJc w:val="start"/>
      <w:pPr>
        <w:tabs>
          <w:tab w:val="num" w:pos="0"/>
        </w:tabs>
        <w:ind w:start="2700" w:hanging="420"/>
      </w:pPr>
      <w:rPr/>
    </w:lvl>
    <w:lvl w:ilvl="5">
      <w:start w:val="1"/>
      <w:numFmt w:val="lowerRoman"/>
      <w:lvlText w:val="%6."/>
      <w:lvlJc w:val="end"/>
      <w:pPr>
        <w:tabs>
          <w:tab w:val="num" w:pos="0"/>
        </w:tabs>
        <w:ind w:start="3120" w:hanging="420"/>
      </w:pPr>
      <w:rPr/>
    </w:lvl>
    <w:lvl w:ilvl="6">
      <w:start w:val="1"/>
      <w:numFmt w:val="decimal"/>
      <w:lvlText w:val="%7."/>
      <w:lvlJc w:val="start"/>
      <w:pPr>
        <w:tabs>
          <w:tab w:val="num" w:pos="0"/>
        </w:tabs>
        <w:ind w:start="3540" w:hanging="420"/>
      </w:pPr>
      <w:rPr/>
    </w:lvl>
    <w:lvl w:ilvl="7">
      <w:start w:val="1"/>
      <w:numFmt w:val="lowerLetter"/>
      <w:lvlText w:val="%8)"/>
      <w:lvlJc w:val="start"/>
      <w:pPr>
        <w:tabs>
          <w:tab w:val="num" w:pos="0"/>
        </w:tabs>
        <w:ind w:start="3960" w:hanging="420"/>
      </w:pPr>
      <w:rPr/>
    </w:lvl>
    <w:lvl w:ilvl="8">
      <w:start w:val="1"/>
      <w:numFmt w:val="lowerRoman"/>
      <w:lvlText w:val="%9."/>
      <w:lvlJc w:val="end"/>
      <w:pPr>
        <w:tabs>
          <w:tab w:val="num" w:pos="0"/>
        </w:tabs>
        <w:ind w:start="438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StrongEmphasis">
    <w:name w:val="Strong Emphasis"/>
    <w:qFormat/>
    <w:rPr>
      <w:b/>
      <w:bCs/>
    </w:rPr>
  </w:style>
  <w:style w:type="character" w:styleId="PageNumber">
    <w:name w:val="Page Number"/>
    <w:basedOn w:val="Style14"/>
    <w:rPr/>
  </w:style>
  <w:style w:type="character" w:styleId="2Char">
    <w:name w:val="正文文本缩进 2 Char"/>
    <w:qFormat/>
    <w:rPr>
      <w:rFonts w:ascii="Times New Roman" w:hAnsi="Times New Roman" w:eastAsia="宋体" w:cs="Times New Roman"/>
      <w:szCs w:val="24"/>
    </w:rPr>
  </w:style>
  <w:style w:type="character" w:styleId="Char">
    <w:name w:val="批注框文本 Char"/>
    <w:qFormat/>
    <w:rPr>
      <w:rFonts w:ascii="Times New Roman" w:hAnsi="Times New Roman" w:eastAsia="宋体" w:cs="Times New Roman"/>
      <w:sz w:val="18"/>
      <w:szCs w:val="18"/>
    </w:rPr>
  </w:style>
  <w:style w:type="character" w:styleId="Char1">
    <w:name w:val="页眉 Char"/>
    <w:qFormat/>
    <w:rPr>
      <w:rFonts w:ascii="Times New Roman" w:hAnsi="Times New Roman" w:cs="Times New Roman"/>
      <w:sz w:val="18"/>
      <w:szCs w:val="18"/>
    </w:rPr>
  </w:style>
  <w:style w:type="character" w:styleId="Char2">
    <w:name w:val="页脚 Char"/>
    <w:qFormat/>
    <w:rPr>
      <w:rFonts w:ascii="Times New Roman" w:hAnsi="Times New Roman" w:eastAsia="宋体" w:cs="Times New Roman"/>
      <w:sz w:val="18"/>
      <w:szCs w:val="18"/>
    </w:rPr>
  </w:style>
  <w:style w:type="character" w:styleId="Char3">
    <w:name w:val="文档结构图 Char"/>
    <w:qFormat/>
    <w:rPr>
      <w:rFonts w:ascii="Times New Roman" w:hAnsi="Times New Roman" w:eastAsia="宋体" w:cs="Times New Roman"/>
      <w:szCs w:val="24"/>
      <w:shd w:fill="000080" w:val="clear"/>
    </w:rPr>
  </w:style>
  <w:style w:type="character" w:styleId="Char4">
    <w:name w:val="标题 Char"/>
    <w:basedOn w:val="Style14"/>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文档结构图"/>
    <w:basedOn w:val="Normal"/>
    <w:qFormat/>
    <w:pPr>
      <w:shd w:fill="000080" w:val="clear"/>
    </w:pPr>
    <w:rPr>
      <w:kern w:val="0"/>
      <w:sz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kern w:val="0"/>
      <w:sz w:val="18"/>
      <w:szCs w:val="18"/>
    </w:rPr>
  </w:style>
  <w:style w:type="paragraph" w:styleId="Style16">
    <w:name w:val="普通(网站)"/>
    <w:basedOn w:val="Normal"/>
    <w:qFormat/>
    <w:pPr>
      <w:widowControl/>
      <w:spacing w:before="280" w:after="280"/>
      <w:jc w:val="start"/>
    </w:pPr>
    <w:rPr>
      <w:rFonts w:ascii="宋体" w:hAnsi="宋体" w:cs="宋体"/>
      <w:kern w:val="0"/>
      <w:sz w:val="24"/>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Style17">
    <w:name w:val="批注框文本"/>
    <w:basedOn w:val="Normal"/>
    <w:qFormat/>
    <w:pPr/>
    <w:rPr>
      <w:kern w:val="0"/>
      <w:sz w:val="18"/>
      <w:szCs w:val="18"/>
    </w:rPr>
  </w:style>
  <w:style w:type="paragraph" w:styleId="2">
    <w:name w:val="正文文本缩进 2"/>
    <w:basedOn w:val="Normal"/>
    <w:qFormat/>
    <w:pPr>
      <w:spacing w:lineRule="auto" w:line="480" w:before="0" w:after="120"/>
      <w:ind w:start="420" w:hanging="0"/>
    </w:pPr>
    <w:rPr>
      <w:kern w:val="0"/>
      <w:sz w:val="20"/>
    </w:rPr>
  </w:style>
  <w:style w:type="paragraph" w:styleId="CharCharCharChar">
    <w:name w:val="Char Char Char Char"/>
    <w:basedOn w:val="Normal"/>
    <w:qFormat/>
    <w:pPr/>
    <w:rPr/>
  </w:style>
  <w:style w:type="paragraph" w:styleId="ParaChar">
    <w:name w:val="默认段落字体 Para Char"/>
    <w:basedOn w:val="Normal"/>
    <w:qFormat/>
    <w:pPr/>
    <w:rPr/>
  </w:style>
  <w:style w:type="paragraph" w:styleId="Char5">
    <w:name w:val=" Char"/>
    <w:basedOn w:val="Style15"/>
    <w:qFormat/>
    <w:pPr>
      <w:keepNext w:val="true"/>
      <w:numPr>
        <w:ilvl w:val="0"/>
        <w:numId w:val="1"/>
      </w:numPr>
      <w:shd w:fill="000080" w:val="clear"/>
      <w:tabs>
        <w:tab w:val="clear" w:pos="420"/>
        <w:tab w:val="left" w:pos="1800" w:leader="none"/>
      </w:tabs>
      <w:spacing w:before="100" w:after="0"/>
    </w:pPr>
    <w:rPr>
      <w:rFonts w:ascii="Tahoma" w:hAnsi="Tahoma" w:cs="Tahoma"/>
      <w:sz w:val="24"/>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2019-04-08T17:52:00Z</dcterms:created>
  <dc:creator>clj</dc:creator>
  <dc:description/>
  <dc:language>en-US</dc:language>
  <cp:lastModifiedBy>Administrator</cp:lastModifiedBy>
  <cp:lastPrinted>2014-02-18T16:10:00Z</cp:lastPrinted>
  <dcterms:modified xsi:type="dcterms:W3CDTF">2019-10-16T16:15:26Z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