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tabs>
          <w:tab w:val="left" w:pos="709"/>
          <w:tab w:val="left" w:pos="851"/>
          <w:tab w:val="left" w:pos="8931"/>
        </w:tabs>
        <w:spacing w:before="0" w:afterLines="100" w:line="360" w:lineRule="auto"/>
        <w:ind w:right="168" w:rightChars="80"/>
        <w:rPr>
          <w:rFonts w:ascii="楷体" w:hAnsi="宋体" w:eastAsia="楷体"/>
          <w:color w:val="000000"/>
          <w:sz w:val="36"/>
        </w:rPr>
      </w:pPr>
    </w:p>
    <w:p>
      <w:pPr>
        <w:pStyle w:val="26"/>
        <w:tabs>
          <w:tab w:val="left" w:pos="709"/>
          <w:tab w:val="left" w:pos="851"/>
          <w:tab w:val="left" w:pos="8931"/>
        </w:tabs>
        <w:spacing w:before="0" w:afterLines="100" w:line="360" w:lineRule="auto"/>
        <w:ind w:right="168" w:rightChars="80"/>
        <w:rPr>
          <w:rFonts w:ascii="楷体" w:hAnsi="宋体" w:eastAsia="楷体"/>
          <w:color w:val="000000"/>
          <w:sz w:val="36"/>
        </w:rPr>
      </w:pPr>
    </w:p>
    <w:p>
      <w:pPr>
        <w:pStyle w:val="26"/>
        <w:tabs>
          <w:tab w:val="left" w:pos="709"/>
          <w:tab w:val="left" w:pos="851"/>
          <w:tab w:val="left" w:pos="8931"/>
        </w:tabs>
        <w:spacing w:before="0" w:afterLines="100" w:line="360" w:lineRule="auto"/>
        <w:ind w:right="168" w:rightChars="80"/>
        <w:rPr>
          <w:rFonts w:ascii="楷体" w:hAnsi="宋体" w:eastAsia="楷体"/>
          <w:color w:val="000000"/>
          <w:sz w:val="36"/>
        </w:rPr>
      </w:pPr>
    </w:p>
    <w:p>
      <w:pPr>
        <w:pStyle w:val="26"/>
        <w:tabs>
          <w:tab w:val="left" w:pos="709"/>
          <w:tab w:val="left" w:pos="851"/>
          <w:tab w:val="left" w:pos="8931"/>
        </w:tabs>
        <w:spacing w:before="0" w:afterLines="100" w:line="360" w:lineRule="auto"/>
        <w:ind w:right="168" w:rightChars="80"/>
        <w:rPr>
          <w:rFonts w:ascii="楷体" w:hAnsi="宋体" w:eastAsia="楷体"/>
          <w:color w:val="000000"/>
          <w:sz w:val="36"/>
        </w:rPr>
      </w:pPr>
    </w:p>
    <w:p>
      <w:pPr>
        <w:pStyle w:val="26"/>
        <w:tabs>
          <w:tab w:val="left" w:pos="709"/>
          <w:tab w:val="left" w:pos="851"/>
          <w:tab w:val="left" w:pos="8931"/>
        </w:tabs>
        <w:spacing w:before="0" w:afterLines="100" w:line="360" w:lineRule="auto"/>
        <w:ind w:right="168" w:rightChars="80"/>
        <w:rPr>
          <w:rFonts w:ascii="楷体" w:hAnsi="宋体" w:eastAsia="楷体"/>
          <w:color w:val="000000"/>
          <w:sz w:val="36"/>
        </w:rPr>
      </w:pPr>
    </w:p>
    <w:p>
      <w:pPr>
        <w:pStyle w:val="26"/>
        <w:tabs>
          <w:tab w:val="left" w:pos="709"/>
          <w:tab w:val="left" w:pos="851"/>
          <w:tab w:val="left" w:pos="8931"/>
        </w:tabs>
        <w:spacing w:before="0" w:afterLines="100" w:line="360" w:lineRule="auto"/>
        <w:ind w:right="168" w:rightChars="80"/>
        <w:rPr>
          <w:rFonts w:ascii="楷体" w:hAnsi="宋体" w:eastAsia="楷体"/>
          <w:color w:val="000000"/>
          <w:sz w:val="36"/>
        </w:rPr>
      </w:pPr>
    </w:p>
    <w:p>
      <w:pPr>
        <w:pStyle w:val="26"/>
        <w:tabs>
          <w:tab w:val="left" w:pos="709"/>
          <w:tab w:val="left" w:pos="851"/>
          <w:tab w:val="left" w:pos="8931"/>
        </w:tabs>
        <w:spacing w:before="0" w:afterLines="100" w:line="360" w:lineRule="auto"/>
        <w:ind w:right="168" w:rightChars="80"/>
        <w:rPr>
          <w:rFonts w:hint="eastAsia" w:ascii="楷体" w:hAnsi="宋体" w:eastAsia="楷体"/>
          <w:color w:val="000000"/>
          <w:sz w:val="28"/>
          <w:szCs w:val="24"/>
        </w:rPr>
      </w:pPr>
      <w:r>
        <w:rPr>
          <w:rFonts w:hint="eastAsia" w:ascii="SimHei" w:hAnsi="SimHei" w:eastAsia="黑体"/>
          <w:color w:val="000000"/>
          <w:sz w:val="28"/>
          <w:szCs w:val="24"/>
        </w:rPr>
        <w:t>XX科技公司</w:t>
      </w:r>
    </w:p>
    <w:p>
      <w:pPr>
        <w:pStyle w:val="26"/>
        <w:tabs>
          <w:tab w:val="left" w:pos="709"/>
          <w:tab w:val="left" w:pos="851"/>
          <w:tab w:val="left" w:pos="8931"/>
        </w:tabs>
        <w:spacing w:before="0" w:afterLines="100" w:line="360" w:lineRule="auto"/>
        <w:ind w:right="168" w:rightChars="80"/>
        <w:rPr>
          <w:rFonts w:ascii="楷体" w:hAnsi="楷体" w:eastAsia="楷体"/>
          <w:b w:val="0"/>
          <w:sz w:val="24"/>
          <w:szCs w:val="24"/>
        </w:rPr>
      </w:pPr>
      <w:r>
        <w:rPr>
          <w:rFonts w:hint="eastAsia" w:ascii="SimHei" w:hAnsi="SimHei" w:eastAsia="黑体"/>
          <w:color w:val="000000"/>
          <w:sz w:val="36"/>
        </w:rPr>
        <w:t>20XX薪酬体系设计方案</w:t>
      </w:r>
    </w:p>
    <w:p>
      <w:pPr>
        <w:widowControl/>
        <w:tabs>
          <w:tab w:val="left" w:pos="709"/>
          <w:tab w:val="left" w:pos="851"/>
          <w:tab w:val="left" w:pos="8931"/>
        </w:tabs>
        <w:ind w:right="168" w:rightChars="80"/>
        <w:rPr>
          <w:rFonts w:ascii="楷体" w:hAnsi="楷体" w:eastAsia="楷体"/>
          <w:b/>
          <w:sz w:val="24"/>
          <w:szCs w:val="24"/>
        </w:rPr>
      </w:pPr>
      <w:r>
        <w:rPr>
          <w:rFonts w:ascii="SimHei" w:hAnsi="SimHei" w:eastAsia="黑体"/>
          <w:b/>
          <w:sz w:val="24"/>
          <w:szCs w:val="24"/>
        </w:rPr>
      </w:r>
    </w:p>
    <w:p>
      <w:pPr>
        <w:tabs>
          <w:tab w:val="left" w:pos="709"/>
          <w:tab w:val="left" w:pos="851"/>
          <w:tab w:val="left" w:pos="8931"/>
        </w:tabs>
        <w:spacing w:line="360" w:lineRule="auto"/>
        <w:ind w:right="168" w:rightChars="80"/>
        <w:jc w:val="center"/>
        <w:rPr>
          <w:rFonts w:ascii="楷体" w:hAnsi="楷体" w:eastAsia="楷体"/>
          <w:b/>
          <w:sz w:val="28"/>
          <w:szCs w:val="24"/>
        </w:rPr>
      </w:pPr>
      <w:r>
        <w:rPr>
          <w:rFonts w:hint="eastAsia" w:ascii="SimHei" w:hAnsi="SimHei" w:eastAsia="黑体"/>
          <w:b/>
          <w:sz w:val="28"/>
          <w:szCs w:val="24"/>
        </w:rPr>
        <w:t>目录</w:t>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第一章总则</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一、薪酬设计思路</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1</w:t>
      </w:r>
      <w:r>
        <w:rPr>
          <w:rStyle w:val="33"/>
          <w:rFonts w:hint="eastAsia" w:ascii="SimHei" w:hAnsi="SimHei" w:eastAsia="黑体"/>
          <w:b w:val="0"/>
          <w:color w:val="auto"/>
          <w:sz w:val="24"/>
          <w:szCs w:val="24"/>
          <w:u w:val="none"/>
        </w:rPr>
        <w:t>、薪酬战略定位</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2</w:t>
      </w:r>
      <w:r>
        <w:rPr>
          <w:rStyle w:val="33"/>
          <w:rFonts w:hint="eastAsia" w:ascii="SimHei" w:hAnsi="SimHei" w:eastAsia="黑体"/>
          <w:b w:val="0"/>
          <w:color w:val="auto"/>
          <w:sz w:val="24"/>
          <w:szCs w:val="24"/>
          <w:u w:val="none"/>
        </w:rPr>
        <w:t>、薪酬设计原则</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二、薪酬管理模式</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P1</w:t>
      </w:r>
      <w:r>
        <w:rPr>
          <w:rStyle w:val="33"/>
          <w:rFonts w:hint="eastAsia" w:ascii="SimHei" w:hAnsi="SimHei" w:eastAsia="黑体"/>
          <w:b w:val="0"/>
          <w:color w:val="auto"/>
          <w:sz w:val="24"/>
          <w:szCs w:val="24"/>
          <w:u w:val="none"/>
        </w:rPr>
        <w:t>：以市场为导向（</w:t>
      </w:r>
      <w:r>
        <w:rPr>
          <w:rStyle w:val="33"/>
          <w:rFonts w:ascii="SimHei" w:hAnsi="SimHei" w:eastAsia="黑体"/>
          <w:b w:val="0"/>
          <w:color w:val="auto"/>
          <w:sz w:val="24"/>
          <w:szCs w:val="24"/>
          <w:u w:val="none"/>
        </w:rPr>
        <w:t>Price</w:t>
      </w:r>
      <w:r>
        <w:rPr>
          <w:rStyle w:val="33"/>
          <w:rFonts w:hint="eastAsia" w:ascii="SimHei" w:hAnsi="SimHei" w:eastAsia="黑体"/>
          <w:b w:val="0"/>
          <w:color w:val="auto"/>
          <w:sz w:val="24"/>
          <w:szCs w:val="24"/>
          <w:u w:val="none"/>
        </w:rPr>
        <w:t>）</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P2</w:t>
      </w:r>
      <w:r>
        <w:rPr>
          <w:rStyle w:val="33"/>
          <w:rFonts w:hint="eastAsia" w:ascii="SimHei" w:hAnsi="SimHei" w:eastAsia="黑体"/>
          <w:b w:val="0"/>
          <w:color w:val="auto"/>
          <w:sz w:val="24"/>
          <w:szCs w:val="24"/>
          <w:u w:val="none"/>
        </w:rPr>
        <w:t>：以岗位为导向（</w:t>
      </w:r>
      <w:r>
        <w:rPr>
          <w:rStyle w:val="33"/>
          <w:rFonts w:ascii="SimHei" w:hAnsi="SimHei" w:eastAsia="黑体"/>
          <w:b w:val="0"/>
          <w:color w:val="auto"/>
          <w:sz w:val="24"/>
          <w:szCs w:val="24"/>
          <w:u w:val="none"/>
        </w:rPr>
        <w:t>Position</w:t>
      </w:r>
      <w:r>
        <w:rPr>
          <w:rStyle w:val="33"/>
          <w:rFonts w:hint="eastAsia" w:ascii="SimHei" w:hAnsi="SimHei" w:eastAsia="黑体"/>
          <w:b w:val="0"/>
          <w:color w:val="auto"/>
          <w:sz w:val="24"/>
          <w:szCs w:val="24"/>
          <w:u w:val="none"/>
        </w:rPr>
        <w:t>）</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P3</w:t>
      </w:r>
      <w:r>
        <w:rPr>
          <w:rStyle w:val="33"/>
          <w:rFonts w:hint="eastAsia" w:ascii="SimHei" w:hAnsi="SimHei" w:eastAsia="黑体"/>
          <w:b w:val="0"/>
          <w:color w:val="auto"/>
          <w:sz w:val="24"/>
          <w:szCs w:val="24"/>
          <w:u w:val="none"/>
        </w:rPr>
        <w:t>：以技能为导向（</w:t>
      </w:r>
      <w:r>
        <w:rPr>
          <w:rStyle w:val="33"/>
          <w:rFonts w:ascii="SimHei" w:hAnsi="SimHei" w:eastAsia="黑体"/>
          <w:b w:val="0"/>
          <w:color w:val="auto"/>
          <w:sz w:val="24"/>
          <w:szCs w:val="24"/>
          <w:u w:val="none"/>
        </w:rPr>
        <w:t>Person</w:t>
      </w:r>
      <w:r>
        <w:rPr>
          <w:rStyle w:val="33"/>
          <w:rFonts w:hint="eastAsia" w:ascii="SimHei" w:hAnsi="SimHei" w:eastAsia="黑体"/>
          <w:b w:val="0"/>
          <w:color w:val="auto"/>
          <w:sz w:val="24"/>
          <w:szCs w:val="24"/>
          <w:u w:val="none"/>
        </w:rPr>
        <w:t>）</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P4</w:t>
      </w:r>
      <w:r>
        <w:rPr>
          <w:rStyle w:val="33"/>
          <w:rFonts w:hint="eastAsia" w:ascii="SimHei" w:hAnsi="SimHei" w:eastAsia="黑体"/>
          <w:b w:val="0"/>
          <w:color w:val="auto"/>
          <w:sz w:val="24"/>
          <w:szCs w:val="24"/>
          <w:u w:val="none"/>
        </w:rPr>
        <w:t>：以业绩为导向（</w:t>
      </w:r>
      <w:r>
        <w:rPr>
          <w:rStyle w:val="33"/>
          <w:rFonts w:ascii="SimHei" w:hAnsi="SimHei" w:eastAsia="黑体"/>
          <w:b w:val="0"/>
          <w:color w:val="auto"/>
          <w:sz w:val="24"/>
          <w:szCs w:val="24"/>
          <w:u w:val="none"/>
        </w:rPr>
        <w:t>Performance</w:t>
      </w:r>
      <w:r>
        <w:rPr>
          <w:rStyle w:val="33"/>
          <w:rFonts w:hint="eastAsia" w:ascii="SimHei" w:hAnsi="SimHei" w:eastAsia="黑体"/>
          <w:b w:val="0"/>
          <w:color w:val="auto"/>
          <w:sz w:val="24"/>
          <w:szCs w:val="24"/>
          <w:u w:val="none"/>
        </w:rPr>
        <w:t>）</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第二章薪酬调查</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一、薪酬市场调查结果</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二、公司内部薪酬现状</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1</w:t>
      </w:r>
      <w:r>
        <w:rPr>
          <w:rStyle w:val="33"/>
          <w:rFonts w:hint="eastAsia" w:ascii="SimHei" w:hAnsi="SimHei" w:eastAsia="黑体"/>
          <w:b w:val="0"/>
          <w:color w:val="auto"/>
          <w:sz w:val="24"/>
          <w:szCs w:val="24"/>
          <w:u w:val="none"/>
        </w:rPr>
        <w:t>、原薪资结构</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2</w:t>
      </w:r>
      <w:r>
        <w:rPr>
          <w:rStyle w:val="33"/>
          <w:rFonts w:hint="eastAsia" w:ascii="SimHei" w:hAnsi="SimHei" w:eastAsia="黑体"/>
          <w:b w:val="0"/>
          <w:color w:val="auto"/>
          <w:sz w:val="24"/>
          <w:szCs w:val="24"/>
          <w:u w:val="none"/>
        </w:rPr>
        <w:t>、现行薪资区间分布</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7</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三、薪酬调查分析</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7</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1</w:t>
      </w:r>
      <w:r>
        <w:rPr>
          <w:rStyle w:val="33"/>
          <w:rFonts w:hint="eastAsia" w:ascii="SimHei" w:hAnsi="SimHei" w:eastAsia="黑体"/>
          <w:b w:val="0"/>
          <w:color w:val="auto"/>
          <w:sz w:val="24"/>
          <w:szCs w:val="24"/>
          <w:u w:val="none"/>
        </w:rPr>
        <w:t>、通过市场薪酬调查</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7</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2</w:t>
      </w:r>
      <w:r>
        <w:rPr>
          <w:rStyle w:val="33"/>
          <w:rFonts w:hint="eastAsia" w:ascii="SimHei" w:hAnsi="SimHei" w:eastAsia="黑体"/>
          <w:b w:val="0"/>
          <w:color w:val="auto"/>
          <w:sz w:val="24"/>
          <w:szCs w:val="24"/>
          <w:u w:val="none"/>
        </w:rPr>
        <w:t>、通过公司内部薪酬调查</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7</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四、改进方法</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8</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第三章薪酬设计方案</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10</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一、薪酬结构</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10</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1</w:t>
      </w:r>
      <w:r>
        <w:rPr>
          <w:rStyle w:val="33"/>
          <w:rFonts w:hint="eastAsia" w:ascii="SimHei" w:hAnsi="SimHei" w:eastAsia="黑体"/>
          <w:b w:val="0"/>
          <w:color w:val="auto"/>
          <w:sz w:val="24"/>
          <w:szCs w:val="24"/>
          <w:u w:val="none"/>
        </w:rPr>
        <w:t>、职能序列</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10</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2</w:t>
      </w:r>
      <w:r>
        <w:rPr>
          <w:rStyle w:val="33"/>
          <w:rFonts w:hint="eastAsia" w:ascii="SimHei" w:hAnsi="SimHei" w:eastAsia="黑体"/>
          <w:b w:val="0"/>
          <w:color w:val="auto"/>
          <w:sz w:val="24"/>
          <w:szCs w:val="24"/>
          <w:u w:val="none"/>
        </w:rPr>
        <w:t>、技术序列</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10</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3</w:t>
      </w:r>
      <w:r>
        <w:rPr>
          <w:rStyle w:val="33"/>
          <w:rFonts w:hint="eastAsia" w:ascii="SimHei" w:hAnsi="SimHei" w:eastAsia="黑体"/>
          <w:b w:val="0"/>
          <w:color w:val="auto"/>
          <w:sz w:val="24"/>
          <w:szCs w:val="24"/>
          <w:u w:val="none"/>
        </w:rPr>
        <w:t>、销售序列</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10</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二、薪酬要素与释义</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10</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三、岗位工资设计方案</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11</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1</w:t>
      </w:r>
      <w:r>
        <w:rPr>
          <w:rStyle w:val="33"/>
          <w:rFonts w:hint="eastAsia" w:ascii="SimHei" w:hAnsi="SimHei" w:eastAsia="黑体"/>
          <w:b w:val="0"/>
          <w:color w:val="auto"/>
          <w:sz w:val="24"/>
          <w:szCs w:val="24"/>
          <w:u w:val="none"/>
        </w:rPr>
        <w:t>、岗位价值评估的目的</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11</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2</w:t>
      </w:r>
      <w:r>
        <w:rPr>
          <w:rStyle w:val="33"/>
          <w:rFonts w:hint="eastAsia" w:ascii="SimHei" w:hAnsi="SimHei" w:eastAsia="黑体"/>
          <w:b w:val="0"/>
          <w:color w:val="auto"/>
          <w:sz w:val="24"/>
          <w:szCs w:val="24"/>
          <w:u w:val="none"/>
        </w:rPr>
        <w:t>、岗位价值评估的原则与特点</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11</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3</w:t>
      </w:r>
      <w:r>
        <w:rPr>
          <w:rStyle w:val="33"/>
          <w:rFonts w:hint="eastAsia" w:ascii="SimHei" w:hAnsi="SimHei" w:eastAsia="黑体"/>
          <w:b w:val="0"/>
          <w:color w:val="auto"/>
          <w:sz w:val="24"/>
          <w:szCs w:val="24"/>
          <w:u w:val="none"/>
        </w:rPr>
        <w:t>、岗位价值评估的方法与步骤</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11</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4</w:t>
      </w:r>
      <w:r>
        <w:rPr>
          <w:rStyle w:val="33"/>
          <w:rFonts w:hint="eastAsia" w:ascii="SimHei" w:hAnsi="SimHei" w:eastAsia="黑体"/>
          <w:b w:val="0"/>
          <w:color w:val="auto"/>
          <w:sz w:val="24"/>
          <w:szCs w:val="24"/>
          <w:u w:val="none"/>
        </w:rPr>
        <w:t>、岗位价值评估结果</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12</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5</w:t>
      </w:r>
      <w:r>
        <w:rPr>
          <w:rStyle w:val="33"/>
          <w:rFonts w:hint="eastAsia" w:ascii="SimHei" w:hAnsi="SimHei" w:eastAsia="黑体"/>
          <w:b w:val="0"/>
          <w:color w:val="auto"/>
          <w:sz w:val="24"/>
          <w:szCs w:val="24"/>
          <w:u w:val="none"/>
        </w:rPr>
        <w:t>、薪级表建立</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12</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6</w:t>
      </w:r>
      <w:r>
        <w:rPr>
          <w:rStyle w:val="33"/>
          <w:rFonts w:hint="eastAsia" w:ascii="SimHei" w:hAnsi="SimHei" w:eastAsia="黑体"/>
          <w:b w:val="0"/>
          <w:color w:val="auto"/>
          <w:sz w:val="24"/>
          <w:szCs w:val="24"/>
          <w:u w:val="none"/>
        </w:rPr>
        <w:t>、标准工资的测算</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14</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四、绩效工资设计方案</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1</w:t>
      </w:r>
      <w:r>
        <w:rPr>
          <w:rStyle w:val="33"/>
          <w:rFonts w:hint="eastAsia" w:ascii="SimHei" w:hAnsi="SimHei" w:eastAsia="黑体"/>
          <w:b w:val="0"/>
          <w:color w:val="auto"/>
          <w:sz w:val="24"/>
          <w:szCs w:val="24"/>
          <w:u w:val="none"/>
        </w:rPr>
        <w:t>、绩效工资的评定范围与岗位分类</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2</w:t>
      </w:r>
      <w:r>
        <w:rPr>
          <w:rStyle w:val="33"/>
          <w:rFonts w:hint="eastAsia" w:ascii="SimHei" w:hAnsi="SimHei" w:eastAsia="黑体"/>
          <w:b w:val="0"/>
          <w:color w:val="auto"/>
          <w:sz w:val="24"/>
          <w:szCs w:val="24"/>
          <w:u w:val="none"/>
        </w:rPr>
        <w:t>、各序列绩效评定方法</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五、考勤工资</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1</w:t>
      </w:r>
      <w:r>
        <w:rPr>
          <w:rStyle w:val="33"/>
          <w:rFonts w:hint="eastAsia" w:ascii="SimHei" w:hAnsi="SimHei" w:eastAsia="黑体"/>
          <w:b w:val="0"/>
          <w:color w:val="auto"/>
          <w:sz w:val="24"/>
          <w:szCs w:val="24"/>
          <w:u w:val="none"/>
        </w:rPr>
        <w:t>、考勤范围</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2</w:t>
      </w:r>
      <w:r>
        <w:rPr>
          <w:rStyle w:val="33"/>
          <w:rFonts w:hint="eastAsia" w:ascii="SimHei" w:hAnsi="SimHei" w:eastAsia="黑体"/>
          <w:b w:val="0"/>
          <w:color w:val="auto"/>
          <w:sz w:val="24"/>
          <w:szCs w:val="24"/>
          <w:u w:val="none"/>
        </w:rPr>
        <w:t>、评分标准</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26</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3</w:t>
      </w:r>
      <w:r>
        <w:rPr>
          <w:rStyle w:val="33"/>
          <w:rFonts w:hint="eastAsia" w:ascii="SimHei" w:hAnsi="SimHei" w:eastAsia="黑体"/>
          <w:b w:val="0"/>
          <w:color w:val="auto"/>
          <w:sz w:val="24"/>
          <w:szCs w:val="24"/>
          <w:u w:val="none"/>
        </w:rPr>
        <w:t>、处罚级别</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26</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4</w:t>
      </w:r>
      <w:r>
        <w:rPr>
          <w:rStyle w:val="33"/>
          <w:rFonts w:hint="eastAsia" w:ascii="SimHei" w:hAnsi="SimHei" w:eastAsia="黑体"/>
          <w:b w:val="0"/>
          <w:color w:val="auto"/>
          <w:sz w:val="24"/>
          <w:szCs w:val="24"/>
          <w:u w:val="none"/>
        </w:rPr>
        <w:t>、管理规定</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26</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六、工龄工资</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27</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七、补助</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28</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八、项目奖金</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28</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九、年终奖金</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29</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1</w:t>
      </w:r>
      <w:r>
        <w:rPr>
          <w:rStyle w:val="33"/>
          <w:rFonts w:hint="eastAsia" w:ascii="SimHei" w:hAnsi="SimHei" w:eastAsia="黑体"/>
          <w:b w:val="0"/>
          <w:color w:val="auto"/>
          <w:sz w:val="24"/>
          <w:szCs w:val="24"/>
          <w:u w:val="none"/>
        </w:rPr>
        <w:t>、提取办法</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29</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2</w:t>
      </w:r>
      <w:r>
        <w:rPr>
          <w:rStyle w:val="33"/>
          <w:rFonts w:hint="eastAsia" w:ascii="SimHei" w:hAnsi="SimHei" w:eastAsia="黑体"/>
          <w:b w:val="0"/>
          <w:color w:val="auto"/>
          <w:sz w:val="24"/>
          <w:szCs w:val="24"/>
          <w:u w:val="none"/>
        </w:rPr>
        <w:t>、分配方案</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29</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3</w:t>
      </w:r>
      <w:r>
        <w:rPr>
          <w:rStyle w:val="33"/>
          <w:rFonts w:hint="eastAsia" w:ascii="SimHei" w:hAnsi="SimHei" w:eastAsia="黑体"/>
          <w:b w:val="0"/>
          <w:color w:val="auto"/>
          <w:sz w:val="24"/>
          <w:szCs w:val="24"/>
          <w:u w:val="none"/>
        </w:rPr>
        <w:t>、管理规定</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32</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十、效益提成</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33</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十一、保险福利</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33</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1</w:t>
      </w:r>
      <w:r>
        <w:rPr>
          <w:rStyle w:val="33"/>
          <w:rFonts w:hint="eastAsia" w:ascii="SimHei" w:hAnsi="SimHei" w:eastAsia="黑体"/>
          <w:b w:val="0"/>
          <w:color w:val="auto"/>
          <w:sz w:val="24"/>
          <w:szCs w:val="24"/>
          <w:u w:val="none"/>
        </w:rPr>
        <w:t>、社会保险</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33</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2</w:t>
      </w:r>
      <w:r>
        <w:rPr>
          <w:rStyle w:val="33"/>
          <w:rFonts w:hint="eastAsia" w:ascii="SimHei" w:hAnsi="SimHei" w:eastAsia="黑体"/>
          <w:b w:val="0"/>
          <w:color w:val="auto"/>
          <w:sz w:val="24"/>
          <w:szCs w:val="24"/>
          <w:u w:val="none"/>
        </w:rPr>
        <w:t>、带薪旅游</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33</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3</w:t>
      </w:r>
      <w:r>
        <w:rPr>
          <w:rStyle w:val="33"/>
          <w:rFonts w:hint="eastAsia" w:ascii="SimHei" w:hAnsi="SimHei" w:eastAsia="黑体"/>
          <w:b w:val="0"/>
          <w:color w:val="auto"/>
          <w:sz w:val="24"/>
          <w:szCs w:val="24"/>
          <w:u w:val="none"/>
        </w:rPr>
        <w:t>、节假日福利</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33</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4</w:t>
      </w:r>
      <w:r>
        <w:rPr>
          <w:rStyle w:val="33"/>
          <w:rFonts w:hint="eastAsia" w:ascii="SimHei" w:hAnsi="SimHei" w:eastAsia="黑体"/>
          <w:b w:val="0"/>
          <w:color w:val="auto"/>
          <w:sz w:val="24"/>
          <w:szCs w:val="24"/>
          <w:u w:val="none"/>
        </w:rPr>
        <w:t>、免费体检</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34</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5</w:t>
      </w:r>
      <w:r>
        <w:rPr>
          <w:rStyle w:val="33"/>
          <w:rFonts w:hint="eastAsia" w:ascii="SimHei" w:hAnsi="SimHei" w:eastAsia="黑体"/>
          <w:b w:val="0"/>
          <w:color w:val="auto"/>
          <w:sz w:val="24"/>
          <w:szCs w:val="24"/>
          <w:u w:val="none"/>
        </w:rPr>
        <w:t>、优才计划</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34</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第四章调整与晋升</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1</w:t>
      </w:r>
      <w:r>
        <w:rPr>
          <w:rStyle w:val="33"/>
          <w:rFonts w:hint="eastAsia" w:ascii="SimHei" w:hAnsi="SimHei" w:eastAsia="黑体"/>
          <w:b w:val="0"/>
          <w:color w:val="auto"/>
          <w:sz w:val="24"/>
          <w:szCs w:val="24"/>
          <w:u w:val="none"/>
        </w:rPr>
        <w:t>、调整范围</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2</w:t>
      </w:r>
      <w:r>
        <w:rPr>
          <w:rStyle w:val="33"/>
          <w:rFonts w:hint="eastAsia" w:ascii="SimHei" w:hAnsi="SimHei" w:eastAsia="黑体"/>
          <w:b w:val="0"/>
          <w:color w:val="auto"/>
          <w:sz w:val="24"/>
          <w:szCs w:val="24"/>
          <w:u w:val="none"/>
        </w:rPr>
        <w:t>、调整幅度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3</w:t>
      </w:r>
      <w:r>
        <w:rPr>
          <w:rStyle w:val="33"/>
          <w:rFonts w:hint="eastAsia" w:ascii="SimHei" w:hAnsi="SimHei" w:eastAsia="黑体"/>
          <w:b w:val="0"/>
          <w:color w:val="auto"/>
          <w:sz w:val="24"/>
          <w:szCs w:val="24"/>
          <w:u w:val="none"/>
        </w:rPr>
        <w:t>、调整方案</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35</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4</w:t>
      </w:r>
      <w:r>
        <w:rPr>
          <w:rStyle w:val="33"/>
          <w:rFonts w:hint="eastAsia" w:ascii="SimHei" w:hAnsi="SimHei" w:eastAsia="黑体"/>
          <w:b w:val="0"/>
          <w:color w:val="auto"/>
          <w:sz w:val="24"/>
          <w:szCs w:val="24"/>
          <w:u w:val="none"/>
        </w:rPr>
        <w:t>、职位晋升机制</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36</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5</w:t>
      </w:r>
      <w:r>
        <w:rPr>
          <w:rStyle w:val="33"/>
          <w:rFonts w:hint="eastAsia" w:ascii="SimHei" w:hAnsi="SimHei" w:eastAsia="黑体"/>
          <w:b w:val="0"/>
          <w:color w:val="auto"/>
          <w:sz w:val="24"/>
          <w:szCs w:val="24"/>
          <w:u w:val="none"/>
        </w:rPr>
        <w:t>、调整与晋升评定周期</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36</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ascii="SimHei" w:hAnsi="SimHei" w:eastAsia="黑体"/>
          <w:b w:val="0"/>
          <w:color w:val="auto"/>
          <w:sz w:val="24"/>
          <w:szCs w:val="24"/>
          <w:u w:val="none"/>
        </w:rPr>
        <w:t>6</w:t>
      </w:r>
      <w:r>
        <w:rPr>
          <w:rStyle w:val="33"/>
          <w:rFonts w:hint="eastAsia" w:ascii="SimHei" w:hAnsi="SimHei" w:eastAsia="黑体"/>
          <w:b w:val="0"/>
          <w:color w:val="auto"/>
          <w:sz w:val="24"/>
          <w:szCs w:val="24"/>
          <w:u w:val="none"/>
        </w:rPr>
        <w:t>、管理规定</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36</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第五章试用期薪酬设计</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37</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第六章考评人员管理</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38</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b w:val="0"/>
          <w:color w:val="auto"/>
          <w:sz w:val="24"/>
          <w:szCs w:val="24"/>
          <w:u w:val="none"/>
        </w:rPr>
        <w:t>一、包含主观评分的项目</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38</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b w:val="0"/>
          <w:color w:val="auto"/>
          <w:sz w:val="24"/>
          <w:szCs w:val="24"/>
          <w:u w:val="none"/>
        </w:rPr>
        <w:t>二、评分梯次</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38</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b w:val="0"/>
          <w:color w:val="auto"/>
          <w:sz w:val="24"/>
          <w:szCs w:val="24"/>
          <w:u w:val="none"/>
        </w:rPr>
        <w:t>三、评分要求</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38</w:t>
      </w:r>
      <w:r>
        <w:rPr>
          <w:rFonts w:ascii="SimHei" w:hAnsi="SimHei" w:eastAsia="黑体"/>
        </w:rPr>
      </w:r>
      <w:r>
        <w:rPr>
          <w:rFonts w:ascii="SimHei" w:hAnsi="SimHei" w:eastAsia="黑体"/>
        </w:rPr>
      </w:r>
    </w:p>
    <w:p>
      <w:pPr>
        <w:pStyle w:val="19"/>
        <w:tabs>
          <w:tab w:val="left" w:pos="709"/>
          <w:tab w:val="left" w:pos="851"/>
          <w:tab w:val="left" w:pos="8931"/>
        </w:tabs>
        <w:ind w:right="168" w:rightChars="80"/>
        <w:rPr>
          <w:kern w:val="2"/>
        </w:rPr>
      </w:pP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b w:val="0"/>
          <w:color w:val="auto"/>
          <w:sz w:val="24"/>
          <w:szCs w:val="24"/>
          <w:u w:val="none"/>
        </w:rPr>
        <w:t>四、绩效面谈</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41</w:t>
      </w:r>
      <w:r>
        <w:rPr>
          <w:rFonts w:ascii="SimHei" w:hAnsi="SimHei" w:eastAsia="黑体"/>
        </w:rPr>
      </w:r>
      <w:r>
        <w:rPr>
          <w:rFonts w:ascii="SimHei" w:hAnsi="SimHei" w:eastAsia="黑体"/>
        </w:rPr>
      </w:r>
    </w:p>
    <w:p>
      <w:pPr>
        <w:pStyle w:val="4"/>
        <w:tabs>
          <w:tab w:val="left" w:pos="709"/>
          <w:tab w:val="left" w:pos="851"/>
          <w:tab w:val="left" w:pos="8931"/>
        </w:tabs>
        <w:spacing w:before="0" w:after="0" w:line="360" w:lineRule="auto"/>
        <w:ind w:right="168" w:rightChars="80" w:firstLine="480" w:firstLineChars="200"/>
        <w:rPr>
          <w:rFonts w:ascii="楷体" w:hAnsi="楷体" w:eastAsia="楷体"/>
          <w:b w:val="0"/>
          <w:sz w:val="24"/>
          <w:szCs w:val="24"/>
        </w:rPr>
      </w:pPr>
      <w:r>
        <w:rPr>
          <w:rFonts w:ascii="SimHei" w:hAnsi="SimHei" w:eastAsia="黑体"/>
          <w:b w:val="0"/>
          <w:sz w:val="24"/>
          <w:szCs w:val="24"/>
        </w:rPr>
      </w:r>
      <w:bookmarkStart w:id="0" w:name="_Toc407729164"/>
      <w:bookmarkStart w:id="1" w:name="_Toc408573157"/>
    </w:p>
    <w:p>
      <w:pPr>
        <w:tabs>
          <w:tab w:val="left" w:pos="709"/>
          <w:tab w:val="left" w:pos="851"/>
          <w:tab w:val="left" w:pos="8931"/>
        </w:tabs>
        <w:ind w:right="168" w:rightChars="80"/>
        <w:rPr>
          <w:rFonts w:ascii="楷体" w:hAnsi="楷体" w:eastAsia="楷体"/>
          <w:sz w:val="24"/>
          <w:szCs w:val="24"/>
        </w:rPr>
      </w:pPr>
      <w:r>
        <w:rPr>
          <w:rFonts w:ascii="SimHei" w:hAnsi="SimHei" w:eastAsia="黑体"/>
          <w:sz w:val="24"/>
          <w:szCs w:val="24"/>
        </w:rPr>
      </w:r>
      <w:bookmarkStart w:id="169" w:name="_GoBack"/>
      <w:bookmarkEnd w:id="169"/>
    </w:p>
    <w:p>
      <w:pPr>
        <w:pStyle w:val="4"/>
        <w:tabs>
          <w:tab w:val="left" w:pos="709"/>
          <w:tab w:val="left" w:pos="851"/>
          <w:tab w:val="left" w:pos="8931"/>
        </w:tabs>
        <w:spacing w:before="0" w:after="0" w:line="360" w:lineRule="auto"/>
        <w:ind w:right="168" w:rightChars="80"/>
        <w:jc w:val="center"/>
        <w:rPr>
          <w:rFonts w:ascii="楷体" w:hAnsi="楷体" w:eastAsia="楷体"/>
          <w:sz w:val="28"/>
          <w:szCs w:val="24"/>
        </w:rPr>
      </w:pPr>
      <w:r>
        <w:rPr>
          <w:rFonts w:hint="eastAsia" w:ascii="SimHei" w:hAnsi="SimHei" w:eastAsia="黑体"/>
          <w:sz w:val="28"/>
          <w:szCs w:val="24"/>
        </w:rPr>
        <w:t>第一章  总则</w:t>
      </w:r>
      <w:bookmarkEnd w:id="0"/>
      <w:bookmarkEnd w:id="1"/>
    </w:p>
    <w:p>
      <w:pPr>
        <w:pStyle w:val="3"/>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2" w:name="_Toc407729165"/>
      <w:bookmarkStart w:id="3" w:name="_Toc408573158"/>
      <w:r>
        <w:rPr>
          <w:rFonts w:hint="eastAsia" w:ascii="SimHei" w:hAnsi="SimHei" w:eastAsia="黑体"/>
          <w:sz w:val="24"/>
          <w:szCs w:val="24"/>
        </w:rPr>
        <w:t>一、薪酬设计思路</w:t>
      </w:r>
      <w:bookmarkEnd w:id="2"/>
      <w:bookmarkEnd w:id="3"/>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4" w:name="_Toc407729166"/>
      <w:bookmarkStart w:id="5" w:name="_Toc408573159"/>
      <w:r>
        <w:rPr>
          <w:rFonts w:hint="eastAsia" w:ascii="SimHei" w:hAnsi="SimHei" w:eastAsia="黑体"/>
          <w:sz w:val="24"/>
          <w:szCs w:val="24"/>
        </w:rPr>
        <w:t>1、薪酬战略定位</w:t>
      </w:r>
      <w:bookmarkEnd w:id="4"/>
      <w:bookmarkEnd w:id="5"/>
    </w:p>
    <w:p>
      <w:pPr>
        <w:tabs>
          <w:tab w:val="left" w:pos="709"/>
          <w:tab w:val="left" w:pos="851"/>
          <w:tab w:val="left" w:pos="8931"/>
        </w:tabs>
        <w:spacing w:line="360" w:lineRule="auto"/>
        <w:ind w:right="168" w:rightChars="80" w:firstLine="480" w:firstLineChars="200"/>
        <w:rPr>
          <w:rFonts w:ascii="楷体" w:hAnsi="楷体" w:eastAsia="楷体" w:cs="宋体"/>
          <w:kern w:val="0"/>
          <w:sz w:val="24"/>
          <w:szCs w:val="24"/>
        </w:rPr>
      </w:pPr>
      <w:r>
        <w:rPr>
          <w:rFonts w:hint="eastAsia" w:ascii="SimHei" w:hAnsi="SimHei" w:eastAsia="黑体" w:cs="宋体"/>
          <w:kern w:val="0"/>
          <w:sz w:val="24"/>
          <w:szCs w:val="24"/>
        </w:rPr>
        <w:t>为保证公司人才的稳定性与合理的流动率，整体收入水平趋于市场行情50-75分位以上，对于关键性稀缺人才达到90分位为以上，居中上游水平，具有较强的外部竞争力，基本属于市场领先型薪酬战略。</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6" w:name="_Toc408573160"/>
      <w:bookmarkStart w:id="7" w:name="_Toc407729167"/>
      <w:r>
        <w:rPr>
          <w:rFonts w:hint="eastAsia" w:ascii="SimHei" w:hAnsi="SimHei" w:eastAsia="黑体"/>
          <w:sz w:val="24"/>
          <w:szCs w:val="24"/>
        </w:rPr>
        <w:t>2、薪酬设计原则</w:t>
      </w:r>
      <w:bookmarkEnd w:id="6"/>
      <w:bookmarkEnd w:id="7"/>
    </w:p>
    <w:p>
      <w:pPr>
        <w:tabs>
          <w:tab w:val="left" w:pos="709"/>
          <w:tab w:val="left" w:pos="851"/>
          <w:tab w:val="left" w:pos="8931"/>
        </w:tabs>
        <w:spacing w:line="360" w:lineRule="auto"/>
        <w:ind w:right="168" w:rightChars="80" w:firstLine="480" w:firstLineChars="200"/>
        <w:rPr>
          <w:rFonts w:ascii="楷体" w:hAnsi="楷体" w:eastAsia="楷体" w:cs="宋体"/>
          <w:kern w:val="0"/>
          <w:sz w:val="24"/>
          <w:szCs w:val="24"/>
        </w:rPr>
      </w:pPr>
      <w:r>
        <w:rPr>
          <w:rFonts w:hint="eastAsia" w:ascii="SimHei" w:hAnsi="SimHei" w:eastAsia="黑体" w:cs="宋体"/>
          <w:kern w:val="0"/>
          <w:sz w:val="24"/>
          <w:szCs w:val="24"/>
        </w:rPr>
        <w:t>（1）效益优先。员工的工作内容、指标要以公司规划目标分解为导向，员工的收入水平要以公司盈利目标达成为前提；</w:t>
      </w:r>
    </w:p>
    <w:p>
      <w:pPr>
        <w:tabs>
          <w:tab w:val="left" w:pos="709"/>
          <w:tab w:val="left" w:pos="851"/>
          <w:tab w:val="left" w:pos="8931"/>
        </w:tabs>
        <w:spacing w:line="360" w:lineRule="auto"/>
        <w:ind w:right="168" w:rightChars="80" w:firstLine="480" w:firstLineChars="200"/>
        <w:rPr>
          <w:rFonts w:ascii="楷体" w:hAnsi="楷体" w:eastAsia="楷体"/>
          <w:b/>
          <w:sz w:val="24"/>
          <w:szCs w:val="24"/>
        </w:rPr>
      </w:pPr>
      <w:r>
        <w:rPr>
          <w:rFonts w:hint="eastAsia" w:ascii="SimHei" w:hAnsi="SimHei" w:eastAsia="黑体" w:cs="宋体"/>
          <w:kern w:val="0"/>
          <w:sz w:val="24"/>
          <w:szCs w:val="24"/>
        </w:rPr>
        <w:t>（2）兼顾公平。员工的收入与个人业绩和综合素质全面挂钩，公平公开，差距合理，并形成规范制度，避免人为因素主导薪资区分；</w:t>
      </w:r>
    </w:p>
    <w:p>
      <w:pPr>
        <w:tabs>
          <w:tab w:val="left" w:pos="709"/>
          <w:tab w:val="left" w:pos="851"/>
          <w:tab w:val="left" w:pos="8931"/>
        </w:tabs>
        <w:spacing w:line="360" w:lineRule="auto"/>
        <w:ind w:right="168" w:rightChars="80" w:firstLine="480" w:firstLineChars="200"/>
        <w:rPr>
          <w:rFonts w:ascii="楷体" w:hAnsi="楷体" w:eastAsia="楷体" w:cs="宋体"/>
          <w:kern w:val="0"/>
          <w:sz w:val="24"/>
          <w:szCs w:val="24"/>
        </w:rPr>
      </w:pPr>
      <w:r>
        <w:rPr>
          <w:rFonts w:hint="eastAsia" w:ascii="SimHei" w:hAnsi="SimHei" w:eastAsia="黑体" w:cs="宋体"/>
          <w:kern w:val="0"/>
          <w:sz w:val="24"/>
          <w:szCs w:val="24"/>
        </w:rPr>
        <w:t>（3）激励机制。引入多元化的激励模式，充分利用薪酬杠杆调节，上升空间大而广，调动员工潜能与工作热情。</w:t>
      </w:r>
    </w:p>
    <w:p>
      <w:pPr>
        <w:pStyle w:val="3"/>
        <w:tabs>
          <w:tab w:val="left" w:pos="709"/>
          <w:tab w:val="left" w:pos="851"/>
          <w:tab w:val="left" w:pos="8931"/>
        </w:tabs>
        <w:spacing w:before="0" w:after="0" w:line="360" w:lineRule="auto"/>
        <w:ind w:right="168" w:rightChars="80" w:firstLine="482" w:firstLineChars="200"/>
        <w:rPr>
          <w:rFonts w:ascii="楷体" w:hAnsi="楷体" w:eastAsia="楷体"/>
          <w:kern w:val="0"/>
          <w:sz w:val="24"/>
          <w:szCs w:val="24"/>
        </w:rPr>
      </w:pPr>
      <w:bookmarkStart w:id="8" w:name="_Toc407729168"/>
      <w:bookmarkStart w:id="9" w:name="_Toc408573161"/>
      <w:r>
        <w:rPr>
          <w:rFonts w:hint="eastAsia" w:ascii="SimHei" w:hAnsi="SimHei" w:eastAsia="黑体"/>
          <w:kern w:val="0"/>
          <w:sz w:val="24"/>
          <w:szCs w:val="24"/>
        </w:rPr>
        <w:t>二、薪酬管理模式</w:t>
      </w:r>
      <w:bookmarkEnd w:id="8"/>
      <w:bookmarkEnd w:id="9"/>
    </w:p>
    <w:p>
      <w:pPr>
        <w:tabs>
          <w:tab w:val="left" w:pos="709"/>
          <w:tab w:val="left" w:pos="851"/>
          <w:tab w:val="left" w:pos="8931"/>
        </w:tabs>
        <w:autoSpaceDE w:val="0"/>
        <w:autoSpaceDN w:val="0"/>
        <w:adjustRightInd w:val="0"/>
        <w:spacing w:line="360" w:lineRule="auto"/>
        <w:ind w:right="168" w:rightChars="80" w:firstLine="480" w:firstLineChars="200"/>
        <w:rPr>
          <w:rFonts w:ascii="楷体" w:hAnsi="楷体" w:eastAsia="楷体" w:cs="宋体"/>
          <w:kern w:val="0"/>
          <w:sz w:val="24"/>
          <w:szCs w:val="24"/>
        </w:rPr>
      </w:pPr>
      <w:r>
        <w:rPr>
          <w:rFonts w:hint="eastAsia" w:ascii="SimHei" w:hAnsi="SimHei" w:eastAsia="黑体" w:cs="宋体"/>
          <w:kern w:val="0"/>
          <w:sz w:val="24"/>
          <w:szCs w:val="24"/>
        </w:rPr>
        <w:t>为遵循公司薪酬设计的三项原则，采用能挖掘员工内在潜力与行为的4P模式，以满足员工多层次需求，同时有利于实现公司战略目标。</w:t>
      </w:r>
    </w:p>
    <w:p>
      <w:pPr>
        <w:pStyle w:val="4"/>
        <w:tabs>
          <w:tab w:val="left" w:pos="709"/>
          <w:tab w:val="left" w:pos="851"/>
          <w:tab w:val="left" w:pos="8931"/>
        </w:tabs>
        <w:spacing w:before="0" w:after="0" w:line="360" w:lineRule="auto"/>
        <w:ind w:right="168" w:rightChars="80" w:firstLine="482" w:firstLineChars="200"/>
        <w:rPr>
          <w:rFonts w:ascii="楷体" w:hAnsi="楷体" w:eastAsia="楷体"/>
          <w:kern w:val="0"/>
          <w:sz w:val="24"/>
          <w:szCs w:val="24"/>
        </w:rPr>
      </w:pPr>
      <w:bookmarkStart w:id="10" w:name="_Toc408573162"/>
      <w:r>
        <w:rPr>
          <w:rFonts w:hint="eastAsia" w:ascii="SimHei" w:hAnsi="SimHei" w:eastAsia="黑体"/>
          <w:kern w:val="0"/>
          <w:sz w:val="24"/>
          <w:szCs w:val="24"/>
        </w:rPr>
        <w:t>P1：以市场为导向（Price）</w:t>
      </w:r>
      <w:bookmarkEnd w:id="10"/>
    </w:p>
    <w:p>
      <w:pPr>
        <w:tabs>
          <w:tab w:val="left" w:pos="709"/>
          <w:tab w:val="left" w:pos="851"/>
          <w:tab w:val="left" w:pos="8931"/>
        </w:tabs>
        <w:autoSpaceDE w:val="0"/>
        <w:autoSpaceDN w:val="0"/>
        <w:adjustRightInd w:val="0"/>
        <w:spacing w:line="360" w:lineRule="auto"/>
        <w:ind w:right="168" w:rightChars="80" w:firstLine="480" w:firstLineChars="200"/>
        <w:rPr>
          <w:rFonts w:ascii="楷体" w:hAnsi="楷体" w:eastAsia="楷体" w:cs="宋体"/>
          <w:kern w:val="0"/>
          <w:sz w:val="24"/>
          <w:szCs w:val="24"/>
        </w:rPr>
      </w:pPr>
      <w:r>
        <w:rPr>
          <w:rFonts w:hint="eastAsia" w:ascii="SimHei" w:hAnsi="SimHei" w:eastAsia="黑体" w:cs="宋体"/>
          <w:kern w:val="0"/>
          <w:sz w:val="24"/>
          <w:szCs w:val="24"/>
        </w:rPr>
        <w:t>公司整体薪酬结构以及薪酬水平要根据公司经营效益、薪资市场行情、宏观经济因素变化等适时调整，能动的适应公司发展和人力资源开发的需要，保持薪酬体系的动态涨跌，促使公司薪酬制度逐步实现市场化、企业化。</w:t>
      </w:r>
    </w:p>
    <w:p>
      <w:pPr>
        <w:pStyle w:val="4"/>
        <w:tabs>
          <w:tab w:val="left" w:pos="709"/>
          <w:tab w:val="left" w:pos="851"/>
          <w:tab w:val="left" w:pos="8931"/>
        </w:tabs>
        <w:spacing w:before="0" w:after="0" w:line="360" w:lineRule="auto"/>
        <w:ind w:right="168" w:rightChars="80" w:firstLine="482" w:firstLineChars="200"/>
        <w:rPr>
          <w:rFonts w:ascii="楷体" w:hAnsi="楷体" w:eastAsia="楷体"/>
          <w:kern w:val="0"/>
          <w:sz w:val="24"/>
          <w:szCs w:val="24"/>
        </w:rPr>
      </w:pPr>
      <w:bookmarkStart w:id="11" w:name="_Toc408573163"/>
      <w:r>
        <w:rPr>
          <w:rFonts w:hint="eastAsia" w:ascii="SimHei" w:hAnsi="SimHei" w:eastAsia="黑体"/>
          <w:kern w:val="0"/>
          <w:sz w:val="24"/>
          <w:szCs w:val="24"/>
        </w:rPr>
        <w:t>P2：以岗位为导向（Position）</w:t>
      </w:r>
      <w:bookmarkEnd w:id="11"/>
    </w:p>
    <w:p>
      <w:pPr>
        <w:tabs>
          <w:tab w:val="left" w:pos="709"/>
          <w:tab w:val="left" w:pos="851"/>
          <w:tab w:val="left" w:pos="8931"/>
        </w:tabs>
        <w:autoSpaceDE w:val="0"/>
        <w:autoSpaceDN w:val="0"/>
        <w:adjustRightInd w:val="0"/>
        <w:spacing w:line="360" w:lineRule="auto"/>
        <w:ind w:right="168" w:rightChars="80" w:firstLine="480" w:firstLineChars="200"/>
        <w:rPr>
          <w:rFonts w:ascii="楷体" w:hAnsi="楷体" w:eastAsia="楷体" w:cs="宋体"/>
          <w:kern w:val="0"/>
          <w:sz w:val="24"/>
          <w:szCs w:val="24"/>
        </w:rPr>
      </w:pPr>
      <w:r>
        <w:rPr>
          <w:rFonts w:hint="eastAsia" w:ascii="SimHei" w:hAnsi="SimHei" w:eastAsia="黑体" w:cs="宋体"/>
          <w:kern w:val="0"/>
          <w:sz w:val="24"/>
          <w:szCs w:val="24"/>
        </w:rPr>
        <w:t>做好岗位评价，将岗位科学分级分等，用数据量化岗位的价值和贡献度，推动公平有效的岗位评估体系建设</w:t>
      </w:r>
    </w:p>
    <w:p>
      <w:pPr>
        <w:pStyle w:val="4"/>
        <w:tabs>
          <w:tab w:val="left" w:pos="709"/>
          <w:tab w:val="left" w:pos="851"/>
          <w:tab w:val="left" w:pos="8931"/>
        </w:tabs>
        <w:spacing w:before="0" w:after="0" w:line="360" w:lineRule="auto"/>
        <w:ind w:right="168" w:rightChars="80" w:firstLine="482" w:firstLineChars="200"/>
        <w:rPr>
          <w:rFonts w:ascii="楷体" w:hAnsi="楷体" w:eastAsia="楷体"/>
          <w:kern w:val="0"/>
          <w:sz w:val="24"/>
          <w:szCs w:val="24"/>
        </w:rPr>
      </w:pPr>
      <w:bookmarkStart w:id="12" w:name="_Toc408573164"/>
      <w:r>
        <w:rPr>
          <w:rFonts w:hint="eastAsia" w:ascii="SimHei" w:hAnsi="SimHei" w:eastAsia="黑体"/>
          <w:kern w:val="0"/>
          <w:sz w:val="24"/>
          <w:szCs w:val="24"/>
        </w:rPr>
        <w:t>P3：以技能为导向（Person）</w:t>
      </w:r>
      <w:bookmarkEnd w:id="12"/>
    </w:p>
    <w:p>
      <w:pPr>
        <w:tabs>
          <w:tab w:val="left" w:pos="709"/>
          <w:tab w:val="left" w:pos="851"/>
          <w:tab w:val="left" w:pos="8931"/>
        </w:tabs>
        <w:autoSpaceDE w:val="0"/>
        <w:autoSpaceDN w:val="0"/>
        <w:adjustRightInd w:val="0"/>
        <w:spacing w:line="360" w:lineRule="auto"/>
        <w:ind w:right="168" w:rightChars="80" w:firstLine="480" w:firstLineChars="200"/>
        <w:rPr>
          <w:rFonts w:ascii="楷体" w:hAnsi="楷体" w:eastAsia="楷体" w:cs="宋体"/>
          <w:kern w:val="0"/>
          <w:sz w:val="24"/>
          <w:szCs w:val="24"/>
        </w:rPr>
      </w:pPr>
      <w:r>
        <w:rPr>
          <w:rFonts w:hint="eastAsia" w:ascii="SimHei" w:hAnsi="SimHei" w:eastAsia="黑体" w:cs="宋体"/>
          <w:kern w:val="0"/>
          <w:sz w:val="24"/>
          <w:szCs w:val="24"/>
        </w:rPr>
        <w:t>将员工的能力和岗位适度与薪酬挂钩，开辟员工横向发展跑道，满足在职位晋升机会不足的情况下员工个体发展的需求，推动“固定岗位可变薪资”的宽带薪酬机制建设</w:t>
      </w:r>
    </w:p>
    <w:p>
      <w:pPr>
        <w:pStyle w:val="4"/>
        <w:tabs>
          <w:tab w:val="left" w:pos="709"/>
          <w:tab w:val="left" w:pos="851"/>
          <w:tab w:val="left" w:pos="8931"/>
        </w:tabs>
        <w:spacing w:before="0" w:after="0" w:line="360" w:lineRule="auto"/>
        <w:ind w:right="168" w:rightChars="80" w:firstLine="482" w:firstLineChars="200"/>
        <w:rPr>
          <w:rFonts w:ascii="楷体" w:hAnsi="楷体" w:eastAsia="楷体"/>
          <w:kern w:val="0"/>
          <w:sz w:val="24"/>
          <w:szCs w:val="24"/>
        </w:rPr>
      </w:pPr>
      <w:bookmarkStart w:id="13" w:name="_Toc408573165"/>
      <w:r>
        <w:rPr>
          <w:rFonts w:hint="eastAsia" w:ascii="SimHei" w:hAnsi="SimHei" w:eastAsia="黑体"/>
          <w:kern w:val="0"/>
          <w:sz w:val="24"/>
          <w:szCs w:val="24"/>
        </w:rPr>
        <w:t>P4：以业绩为导向（Performance）</w:t>
      </w:r>
      <w:bookmarkEnd w:id="13"/>
    </w:p>
    <w:p>
      <w:pPr>
        <w:tabs>
          <w:tab w:val="left" w:pos="709"/>
          <w:tab w:val="left" w:pos="851"/>
          <w:tab w:val="left" w:pos="8931"/>
        </w:tabs>
        <w:autoSpaceDE w:val="0"/>
        <w:autoSpaceDN w:val="0"/>
        <w:adjustRightInd w:val="0"/>
        <w:spacing w:line="360" w:lineRule="auto"/>
        <w:ind w:right="168" w:rightChars="80" w:firstLine="480" w:firstLineChars="200"/>
        <w:rPr>
          <w:rFonts w:ascii="楷体" w:hAnsi="楷体" w:eastAsia="楷体" w:cs="宋体"/>
          <w:kern w:val="0"/>
          <w:sz w:val="24"/>
          <w:szCs w:val="24"/>
        </w:rPr>
      </w:pPr>
      <w:r>
        <w:rPr>
          <w:rFonts w:hint="eastAsia" w:ascii="SimHei" w:hAnsi="SimHei" w:eastAsia="黑体" w:cs="宋体"/>
          <w:kern w:val="0"/>
          <w:sz w:val="24"/>
          <w:szCs w:val="24"/>
        </w:rPr>
        <w:t>严格执行“按贡献分配”，用结果和实力说话，将个人收入与个人业绩全面挂钩，推动能者多得的绩效管理体制建设</w:t>
      </w:r>
      <w:bookmarkStart w:id="14" w:name="_Toc408573166"/>
      <w:bookmarkStart w:id="15" w:name="_Toc407729169"/>
      <w:r>
        <w:rPr>
          <w:rFonts w:ascii="SimHei" w:hAnsi="SimHei" w:eastAsia="黑体" w:cs="宋体"/>
          <w:kern w:val="0"/>
          <w:sz w:val="24"/>
          <w:szCs w:val="24"/>
        </w:rPr>
      </w:r>
    </w:p>
    <w:p>
      <w:pPr>
        <w:pStyle w:val="4"/>
        <w:tabs>
          <w:tab w:val="left" w:pos="709"/>
          <w:tab w:val="left" w:pos="851"/>
          <w:tab w:val="left" w:pos="8931"/>
        </w:tabs>
        <w:spacing w:before="0" w:after="0" w:line="360" w:lineRule="auto"/>
        <w:ind w:right="168" w:rightChars="80"/>
        <w:jc w:val="center"/>
        <w:rPr>
          <w:rFonts w:ascii="楷体" w:hAnsi="楷体" w:eastAsia="楷体" w:cs="宋体"/>
          <w:b w:val="0"/>
          <w:kern w:val="0"/>
          <w:sz w:val="24"/>
          <w:szCs w:val="24"/>
        </w:rPr>
      </w:pPr>
      <w:r>
        <w:rPr>
          <w:rFonts w:hint="eastAsia" w:ascii="SimHei" w:hAnsi="SimHei" w:eastAsia="黑体"/>
          <w:sz w:val="28"/>
          <w:szCs w:val="24"/>
        </w:rPr>
        <w:t>第二章  薪酬调查</w:t>
      </w:r>
      <w:bookmarkEnd w:id="14"/>
      <w:bookmarkEnd w:id="15"/>
    </w:p>
    <w:p>
      <w:pPr>
        <w:pStyle w:val="3"/>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6" w:name="_Toc407729170"/>
      <w:bookmarkStart w:id="17" w:name="_Toc408573167"/>
      <w:r>
        <w:rPr>
          <w:rFonts w:hint="eastAsia" w:ascii="SimHei" w:hAnsi="SimHei" w:eastAsia="黑体"/>
          <w:sz w:val="24"/>
          <w:szCs w:val="24"/>
        </w:rPr>
        <w:t>一、薪酬市场调查结果</w:t>
      </w:r>
      <w:bookmarkEnd w:id="16"/>
      <w:bookmarkEnd w:id="17"/>
    </w:p>
    <w:tbl>
      <w:tblPr>
        <w:tblStyle w:val="28"/>
        <w:tblW w:w="8761" w:type="dxa"/>
        <w:jc w:val="center"/>
        <w:tblInd w:w="0" w:type="dxa"/>
        <w:tblLayout w:type="fixed"/>
        <w:tblCellMar>
          <w:top w:w="0" w:type="dxa"/>
          <w:left w:w="108" w:type="dxa"/>
          <w:bottom w:w="0" w:type="dxa"/>
          <w:right w:w="108" w:type="dxa"/>
        </w:tblCellMar>
      </w:tblPr>
      <w:tblGrid>
        <w:gridCol w:w="2153"/>
        <w:gridCol w:w="2525"/>
        <w:gridCol w:w="1958"/>
        <w:gridCol w:w="2125"/>
      </w:tblGrid>
      <w:tr>
        <w:tblPrEx>
          <w:tblLayout w:type="fixed"/>
          <w:tblCellMar>
            <w:top w:w="0" w:type="dxa"/>
            <w:left w:w="108" w:type="dxa"/>
            <w:bottom w:w="0" w:type="dxa"/>
            <w:right w:w="108" w:type="dxa"/>
          </w:tblCellMar>
        </w:tblPrEx>
        <w:trPr>
          <w:trHeight w:val="397" w:hRule="exact"/>
          <w:jc w:val="center"/>
        </w:trPr>
        <w:tc>
          <w:tcPr>
            <w:tcW w:w="21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公司类型</w:t>
            </w:r>
          </w:p>
        </w:tc>
        <w:tc>
          <w:tcPr>
            <w:tcW w:w="2525"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岗位名称</w:t>
            </w:r>
          </w:p>
        </w:tc>
        <w:tc>
          <w:tcPr>
            <w:tcW w:w="1958"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最低工资</w:t>
            </w:r>
            <w:r>
              <w:rPr>
                <w:rFonts w:ascii="SimHei" w:hAnsi="SimHei" w:eastAsia="黑体" w:cs="宋体"/>
                <w:bCs/>
                <w:kern w:val="0"/>
                <w:sz w:val="24"/>
                <w:szCs w:val="24"/>
              </w:rPr>
              <w:t>(</w:t>
            </w:r>
            <w:r>
              <w:rPr>
                <w:rFonts w:hint="eastAsia" w:ascii="SimHei" w:hAnsi="SimHei" w:eastAsia="黑体" w:cs="宋体"/>
                <w:bCs/>
                <w:kern w:val="0"/>
                <w:sz w:val="24"/>
                <w:szCs w:val="24"/>
              </w:rPr>
              <w:t>年</w:t>
            </w:r>
            <w:r>
              <w:rPr>
                <w:rFonts w:ascii="SimHei" w:hAnsi="SimHei" w:eastAsia="黑体" w:cs="宋体"/>
                <w:bCs/>
                <w:kern w:val="0"/>
                <w:sz w:val="24"/>
                <w:szCs w:val="24"/>
              </w:rPr>
              <w:t>/</w:t>
            </w:r>
            <w:r>
              <w:rPr>
                <w:rFonts w:hint="eastAsia" w:ascii="SimHei" w:hAnsi="SimHei" w:eastAsia="黑体" w:cs="宋体"/>
                <w:bCs/>
                <w:kern w:val="0"/>
                <w:sz w:val="24"/>
                <w:szCs w:val="24"/>
              </w:rPr>
              <w:t>元</w:t>
            </w:r>
            <w:r>
              <w:rPr>
                <w:rFonts w:ascii="SimHei" w:hAnsi="SimHei" w:eastAsia="黑体" w:cs="宋体"/>
                <w:bCs/>
                <w:kern w:val="0"/>
                <w:sz w:val="24"/>
                <w:szCs w:val="24"/>
              </w:rPr>
              <w:t>)</w:t>
            </w:r>
          </w:p>
        </w:tc>
        <w:tc>
          <w:tcPr>
            <w:tcW w:w="2125"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平均工资</w:t>
            </w:r>
            <w:r>
              <w:rPr>
                <w:rFonts w:ascii="SimHei" w:hAnsi="SimHei" w:eastAsia="黑体" w:cs="宋体"/>
                <w:bCs/>
                <w:kern w:val="0"/>
                <w:sz w:val="24"/>
                <w:szCs w:val="24"/>
              </w:rPr>
              <w:t>(</w:t>
            </w:r>
            <w:r>
              <w:rPr>
                <w:rFonts w:hint="eastAsia" w:ascii="SimHei" w:hAnsi="SimHei" w:eastAsia="黑体" w:cs="宋体"/>
                <w:bCs/>
                <w:kern w:val="0"/>
                <w:sz w:val="24"/>
                <w:szCs w:val="24"/>
              </w:rPr>
              <w:t>年</w:t>
            </w:r>
            <w:r>
              <w:rPr>
                <w:rFonts w:ascii="SimHei" w:hAnsi="SimHei" w:eastAsia="黑体" w:cs="宋体"/>
                <w:bCs/>
                <w:kern w:val="0"/>
                <w:sz w:val="24"/>
                <w:szCs w:val="24"/>
              </w:rPr>
              <w:t>/</w:t>
            </w:r>
            <w:r>
              <w:rPr>
                <w:rFonts w:hint="eastAsia" w:ascii="SimHei" w:hAnsi="SimHei" w:eastAsia="黑体" w:cs="宋体"/>
                <w:bCs/>
                <w:kern w:val="0"/>
                <w:sz w:val="24"/>
                <w:szCs w:val="24"/>
              </w:rPr>
              <w:t>元</w:t>
            </w:r>
            <w:r>
              <w:rPr>
                <w:rFonts w:ascii="SimHei" w:hAnsi="SimHei" w:eastAsia="黑体" w:cs="宋体"/>
                <w:bCs/>
                <w:kern w:val="0"/>
                <w:sz w:val="24"/>
                <w:szCs w:val="24"/>
              </w:rPr>
              <w:t>)</w:t>
            </w:r>
          </w:p>
        </w:tc>
      </w:tr>
      <w:tr>
        <w:tblPrEx>
          <w:tblLayout w:type="fixed"/>
          <w:tblCellMar>
            <w:top w:w="0" w:type="dxa"/>
            <w:left w:w="108" w:type="dxa"/>
            <w:bottom w:w="0" w:type="dxa"/>
            <w:right w:w="108" w:type="dxa"/>
          </w:tblCellMar>
        </w:tblPrEx>
        <w:trPr>
          <w:trHeight w:val="397" w:hRule="exact"/>
          <w:jc w:val="center"/>
        </w:trPr>
        <w:tc>
          <w:tcPr>
            <w:tcW w:w="2153"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民营</w:t>
            </w:r>
          </w:p>
        </w:tc>
        <w:tc>
          <w:tcPr>
            <w:tcW w:w="25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工程师</w:t>
            </w:r>
          </w:p>
        </w:tc>
        <w:tc>
          <w:tcPr>
            <w:tcW w:w="195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18000</w:t>
            </w:r>
          </w:p>
        </w:tc>
        <w:tc>
          <w:tcPr>
            <w:tcW w:w="21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100000</w:t>
            </w:r>
          </w:p>
        </w:tc>
      </w:tr>
      <w:tr>
        <w:tblPrEx>
          <w:tblLayout w:type="fixed"/>
          <w:tblCellMar>
            <w:top w:w="0" w:type="dxa"/>
            <w:left w:w="108" w:type="dxa"/>
            <w:bottom w:w="0" w:type="dxa"/>
            <w:right w:w="108" w:type="dxa"/>
          </w:tblCellMar>
        </w:tblPrEx>
        <w:trPr>
          <w:trHeight w:val="397" w:hRule="exact"/>
          <w:jc w:val="center"/>
        </w:trPr>
        <w:tc>
          <w:tcPr>
            <w:tcW w:w="2153"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民营</w:t>
            </w:r>
          </w:p>
        </w:tc>
        <w:tc>
          <w:tcPr>
            <w:tcW w:w="25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销售经理</w:t>
            </w:r>
          </w:p>
        </w:tc>
        <w:tc>
          <w:tcPr>
            <w:tcW w:w="195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18000</w:t>
            </w:r>
          </w:p>
        </w:tc>
        <w:tc>
          <w:tcPr>
            <w:tcW w:w="21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60000</w:t>
            </w:r>
          </w:p>
        </w:tc>
      </w:tr>
      <w:tr>
        <w:tblPrEx>
          <w:tblLayout w:type="fixed"/>
          <w:tblCellMar>
            <w:top w:w="0" w:type="dxa"/>
            <w:left w:w="108" w:type="dxa"/>
            <w:bottom w:w="0" w:type="dxa"/>
            <w:right w:w="108" w:type="dxa"/>
          </w:tblCellMar>
        </w:tblPrEx>
        <w:trPr>
          <w:trHeight w:val="397" w:hRule="exact"/>
          <w:jc w:val="center"/>
        </w:trPr>
        <w:tc>
          <w:tcPr>
            <w:tcW w:w="2153"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民营</w:t>
            </w:r>
          </w:p>
        </w:tc>
        <w:tc>
          <w:tcPr>
            <w:tcW w:w="25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人事主管</w:t>
            </w:r>
          </w:p>
        </w:tc>
        <w:tc>
          <w:tcPr>
            <w:tcW w:w="195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18000</w:t>
            </w:r>
          </w:p>
        </w:tc>
        <w:tc>
          <w:tcPr>
            <w:tcW w:w="21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49490</w:t>
            </w:r>
          </w:p>
        </w:tc>
      </w:tr>
      <w:tr>
        <w:tblPrEx>
          <w:tblLayout w:type="fixed"/>
          <w:tblCellMar>
            <w:top w:w="0" w:type="dxa"/>
            <w:left w:w="108" w:type="dxa"/>
            <w:bottom w:w="0" w:type="dxa"/>
            <w:right w:w="108" w:type="dxa"/>
          </w:tblCellMar>
        </w:tblPrEx>
        <w:trPr>
          <w:trHeight w:val="397" w:hRule="exact"/>
          <w:jc w:val="center"/>
        </w:trPr>
        <w:tc>
          <w:tcPr>
            <w:tcW w:w="2153"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民营</w:t>
            </w:r>
          </w:p>
        </w:tc>
        <w:tc>
          <w:tcPr>
            <w:tcW w:w="25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行政主管</w:t>
            </w:r>
          </w:p>
        </w:tc>
        <w:tc>
          <w:tcPr>
            <w:tcW w:w="195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18000</w:t>
            </w:r>
          </w:p>
        </w:tc>
        <w:tc>
          <w:tcPr>
            <w:tcW w:w="21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36720</w:t>
            </w:r>
          </w:p>
        </w:tc>
      </w:tr>
      <w:tr>
        <w:tblPrEx>
          <w:tblLayout w:type="fixed"/>
          <w:tblCellMar>
            <w:top w:w="0" w:type="dxa"/>
            <w:left w:w="108" w:type="dxa"/>
            <w:bottom w:w="0" w:type="dxa"/>
            <w:right w:w="108" w:type="dxa"/>
          </w:tblCellMar>
        </w:tblPrEx>
        <w:trPr>
          <w:trHeight w:val="397" w:hRule="exact"/>
          <w:jc w:val="center"/>
        </w:trPr>
        <w:tc>
          <w:tcPr>
            <w:tcW w:w="2153"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民营</w:t>
            </w:r>
          </w:p>
        </w:tc>
        <w:tc>
          <w:tcPr>
            <w:tcW w:w="25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技术员</w:t>
            </w:r>
          </w:p>
        </w:tc>
        <w:tc>
          <w:tcPr>
            <w:tcW w:w="195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18000</w:t>
            </w:r>
          </w:p>
        </w:tc>
        <w:tc>
          <w:tcPr>
            <w:tcW w:w="21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36000</w:t>
            </w:r>
          </w:p>
        </w:tc>
      </w:tr>
      <w:tr>
        <w:tblPrEx>
          <w:tblLayout w:type="fixed"/>
          <w:tblCellMar>
            <w:top w:w="0" w:type="dxa"/>
            <w:left w:w="108" w:type="dxa"/>
            <w:bottom w:w="0" w:type="dxa"/>
            <w:right w:w="108" w:type="dxa"/>
          </w:tblCellMar>
        </w:tblPrEx>
        <w:trPr>
          <w:trHeight w:val="397" w:hRule="exact"/>
          <w:jc w:val="center"/>
        </w:trPr>
        <w:tc>
          <w:tcPr>
            <w:tcW w:w="2153"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民营</w:t>
            </w:r>
          </w:p>
        </w:tc>
        <w:tc>
          <w:tcPr>
            <w:tcW w:w="25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会计</w:t>
            </w:r>
          </w:p>
        </w:tc>
        <w:tc>
          <w:tcPr>
            <w:tcW w:w="195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18000</w:t>
            </w:r>
          </w:p>
        </w:tc>
        <w:tc>
          <w:tcPr>
            <w:tcW w:w="21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32829</w:t>
            </w:r>
          </w:p>
        </w:tc>
      </w:tr>
      <w:tr>
        <w:tblPrEx>
          <w:tblLayout w:type="fixed"/>
          <w:tblCellMar>
            <w:top w:w="0" w:type="dxa"/>
            <w:left w:w="108" w:type="dxa"/>
            <w:bottom w:w="0" w:type="dxa"/>
            <w:right w:w="108" w:type="dxa"/>
          </w:tblCellMar>
        </w:tblPrEx>
        <w:trPr>
          <w:trHeight w:val="397" w:hRule="exact"/>
          <w:jc w:val="center"/>
        </w:trPr>
        <w:tc>
          <w:tcPr>
            <w:tcW w:w="2153"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民营</w:t>
            </w:r>
          </w:p>
        </w:tc>
        <w:tc>
          <w:tcPr>
            <w:tcW w:w="25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销售经理助理</w:t>
            </w:r>
          </w:p>
        </w:tc>
        <w:tc>
          <w:tcPr>
            <w:tcW w:w="195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18000</w:t>
            </w:r>
          </w:p>
        </w:tc>
        <w:tc>
          <w:tcPr>
            <w:tcW w:w="21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30000</w:t>
            </w:r>
          </w:p>
        </w:tc>
      </w:tr>
      <w:tr>
        <w:tblPrEx>
          <w:tblLayout w:type="fixed"/>
          <w:tblCellMar>
            <w:top w:w="0" w:type="dxa"/>
            <w:left w:w="108" w:type="dxa"/>
            <w:bottom w:w="0" w:type="dxa"/>
            <w:right w:w="108" w:type="dxa"/>
          </w:tblCellMar>
        </w:tblPrEx>
        <w:trPr>
          <w:trHeight w:val="397" w:hRule="exact"/>
          <w:jc w:val="center"/>
        </w:trPr>
        <w:tc>
          <w:tcPr>
            <w:tcW w:w="2153"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民营</w:t>
            </w:r>
          </w:p>
        </w:tc>
        <w:tc>
          <w:tcPr>
            <w:tcW w:w="25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销售文案</w:t>
            </w:r>
          </w:p>
        </w:tc>
        <w:tc>
          <w:tcPr>
            <w:tcW w:w="195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18000</w:t>
            </w:r>
          </w:p>
        </w:tc>
        <w:tc>
          <w:tcPr>
            <w:tcW w:w="21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27600</w:t>
            </w:r>
          </w:p>
        </w:tc>
      </w:tr>
      <w:tr>
        <w:tblPrEx>
          <w:tblLayout w:type="fixed"/>
          <w:tblCellMar>
            <w:top w:w="0" w:type="dxa"/>
            <w:left w:w="108" w:type="dxa"/>
            <w:bottom w:w="0" w:type="dxa"/>
            <w:right w:w="108" w:type="dxa"/>
          </w:tblCellMar>
        </w:tblPrEx>
        <w:trPr>
          <w:trHeight w:val="397" w:hRule="exact"/>
          <w:jc w:val="center"/>
        </w:trPr>
        <w:tc>
          <w:tcPr>
            <w:tcW w:w="2153"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民营</w:t>
            </w:r>
          </w:p>
        </w:tc>
        <w:tc>
          <w:tcPr>
            <w:tcW w:w="25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出纳</w:t>
            </w:r>
          </w:p>
        </w:tc>
        <w:tc>
          <w:tcPr>
            <w:tcW w:w="195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18000</w:t>
            </w:r>
          </w:p>
        </w:tc>
        <w:tc>
          <w:tcPr>
            <w:tcW w:w="21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27146</w:t>
            </w:r>
          </w:p>
        </w:tc>
      </w:tr>
      <w:tr>
        <w:tblPrEx>
          <w:tblLayout w:type="fixed"/>
          <w:tblCellMar>
            <w:top w:w="0" w:type="dxa"/>
            <w:left w:w="108" w:type="dxa"/>
            <w:bottom w:w="0" w:type="dxa"/>
            <w:right w:w="108" w:type="dxa"/>
          </w:tblCellMar>
        </w:tblPrEx>
        <w:trPr>
          <w:trHeight w:val="397" w:hRule="exact"/>
          <w:jc w:val="center"/>
        </w:trPr>
        <w:tc>
          <w:tcPr>
            <w:tcW w:w="2153"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民营</w:t>
            </w:r>
          </w:p>
        </w:tc>
        <w:tc>
          <w:tcPr>
            <w:tcW w:w="25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销售</w:t>
            </w:r>
          </w:p>
        </w:tc>
        <w:tc>
          <w:tcPr>
            <w:tcW w:w="195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18000</w:t>
            </w:r>
          </w:p>
        </w:tc>
        <w:tc>
          <w:tcPr>
            <w:tcW w:w="21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ascii="SimHei" w:hAnsi="SimHei" w:eastAsia="黑体" w:cs="宋体"/>
                <w:bCs/>
                <w:kern w:val="0"/>
                <w:sz w:val="24"/>
                <w:szCs w:val="24"/>
              </w:rPr>
              <w:t>24000</w:t>
            </w:r>
          </w:p>
        </w:tc>
      </w:tr>
    </w:tbl>
    <w:p>
      <w:pPr>
        <w:tabs>
          <w:tab w:val="left" w:pos="709"/>
          <w:tab w:val="left" w:pos="851"/>
          <w:tab w:val="left" w:pos="8931"/>
        </w:tabs>
        <w:spacing w:line="360" w:lineRule="auto"/>
        <w:ind w:right="168" w:rightChars="80"/>
        <w:jc w:val="center"/>
        <w:rPr>
          <w:rFonts w:ascii="楷体" w:hAnsi="楷体" w:eastAsia="楷体" w:cs="黑体"/>
          <w:kern w:val="0"/>
          <w:sz w:val="24"/>
          <w:szCs w:val="24"/>
        </w:rPr>
      </w:pPr>
      <w:r>
        <w:rPr>
          <w:rFonts w:ascii="SimHei" w:hAnsi="SimHei" w:eastAsia="黑体" w:cs="黑体"/>
          <w:kern w:val="0"/>
          <w:sz w:val="24"/>
          <w:szCs w:val="24"/>
        </w:rPr>
      </w:r>
    </w:p>
    <w:p>
      <w:pPr>
        <w:pStyle w:val="3"/>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8" w:name="_Toc407729171"/>
      <w:bookmarkStart w:id="19" w:name="_Toc408573168"/>
      <w:r>
        <w:rPr>
          <w:rFonts w:hint="eastAsia" w:ascii="SimHei" w:hAnsi="SimHei" w:eastAsia="黑体"/>
          <w:sz w:val="24"/>
          <w:szCs w:val="24"/>
        </w:rPr>
        <w:t>二、公司内部薪酬现状</w:t>
      </w:r>
      <w:bookmarkEnd w:id="18"/>
      <w:bookmarkEnd w:id="19"/>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20" w:name="_Toc407729172"/>
      <w:bookmarkStart w:id="21" w:name="_Toc408573169"/>
      <w:r>
        <w:rPr>
          <w:rFonts w:hint="eastAsia" w:ascii="SimHei" w:hAnsi="SimHei" w:eastAsia="黑体"/>
          <w:sz w:val="24"/>
          <w:szCs w:val="24"/>
        </w:rPr>
        <w:t>1、原薪资结构</w:t>
      </w:r>
      <w:bookmarkEnd w:id="20"/>
      <w:bookmarkEnd w:id="21"/>
    </w:p>
    <w:p>
      <w:pPr>
        <w:tabs>
          <w:tab w:val="left" w:pos="709"/>
          <w:tab w:val="left" w:pos="851"/>
          <w:tab w:val="left" w:pos="8931"/>
        </w:tabs>
        <w:spacing w:line="360" w:lineRule="auto"/>
        <w:ind w:right="168" w:rightChars="80" w:firstLine="480" w:firstLineChars="200"/>
        <w:rPr>
          <w:rFonts w:ascii="楷体" w:hAnsi="楷体" w:eastAsia="楷体" w:cs="宋体"/>
          <w:sz w:val="24"/>
          <w:szCs w:val="24"/>
        </w:rPr>
      </w:pPr>
      <w:r>
        <w:rPr>
          <w:rFonts w:hint="eastAsia" w:ascii="SimHei" w:hAnsi="SimHei" w:eastAsia="黑体" w:cs="宋体"/>
          <w:sz w:val="24"/>
          <w:szCs w:val="24"/>
        </w:rPr>
        <w:t>（1）确定标准档案工资</w:t>
      </w:r>
    </w:p>
    <w:p>
      <w:pPr>
        <w:tabs>
          <w:tab w:val="left" w:pos="709"/>
          <w:tab w:val="left" w:pos="851"/>
          <w:tab w:val="left" w:pos="8931"/>
        </w:tabs>
        <w:spacing w:line="360" w:lineRule="auto"/>
        <w:ind w:right="168" w:rightChars="80" w:firstLine="480" w:firstLineChars="200"/>
        <w:rPr>
          <w:rFonts w:ascii="楷体" w:hAnsi="楷体" w:eastAsia="楷体" w:cs="宋体"/>
          <w:sz w:val="24"/>
          <w:szCs w:val="24"/>
        </w:rPr>
      </w:pPr>
      <w:r>
        <w:rPr>
          <w:rFonts w:hint="eastAsia" w:ascii="SimHei" w:hAnsi="SimHei" w:eastAsia="黑体" w:cs="宋体"/>
          <w:sz w:val="24"/>
          <w:szCs w:val="24"/>
        </w:rPr>
        <w:t>（2）工资构成：工龄工资+绩效工资+应付工资（包含基本工资+补助）+全勤奖-代扣费用</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22" w:name="_Toc407729173"/>
      <w:bookmarkStart w:id="23" w:name="_Toc408573170"/>
      <w:r>
        <w:rPr>
          <w:rFonts w:hint="eastAsia" w:ascii="SimHei" w:hAnsi="SimHei" w:eastAsia="黑体"/>
          <w:sz w:val="24"/>
          <w:szCs w:val="24"/>
        </w:rPr>
        <w:t>2、现行薪资区间分布</w:t>
      </w:r>
      <w:bookmarkEnd w:id="22"/>
      <w:bookmarkEnd w:id="23"/>
    </w:p>
    <w:p>
      <w:pPr>
        <w:tabs>
          <w:tab w:val="left" w:pos="709"/>
          <w:tab w:val="left" w:pos="851"/>
          <w:tab w:val="left" w:pos="8931"/>
        </w:tabs>
        <w:spacing w:line="360" w:lineRule="auto"/>
        <w:ind w:right="168" w:rightChars="80"/>
        <w:jc w:val="center"/>
        <w:rPr>
          <w:rFonts w:ascii="楷体" w:hAnsi="楷体" w:eastAsia="楷体" w:cs="黑体"/>
          <w:kern w:val="0"/>
          <w:sz w:val="24"/>
          <w:szCs w:val="24"/>
        </w:rPr>
      </w:pPr>
      <w:r>
        <w:rPr>
          <w:rFonts w:ascii="SimHei" w:hAnsi="SimHei" w:eastAsia="黑体" w:cs="黑体"/>
          <w:kern w:val="0"/>
          <w:sz w:val="24"/>
          <w:szCs w:val="24"/>
        </w:rPr>
      </w:r>
    </w:p>
    <w:p>
      <w:pPr>
        <w:pStyle w:val="3"/>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24" w:name="_Toc407729174"/>
      <w:bookmarkStart w:id="25" w:name="_Toc408573171"/>
      <w:r>
        <w:rPr>
          <w:rFonts w:hint="eastAsia" w:ascii="SimHei" w:hAnsi="SimHei" w:eastAsia="黑体"/>
          <w:sz w:val="24"/>
          <w:szCs w:val="24"/>
        </w:rPr>
        <w:t>三、薪酬调查分析</w:t>
      </w:r>
      <w:bookmarkEnd w:id="24"/>
      <w:bookmarkEnd w:id="25"/>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26" w:name="_Toc408573172"/>
      <w:bookmarkStart w:id="27" w:name="_Toc407729175"/>
      <w:r>
        <w:rPr>
          <w:rFonts w:hint="eastAsia" w:ascii="SimHei" w:hAnsi="SimHei" w:eastAsia="黑体"/>
          <w:sz w:val="24"/>
          <w:szCs w:val="24"/>
        </w:rPr>
        <w:t>1、通过市场薪酬调查</w:t>
      </w:r>
      <w:bookmarkEnd w:id="26"/>
      <w:bookmarkEnd w:id="27"/>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（1）明确公司的运营战略将技术与销售放在至关重要的位置，薪酬战略定位于市场行情的高分位水平；</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cs="黑体"/>
          <w:kern w:val="0"/>
          <w:sz w:val="24"/>
          <w:szCs w:val="24"/>
        </w:rPr>
        <w:t>（2）</w:t>
      </w:r>
      <w:r>
        <w:rPr>
          <w:rFonts w:hint="eastAsia" w:ascii="SimHei" w:hAnsi="SimHei" w:eastAsia="黑体"/>
          <w:sz w:val="24"/>
          <w:szCs w:val="24"/>
        </w:rPr>
        <w:t>我公司绝大部分岗位在包头地区民营企业中市场竞争力较强，关键岗位人才稳定性较好；</w:t>
      </w:r>
    </w:p>
    <w:p>
      <w:pPr>
        <w:tabs>
          <w:tab w:val="left" w:pos="709"/>
          <w:tab w:val="left" w:pos="851"/>
          <w:tab w:val="left" w:pos="8931"/>
        </w:tabs>
        <w:spacing w:beforeLines="50" w:line="360" w:lineRule="auto"/>
        <w:ind w:right="168" w:rightChars="80" w:firstLine="480" w:firstLineChars="200"/>
        <w:rPr>
          <w:rFonts w:ascii="楷体" w:hAnsi="楷体" w:eastAsia="楷体"/>
          <w:sz w:val="24"/>
          <w:szCs w:val="24"/>
        </w:rPr>
      </w:pPr>
      <w:r>
        <w:rPr>
          <w:rFonts w:hint="eastAsia" w:ascii="SimHei" w:hAnsi="SimHei" w:eastAsia="黑体" w:cs="黑体"/>
          <w:kern w:val="0"/>
          <w:sz w:val="24"/>
          <w:szCs w:val="24"/>
        </w:rPr>
        <w:t>（3）</w:t>
      </w:r>
      <w:r>
        <w:rPr>
          <w:rFonts w:hint="eastAsia" w:ascii="SimHei" w:hAnsi="SimHei" w:eastAsia="黑体"/>
          <w:sz w:val="24"/>
          <w:szCs w:val="24"/>
        </w:rPr>
        <w:t>线形图个别岗位（如销售部门或工程师等）处于较低水平点，是因为公司的取值是按照月薪*12的平均工资计算，未核算年终奖金。</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28" w:name="_Toc407729176"/>
      <w:bookmarkStart w:id="29" w:name="_Toc408573173"/>
      <w:r>
        <w:rPr>
          <w:rFonts w:hint="eastAsia" w:ascii="SimHei" w:hAnsi="SimHei" w:eastAsia="黑体"/>
          <w:sz w:val="24"/>
          <w:szCs w:val="24"/>
        </w:rPr>
        <w:t>2、通过公司内部薪酬调查</w:t>
      </w:r>
      <w:bookmarkEnd w:id="28"/>
      <w:bookmarkEnd w:id="29"/>
    </w:p>
    <w:p>
      <w:pPr>
        <w:tabs>
          <w:tab w:val="left" w:pos="709"/>
          <w:tab w:val="left" w:pos="851"/>
          <w:tab w:val="left" w:pos="8931"/>
        </w:tabs>
        <w:spacing w:beforeLines="50" w:line="360" w:lineRule="auto"/>
        <w:ind w:right="168" w:rightChars="80" w:firstLine="480" w:firstLineChars="200"/>
        <w:rPr>
          <w:rFonts w:ascii="楷体" w:hAnsi="楷体" w:eastAsia="楷体"/>
          <w:sz w:val="24"/>
          <w:szCs w:val="24"/>
        </w:rPr>
      </w:pPr>
      <w:r>
        <w:rPr>
          <w:rFonts w:hint="eastAsia" w:ascii="SimHei" w:hAnsi="SimHei" w:eastAsia="黑体"/>
          <w:sz w:val="24"/>
          <w:szCs w:val="24"/>
        </w:rPr>
        <w:t>（1）工资总额包含了所有补助和全勤奖，且在基层档级的工资，补助+全勤奖占比几乎接近50%，不利于激励作用，而且付薪要素不明确；</w:t>
      </w:r>
    </w:p>
    <w:p>
      <w:pPr>
        <w:tabs>
          <w:tab w:val="left" w:pos="709"/>
          <w:tab w:val="left" w:pos="851"/>
          <w:tab w:val="left" w:pos="8931"/>
        </w:tabs>
        <w:spacing w:beforeLines="50" w:line="360" w:lineRule="auto"/>
        <w:ind w:right="168" w:rightChars="80" w:firstLine="480" w:firstLineChars="200"/>
        <w:rPr>
          <w:rFonts w:ascii="楷体" w:hAnsi="楷体" w:eastAsia="楷体"/>
          <w:sz w:val="24"/>
          <w:szCs w:val="24"/>
        </w:rPr>
      </w:pPr>
      <w:r>
        <w:rPr>
          <w:rFonts w:hint="eastAsia" w:ascii="SimHei" w:hAnsi="SimHei" w:eastAsia="黑体"/>
          <w:sz w:val="24"/>
          <w:szCs w:val="24"/>
        </w:rPr>
        <w:t>（2）工资（档案工资减去补助与全勤奖等）的额度参照市场价位偏低，结构分解以后，对于员工的稳定性和满意度均会有不小的影响；如下表</w:t>
      </w:r>
    </w:p>
    <w:tbl>
      <w:tblPr>
        <w:tblStyle w:val="28"/>
        <w:tblW w:w="8402" w:type="dxa"/>
        <w:jc w:val="center"/>
        <w:tblInd w:w="-415" w:type="dxa"/>
        <w:tblLayout w:type="fixed"/>
        <w:tblCellMar>
          <w:top w:w="0" w:type="dxa"/>
          <w:left w:w="108" w:type="dxa"/>
          <w:bottom w:w="0" w:type="dxa"/>
          <w:right w:w="108" w:type="dxa"/>
        </w:tblCellMar>
      </w:tblPr>
      <w:tblGrid>
        <w:gridCol w:w="1469"/>
        <w:gridCol w:w="1173"/>
        <w:gridCol w:w="780"/>
        <w:gridCol w:w="1054"/>
        <w:gridCol w:w="1054"/>
        <w:gridCol w:w="1054"/>
        <w:gridCol w:w="1818"/>
      </w:tblGrid>
      <w:tr>
        <w:tblPrEx>
          <w:tblLayout w:type="fixed"/>
          <w:tblCellMar>
            <w:top w:w="0" w:type="dxa"/>
            <w:left w:w="108" w:type="dxa"/>
            <w:bottom w:w="0" w:type="dxa"/>
            <w:right w:w="108" w:type="dxa"/>
          </w:tblCellMar>
        </w:tblPrEx>
        <w:trPr>
          <w:trHeight w:val="544" w:hRule="exact"/>
          <w:jc w:val="center"/>
        </w:trPr>
        <w:tc>
          <w:tcPr>
            <w:tcW w:w="14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岗位</w:t>
            </w:r>
          </w:p>
        </w:tc>
        <w:tc>
          <w:tcPr>
            <w:tcW w:w="1173" w:type="dxa"/>
            <w:tcBorders>
              <w:top w:val="single" w:color="auto" w:sz="4" w:space="0"/>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工资总额</w:t>
            </w:r>
          </w:p>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780" w:type="dxa"/>
            <w:tcBorders>
              <w:top w:val="single" w:color="auto" w:sz="4" w:space="0"/>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补助</w:t>
            </w:r>
          </w:p>
        </w:tc>
        <w:tc>
          <w:tcPr>
            <w:tcW w:w="1054" w:type="dxa"/>
            <w:tcBorders>
              <w:top w:val="single" w:color="auto" w:sz="4" w:space="0"/>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全勤奖</w:t>
            </w:r>
          </w:p>
        </w:tc>
        <w:tc>
          <w:tcPr>
            <w:tcW w:w="1054" w:type="dxa"/>
            <w:tcBorders>
              <w:top w:val="single" w:color="auto" w:sz="4" w:space="0"/>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绩效</w:t>
            </w:r>
          </w:p>
        </w:tc>
        <w:tc>
          <w:tcPr>
            <w:tcW w:w="1054" w:type="dxa"/>
            <w:tcBorders>
              <w:top w:val="single" w:color="auto" w:sz="4" w:space="0"/>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工资</w:t>
            </w:r>
          </w:p>
        </w:tc>
        <w:tc>
          <w:tcPr>
            <w:tcW w:w="1818" w:type="dxa"/>
            <w:tcBorders>
              <w:top w:val="single" w:color="auto" w:sz="4" w:space="0"/>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基本工资占比</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项目组长1</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11000</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4840</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44.0%</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项目组长2</w:t>
            </w:r>
          </w:p>
          <w:p>
            <w:pPr>
              <w:tabs>
                <w:tab w:val="left" w:pos="709"/>
                <w:tab w:val="left" w:pos="851"/>
                <w:tab w:val="left" w:pos="8931"/>
              </w:tabs>
              <w:ind w:right="168" w:rightChars="80"/>
              <w:jc w:val="center"/>
              <w:rPr>
                <w:rFonts w:ascii="楷体" w:hAnsi="楷体" w:eastAsia="楷体" w:cs="宋体"/>
                <w:sz w:val="24"/>
                <w:szCs w:val="24"/>
              </w:rPr>
            </w:pPr>
          </w:p>
          <w:p>
            <w:pPr>
              <w:tabs>
                <w:tab w:val="left" w:pos="709"/>
                <w:tab w:val="left" w:pos="851"/>
                <w:tab w:val="left" w:pos="8931"/>
              </w:tabs>
              <w:ind w:right="168" w:rightChars="80"/>
              <w:jc w:val="center"/>
              <w:rPr>
                <w:rFonts w:ascii="楷体" w:hAnsi="楷体" w:eastAsia="楷体" w:cs="宋体"/>
                <w:sz w:val="24"/>
                <w:szCs w:val="24"/>
              </w:rPr>
            </w:pP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11000</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4840</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44.0%</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销售经理</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6100</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4940</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81.0%</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工程师1</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6000</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4840</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80.7%</w:t>
            </w:r>
          </w:p>
        </w:tc>
      </w:tr>
      <w:tr>
        <w:tblPrEx>
          <w:tblLayout w:type="fixed"/>
          <w:tblCellMar>
            <w:top w:w="0" w:type="dxa"/>
            <w:left w:w="108" w:type="dxa"/>
            <w:bottom w:w="0" w:type="dxa"/>
            <w:right w:w="108" w:type="dxa"/>
          </w:tblCellMar>
        </w:tblPrEx>
        <w:trPr>
          <w:trHeight w:val="549"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工程师2</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5250</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4090</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77.9%</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技术员1</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4950</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3890</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78.6%</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人事主管</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3990</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2930</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73.4%</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技术员5</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3780</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2720</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72.0%</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经理助理</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3780</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2720</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72.0%</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会计1</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3675</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2615</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71.2%</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会计2</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3570</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2510</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70.3%</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行政主管</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3150</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2090</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66.3%</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技术员2</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2940</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1980</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67.3%</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技术员4</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2860</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1900</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66.4%</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技术员3</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2835</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1875</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66.1%</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销售代表1</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2835</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1875</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66.1%</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销售代表2</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2835</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1875</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66.1%</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销售文案</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2835</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1875</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66.1%</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技术员6</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2625</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1665</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63.4%</w:t>
            </w:r>
          </w:p>
        </w:tc>
      </w:tr>
      <w:tr>
        <w:tblPrEx>
          <w:tblLayout w:type="fixed"/>
          <w:tblCellMar>
            <w:top w:w="0" w:type="dxa"/>
            <w:left w:w="108" w:type="dxa"/>
            <w:bottom w:w="0" w:type="dxa"/>
            <w:right w:w="108" w:type="dxa"/>
          </w:tblCellMar>
        </w:tblPrEx>
        <w:trPr>
          <w:trHeight w:val="544" w:hRule="exact"/>
          <w:jc w:val="center"/>
        </w:trPr>
        <w:tc>
          <w:tcPr>
            <w:tcW w:w="1469"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出纳</w:t>
            </w:r>
          </w:p>
        </w:tc>
        <w:tc>
          <w:tcPr>
            <w:tcW w:w="117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2835</w:t>
            </w:r>
          </w:p>
        </w:tc>
        <w:tc>
          <w:tcPr>
            <w:tcW w:w="78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5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1875</w:t>
            </w:r>
          </w:p>
        </w:tc>
        <w:tc>
          <w:tcPr>
            <w:tcW w:w="1818"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66.1%</w:t>
            </w:r>
          </w:p>
        </w:tc>
      </w:tr>
    </w:tbl>
    <w:p>
      <w:pPr>
        <w:tabs>
          <w:tab w:val="left" w:pos="709"/>
          <w:tab w:val="left" w:pos="851"/>
          <w:tab w:val="left" w:pos="8931"/>
        </w:tabs>
        <w:spacing w:beforeLines="50" w:line="360" w:lineRule="auto"/>
        <w:ind w:right="168" w:rightChars="80" w:firstLine="480" w:firstLineChars="200"/>
        <w:rPr>
          <w:rFonts w:ascii="楷体" w:hAnsi="楷体" w:eastAsia="楷体"/>
          <w:sz w:val="24"/>
          <w:szCs w:val="24"/>
        </w:rPr>
      </w:pPr>
      <w:r>
        <w:rPr>
          <w:rFonts w:hint="eastAsia" w:ascii="SimHei" w:hAnsi="SimHei" w:eastAsia="黑体"/>
          <w:sz w:val="24"/>
          <w:szCs w:val="24"/>
        </w:rPr>
        <w:t>（3）除个别极少数岗位额度突出，整体薪酬分布平均，未体现能力差异性；</w:t>
      </w:r>
    </w:p>
    <w:p>
      <w:pPr>
        <w:tabs>
          <w:tab w:val="left" w:pos="709"/>
          <w:tab w:val="left" w:pos="851"/>
          <w:tab w:val="left" w:pos="8931"/>
        </w:tabs>
        <w:spacing w:beforeLines="50" w:line="360" w:lineRule="auto"/>
        <w:ind w:right="168" w:rightChars="80" w:firstLine="480" w:firstLineChars="200"/>
        <w:rPr>
          <w:rFonts w:ascii="楷体" w:hAnsi="楷体" w:eastAsia="楷体"/>
          <w:sz w:val="24"/>
          <w:szCs w:val="24"/>
        </w:rPr>
      </w:pPr>
      <w:r>
        <w:rPr>
          <w:rFonts w:hint="eastAsia" w:ascii="SimHei" w:hAnsi="SimHei" w:eastAsia="黑体"/>
          <w:sz w:val="24"/>
          <w:szCs w:val="24"/>
        </w:rPr>
        <w:t>（4）工资的差异化主要依据工作表现与综合素质等主观判断，未形成体制化的评定标准，缺乏客观的考量与依据；</w:t>
      </w:r>
    </w:p>
    <w:p>
      <w:pPr>
        <w:tabs>
          <w:tab w:val="left" w:pos="709"/>
          <w:tab w:val="left" w:pos="851"/>
          <w:tab w:val="left" w:pos="8931"/>
        </w:tabs>
        <w:spacing w:beforeLines="50" w:line="360" w:lineRule="auto"/>
        <w:ind w:right="168" w:rightChars="80" w:firstLine="480" w:firstLineChars="200"/>
        <w:rPr>
          <w:rFonts w:ascii="楷体" w:hAnsi="楷体" w:eastAsia="楷体"/>
          <w:sz w:val="24"/>
          <w:szCs w:val="24"/>
        </w:rPr>
      </w:pPr>
      <w:r>
        <w:rPr>
          <w:rFonts w:hint="eastAsia" w:ascii="SimHei" w:hAnsi="SimHei" w:eastAsia="黑体"/>
          <w:sz w:val="24"/>
          <w:szCs w:val="24"/>
        </w:rPr>
        <w:t>（5）对于薪资或职位的晋升没有明确的渠道和方案，不利于员工的职业规划和公司用人的可持续发展；</w:t>
      </w:r>
    </w:p>
    <w:p>
      <w:pPr>
        <w:tabs>
          <w:tab w:val="left" w:pos="709"/>
          <w:tab w:val="left" w:pos="851"/>
          <w:tab w:val="left" w:pos="8931"/>
        </w:tabs>
        <w:spacing w:beforeLines="50" w:line="360" w:lineRule="auto"/>
        <w:ind w:right="168" w:rightChars="80" w:firstLine="480" w:firstLineChars="200"/>
        <w:rPr>
          <w:rFonts w:ascii="楷体" w:hAnsi="楷体" w:eastAsia="楷体"/>
          <w:sz w:val="24"/>
          <w:szCs w:val="24"/>
        </w:rPr>
      </w:pPr>
      <w:r>
        <w:rPr>
          <w:rFonts w:hint="eastAsia" w:ascii="SimHei" w:hAnsi="SimHei" w:eastAsia="黑体" w:cs="宋体"/>
          <w:sz w:val="24"/>
          <w:szCs w:val="24"/>
        </w:rPr>
        <w:t>（6）薪资全额发放，没有衡量工作进度与质量的考核机制，目标不够明确，影响工作效率。</w:t>
      </w:r>
    </w:p>
    <w:p>
      <w:pPr>
        <w:pStyle w:val="3"/>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30" w:name="_Toc408573174"/>
      <w:bookmarkStart w:id="31" w:name="_Toc407729177"/>
      <w:r>
        <w:rPr>
          <w:rFonts w:hint="eastAsia" w:ascii="SimHei" w:hAnsi="SimHei" w:eastAsia="黑体"/>
          <w:sz w:val="24"/>
          <w:szCs w:val="24"/>
        </w:rPr>
        <w:t>四、改进方法</w:t>
      </w:r>
      <w:bookmarkEnd w:id="30"/>
      <w:bookmarkEnd w:id="31"/>
    </w:p>
    <w:p>
      <w:pPr>
        <w:tabs>
          <w:tab w:val="left" w:pos="709"/>
          <w:tab w:val="left" w:pos="851"/>
          <w:tab w:val="left" w:pos="8931"/>
        </w:tabs>
        <w:spacing w:line="360" w:lineRule="auto"/>
        <w:ind w:right="168" w:rightChars="80" w:firstLine="480" w:firstLineChars="200"/>
        <w:rPr>
          <w:rFonts w:ascii="楷体" w:hAnsi="楷体" w:eastAsia="楷体" w:cs="宋体"/>
          <w:sz w:val="24"/>
          <w:szCs w:val="24"/>
        </w:rPr>
      </w:pPr>
      <w:r>
        <w:rPr>
          <w:rFonts w:hint="eastAsia" w:ascii="SimHei" w:hAnsi="SimHei" w:eastAsia="黑体" w:cs="宋体"/>
          <w:sz w:val="24"/>
          <w:szCs w:val="24"/>
        </w:rPr>
        <w:t>1、建立科学合理的岗位价值评估体系，付薪要素明确，工资根据贡献价值和主观能动拉开梯次，客观公平，更具说服力；</w:t>
      </w:r>
    </w:p>
    <w:p>
      <w:pPr>
        <w:tabs>
          <w:tab w:val="left" w:pos="709"/>
          <w:tab w:val="left" w:pos="851"/>
          <w:tab w:val="left" w:pos="8931"/>
        </w:tabs>
        <w:spacing w:line="360" w:lineRule="auto"/>
        <w:ind w:right="168" w:rightChars="80" w:firstLine="480" w:firstLineChars="200"/>
        <w:rPr>
          <w:rFonts w:ascii="楷体" w:hAnsi="楷体" w:eastAsia="楷体" w:cs="宋体"/>
          <w:sz w:val="24"/>
          <w:szCs w:val="24"/>
        </w:rPr>
      </w:pPr>
      <w:r>
        <w:rPr>
          <w:rFonts w:hint="eastAsia" w:ascii="SimHei" w:hAnsi="SimHei" w:eastAsia="黑体" w:cs="宋体"/>
          <w:sz w:val="24"/>
          <w:szCs w:val="24"/>
        </w:rPr>
        <w:t>2、在工资结构上，大幅减少补助和全勤奖所占比例，仅作为额外福利和考勤约束的作用，比例平均控制在10%左右，且对于请假的扣款更加科学合理；</w:t>
      </w:r>
    </w:p>
    <w:p>
      <w:pPr>
        <w:tabs>
          <w:tab w:val="left" w:pos="709"/>
          <w:tab w:val="left" w:pos="851"/>
          <w:tab w:val="left" w:pos="8931"/>
        </w:tabs>
        <w:spacing w:line="360" w:lineRule="auto"/>
        <w:ind w:right="168" w:rightChars="80" w:firstLine="480" w:firstLineChars="200"/>
        <w:rPr>
          <w:rFonts w:ascii="楷体" w:hAnsi="楷体" w:eastAsia="楷体" w:cs="宋体"/>
          <w:sz w:val="24"/>
          <w:szCs w:val="24"/>
        </w:rPr>
      </w:pPr>
      <w:r>
        <w:rPr>
          <w:rFonts w:hint="eastAsia" w:ascii="SimHei" w:hAnsi="SimHei" w:eastAsia="黑体" w:cs="宋体"/>
          <w:sz w:val="24"/>
          <w:szCs w:val="24"/>
        </w:rPr>
        <w:t>3、薪酬结构调整后，工资额度可以与公司整体的薪酬战略定位保持一致；</w:t>
      </w:r>
    </w:p>
    <w:p>
      <w:pPr>
        <w:tabs>
          <w:tab w:val="left" w:pos="709"/>
          <w:tab w:val="left" w:pos="851"/>
          <w:tab w:val="left" w:pos="8931"/>
        </w:tabs>
        <w:spacing w:line="360" w:lineRule="auto"/>
        <w:ind w:right="168" w:rightChars="80" w:firstLine="480" w:firstLineChars="200"/>
        <w:rPr>
          <w:rFonts w:ascii="楷体" w:hAnsi="楷体" w:eastAsia="楷体" w:cs="宋体"/>
          <w:sz w:val="24"/>
          <w:szCs w:val="24"/>
        </w:rPr>
      </w:pPr>
      <w:r>
        <w:rPr>
          <w:rFonts w:hint="eastAsia" w:ascii="SimHei" w:hAnsi="SimHei" w:eastAsia="黑体" w:cs="宋体"/>
          <w:sz w:val="24"/>
          <w:szCs w:val="24"/>
        </w:rPr>
        <w:t>4、建立宽泛的薪资级别表，根据岗位评价的结果细化不同档级的工资额度；</w:t>
      </w:r>
    </w:p>
    <w:p>
      <w:pPr>
        <w:tabs>
          <w:tab w:val="left" w:pos="709"/>
          <w:tab w:val="left" w:pos="851"/>
          <w:tab w:val="left" w:pos="8931"/>
        </w:tabs>
        <w:spacing w:line="360" w:lineRule="auto"/>
        <w:ind w:right="168" w:rightChars="80" w:firstLine="480" w:firstLineChars="200"/>
        <w:rPr>
          <w:rFonts w:ascii="楷体" w:hAnsi="楷体" w:eastAsia="楷体" w:cs="宋体"/>
          <w:sz w:val="24"/>
          <w:szCs w:val="24"/>
        </w:rPr>
      </w:pPr>
      <w:r>
        <w:rPr>
          <w:rFonts w:hint="eastAsia" w:ascii="SimHei" w:hAnsi="SimHei" w:eastAsia="黑体" w:cs="宋体"/>
          <w:sz w:val="24"/>
          <w:szCs w:val="24"/>
        </w:rPr>
        <w:t>5、级别明确后，针对员工的个体表现，匹配岗位说明书的职责要求，可以定期进行薪资或职位的调整和晋级；</w:t>
      </w:r>
    </w:p>
    <w:p>
      <w:pPr>
        <w:tabs>
          <w:tab w:val="left" w:pos="709"/>
          <w:tab w:val="left" w:pos="851"/>
          <w:tab w:val="left" w:pos="8931"/>
        </w:tabs>
        <w:spacing w:line="360" w:lineRule="auto"/>
        <w:ind w:right="168" w:rightChars="80" w:firstLine="480" w:firstLineChars="200"/>
        <w:rPr>
          <w:rFonts w:ascii="楷体" w:hAnsi="楷体" w:eastAsia="楷体" w:cs="宋体"/>
          <w:sz w:val="24"/>
          <w:szCs w:val="24"/>
        </w:rPr>
      </w:pPr>
      <w:r>
        <w:rPr>
          <w:rFonts w:hint="eastAsia" w:ascii="SimHei" w:hAnsi="SimHei" w:eastAsia="黑体" w:cs="宋体"/>
          <w:sz w:val="24"/>
          <w:szCs w:val="24"/>
        </w:rPr>
        <w:t>6、提取一定比例作为绩效工资，将业务流程与核心职责发挥到高分位的水平，提高整体工作效率，同时将每期绩效的结果累积，为年度评定提供有力依据。</w:t>
      </w:r>
    </w:p>
    <w:p>
      <w:pPr>
        <w:widowControl/>
        <w:tabs>
          <w:tab w:val="left" w:pos="709"/>
          <w:tab w:val="left" w:pos="851"/>
          <w:tab w:val="left" w:pos="8931"/>
        </w:tabs>
        <w:ind w:right="168" w:rightChars="80"/>
        <w:jc w:val="left"/>
        <w:rPr>
          <w:rFonts w:ascii="楷体" w:hAnsi="楷体" w:eastAsia="楷体" w:cstheme="majorBidi"/>
          <w:b/>
          <w:bCs/>
          <w:kern w:val="0"/>
          <w:sz w:val="24"/>
          <w:szCs w:val="24"/>
        </w:rPr>
      </w:pPr>
      <w:bookmarkStart w:id="32" w:name="_Toc408573175"/>
      <w:bookmarkStart w:id="33" w:name="_Toc407729178"/>
      <w:r>
        <w:rPr>
          <w:rFonts w:ascii="SimHei" w:hAnsi="SimHei" w:eastAsia="黑体"/>
          <w:sz w:val="24"/>
          <w:szCs w:val="24"/>
        </w:rPr>
      </w:r>
    </w:p>
    <w:p>
      <w:pPr>
        <w:pStyle w:val="4"/>
        <w:tabs>
          <w:tab w:val="left" w:pos="709"/>
          <w:tab w:val="left" w:pos="851"/>
          <w:tab w:val="left" w:pos="8931"/>
        </w:tabs>
        <w:spacing w:before="0" w:after="0" w:line="360" w:lineRule="auto"/>
        <w:ind w:right="168" w:rightChars="80"/>
        <w:jc w:val="center"/>
        <w:rPr>
          <w:rFonts w:ascii="楷体" w:hAnsi="楷体" w:eastAsia="楷体"/>
          <w:sz w:val="24"/>
          <w:szCs w:val="24"/>
        </w:rPr>
      </w:pPr>
      <w:r>
        <w:rPr>
          <w:rFonts w:hint="eastAsia" w:ascii="SimHei" w:hAnsi="SimHei" w:eastAsia="黑体"/>
          <w:sz w:val="28"/>
          <w:szCs w:val="24"/>
        </w:rPr>
        <w:t>第三章  薪酬设计方案</w:t>
      </w:r>
      <w:bookmarkEnd w:id="32"/>
      <w:bookmarkEnd w:id="33"/>
    </w:p>
    <w:p>
      <w:pPr>
        <w:pStyle w:val="3"/>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34" w:name="_Toc408573176"/>
      <w:bookmarkStart w:id="35" w:name="_Toc407729179"/>
      <w:r>
        <w:rPr>
          <w:rFonts w:hint="eastAsia" w:ascii="SimHei" w:hAnsi="SimHei" w:eastAsia="黑体"/>
          <w:sz w:val="24"/>
          <w:szCs w:val="24"/>
        </w:rPr>
        <w:t>一、薪酬结构</w:t>
      </w:r>
      <w:bookmarkEnd w:id="34"/>
      <w:bookmarkEnd w:id="35"/>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特点：薪酬结构将</w:t>
      </w:r>
      <w:r>
        <w:rPr>
          <w:rFonts w:hint="eastAsia" w:ascii="SimHei" w:hAnsi="SimHei" w:eastAsia="黑体" w:cs="黑体"/>
          <w:b/>
          <w:kern w:val="0"/>
          <w:sz w:val="24"/>
          <w:szCs w:val="24"/>
        </w:rPr>
        <w:t>标准工资</w:t>
      </w:r>
      <w:r>
        <w:rPr>
          <w:rFonts w:hint="eastAsia" w:ascii="SimHei" w:hAnsi="SimHei" w:eastAsia="黑体" w:cs="黑体"/>
          <w:kern w:val="0"/>
          <w:sz w:val="24"/>
          <w:szCs w:val="24"/>
        </w:rPr>
        <w:t>拆分为基本工资、</w:t>
      </w:r>
      <w:r>
        <w:rPr>
          <w:rFonts w:hint="eastAsia" w:ascii="SimHei" w:hAnsi="SimHei" w:eastAsia="黑体" w:cs="黑体"/>
          <w:b/>
          <w:kern w:val="0"/>
          <w:sz w:val="24"/>
          <w:szCs w:val="24"/>
        </w:rPr>
        <w:t>岗位工资、</w:t>
      </w:r>
      <w:r>
        <w:rPr>
          <w:rFonts w:hint="eastAsia" w:ascii="SimHei" w:hAnsi="SimHei" w:eastAsia="黑体" w:cs="黑体"/>
          <w:kern w:val="0"/>
          <w:sz w:val="24"/>
          <w:szCs w:val="24"/>
        </w:rPr>
        <w:t>绩效工资，绩效工资按照</w:t>
      </w:r>
      <w:r>
        <w:rPr>
          <w:rFonts w:hint="eastAsia" w:ascii="SimHei" w:hAnsi="SimHei" w:eastAsia="黑体" w:cs="黑体"/>
          <w:b/>
          <w:kern w:val="0"/>
          <w:sz w:val="24"/>
          <w:szCs w:val="24"/>
        </w:rPr>
        <w:t>工资总额</w:t>
      </w:r>
      <w:r>
        <w:rPr>
          <w:rFonts w:hint="eastAsia" w:ascii="SimHei" w:hAnsi="SimHei" w:eastAsia="黑体" w:cs="黑体"/>
          <w:kern w:val="0"/>
          <w:sz w:val="24"/>
          <w:szCs w:val="24"/>
        </w:rPr>
        <w:t>的10%提取</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36" w:name="_Toc407729180"/>
      <w:bookmarkStart w:id="37" w:name="_Toc408573177"/>
      <w:r>
        <w:rPr>
          <w:rFonts w:hint="eastAsia" w:ascii="SimHei" w:hAnsi="SimHei" w:eastAsia="黑体"/>
          <w:sz w:val="24"/>
          <w:szCs w:val="24"/>
        </w:rPr>
        <w:t>1、职能序列</w:t>
      </w:r>
      <w:bookmarkEnd w:id="36"/>
      <w:bookmarkEnd w:id="37"/>
    </w:p>
    <w:p>
      <w:pPr>
        <w:tabs>
          <w:tab w:val="left" w:pos="709"/>
          <w:tab w:val="left" w:pos="851"/>
          <w:tab w:val="left" w:pos="8931"/>
        </w:tabs>
        <w:spacing w:line="360" w:lineRule="auto"/>
        <w:ind w:right="168" w:rightChars="80" w:firstLine="482" w:firstLineChars="200"/>
        <w:rPr>
          <w:rFonts w:ascii="楷体" w:hAnsi="楷体" w:eastAsia="楷体" w:cs="黑体"/>
          <w:b/>
          <w:kern w:val="0"/>
          <w:sz w:val="24"/>
          <w:szCs w:val="24"/>
        </w:rPr>
      </w:pPr>
      <w:r>
        <w:rPr>
          <w:rFonts w:hint="eastAsia" w:ascii="SimHei" w:hAnsi="SimHei" w:eastAsia="黑体" w:cs="黑体"/>
          <w:b/>
          <w:kern w:val="0"/>
          <w:sz w:val="24"/>
          <w:szCs w:val="24"/>
        </w:rPr>
        <w:t>收入总额=基本工资+岗位工资+绩效工资+考勤工资+工龄工资+补助+年终奖金</w:t>
      </w:r>
      <w:bookmarkStart w:id="38" w:name="组合设计_技术序列"/>
      <w:bookmarkEnd w:id="38"/>
      <w:bookmarkStart w:id="39" w:name="sub166467_23_3"/>
      <w:bookmarkEnd w:id="39"/>
      <w:bookmarkStart w:id="40" w:name="23_3"/>
      <w:bookmarkEnd w:id="40"/>
      <w:r>
        <w:rPr>
          <w:rFonts w:hint="eastAsia" w:ascii="SimHei" w:hAnsi="SimHei" w:eastAsia="黑体" w:cs="黑体"/>
          <w:b/>
          <w:kern w:val="0"/>
          <w:sz w:val="24"/>
          <w:szCs w:val="24"/>
        </w:rPr>
        <w:t>-代扣保险</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41" w:name="_Toc408573178"/>
      <w:bookmarkStart w:id="42" w:name="_Toc407729181"/>
      <w:r>
        <w:rPr>
          <w:rFonts w:hint="eastAsia" w:ascii="SimHei" w:hAnsi="SimHei" w:eastAsia="黑体"/>
          <w:sz w:val="24"/>
          <w:szCs w:val="24"/>
        </w:rPr>
        <w:t>2、技术序列</w:t>
      </w:r>
      <w:bookmarkEnd w:id="41"/>
      <w:bookmarkEnd w:id="42"/>
    </w:p>
    <w:p>
      <w:pPr>
        <w:tabs>
          <w:tab w:val="left" w:pos="709"/>
          <w:tab w:val="left" w:pos="851"/>
          <w:tab w:val="left" w:pos="8931"/>
        </w:tabs>
        <w:spacing w:line="360" w:lineRule="auto"/>
        <w:ind w:right="168" w:rightChars="80" w:firstLine="482" w:firstLineChars="200"/>
        <w:rPr>
          <w:rFonts w:ascii="楷体" w:hAnsi="楷体" w:eastAsia="楷体" w:cs="黑体"/>
          <w:b/>
          <w:kern w:val="0"/>
          <w:sz w:val="24"/>
          <w:szCs w:val="24"/>
        </w:rPr>
      </w:pPr>
      <w:r>
        <w:rPr>
          <w:rFonts w:hint="eastAsia" w:ascii="SimHei" w:hAnsi="SimHei" w:eastAsia="黑体" w:cs="黑体"/>
          <w:b/>
          <w:kern w:val="0"/>
          <w:sz w:val="24"/>
          <w:szCs w:val="24"/>
        </w:rPr>
        <w:t>收入总额=基本工资+岗位工资+绩效工资+考勤工资+工龄工资+补助+项目奖金+年终奖金-代扣保险</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43" w:name="23_4"/>
      <w:bookmarkEnd w:id="43"/>
      <w:bookmarkStart w:id="44" w:name="组合设计_销售序列"/>
      <w:bookmarkEnd w:id="44"/>
      <w:bookmarkStart w:id="45" w:name="sub166467_23_4"/>
      <w:bookmarkEnd w:id="45"/>
      <w:bookmarkStart w:id="46" w:name="_Toc408573179"/>
      <w:bookmarkStart w:id="47" w:name="_Toc407729182"/>
      <w:r>
        <w:rPr>
          <w:rFonts w:hint="eastAsia" w:ascii="SimHei" w:hAnsi="SimHei" w:eastAsia="黑体"/>
          <w:sz w:val="24"/>
          <w:szCs w:val="24"/>
        </w:rPr>
        <w:t>3、销售序列</w:t>
      </w:r>
      <w:bookmarkEnd w:id="46"/>
      <w:bookmarkEnd w:id="47"/>
    </w:p>
    <w:p>
      <w:pPr>
        <w:tabs>
          <w:tab w:val="left" w:pos="709"/>
          <w:tab w:val="left" w:pos="851"/>
          <w:tab w:val="left" w:pos="8931"/>
        </w:tabs>
        <w:spacing w:line="360" w:lineRule="auto"/>
        <w:ind w:right="168" w:rightChars="80" w:firstLine="482" w:firstLineChars="200"/>
        <w:rPr>
          <w:rFonts w:ascii="楷体" w:hAnsi="楷体" w:eastAsia="楷体" w:cs="黑体"/>
          <w:b/>
          <w:kern w:val="0"/>
          <w:sz w:val="24"/>
          <w:szCs w:val="24"/>
        </w:rPr>
      </w:pPr>
      <w:r>
        <w:rPr>
          <w:rFonts w:hint="eastAsia" w:ascii="SimHei" w:hAnsi="SimHei" w:eastAsia="黑体" w:cs="黑体"/>
          <w:b/>
          <w:kern w:val="0"/>
          <w:sz w:val="24"/>
          <w:szCs w:val="24"/>
        </w:rPr>
        <w:t>收入总额=基本工资+岗位工资+绩效工资+考勤工资+工龄工资+补助+效益提成+年终奖金-代扣保险</w:t>
      </w:r>
    </w:p>
    <w:p>
      <w:pPr>
        <w:pStyle w:val="3"/>
        <w:tabs>
          <w:tab w:val="left" w:pos="709"/>
          <w:tab w:val="left" w:pos="851"/>
          <w:tab w:val="left" w:pos="8931"/>
        </w:tabs>
        <w:spacing w:before="0" w:after="0" w:line="360" w:lineRule="auto"/>
        <w:ind w:right="168" w:rightChars="80" w:firstLine="482" w:firstLineChars="200"/>
        <w:rPr>
          <w:rFonts w:ascii="楷体" w:hAnsi="楷体" w:eastAsia="楷体"/>
          <w:kern w:val="0"/>
          <w:sz w:val="24"/>
          <w:szCs w:val="24"/>
        </w:rPr>
      </w:pPr>
      <w:bookmarkStart w:id="48" w:name="_Toc407729183"/>
      <w:bookmarkStart w:id="49" w:name="_Toc408573180"/>
      <w:r>
        <w:rPr>
          <w:rFonts w:hint="eastAsia" w:ascii="SimHei" w:hAnsi="SimHei" w:eastAsia="黑体"/>
          <w:kern w:val="0"/>
          <w:sz w:val="24"/>
          <w:szCs w:val="24"/>
        </w:rPr>
        <w:t>二、薪酬要素与释义</w:t>
      </w:r>
      <w:bookmarkEnd w:id="48"/>
      <w:bookmarkEnd w:id="49"/>
    </w:p>
    <w:p>
      <w:pPr>
        <w:tabs>
          <w:tab w:val="left" w:pos="709"/>
          <w:tab w:val="left" w:pos="851"/>
          <w:tab w:val="left" w:pos="8931"/>
        </w:tabs>
        <w:spacing w:line="360" w:lineRule="auto"/>
        <w:ind w:right="168" w:rightChars="80" w:firstLine="482" w:firstLineChars="200"/>
        <w:rPr>
          <w:rFonts w:ascii="楷体" w:hAnsi="楷体" w:eastAsia="楷体"/>
          <w:b/>
          <w:sz w:val="24"/>
          <w:szCs w:val="24"/>
        </w:rPr>
      </w:pPr>
      <w:r>
        <w:rPr>
          <w:rFonts w:hint="eastAsia" w:ascii="SimHei" w:hAnsi="SimHei" w:eastAsia="黑体"/>
          <w:b/>
          <w:sz w:val="24"/>
          <w:szCs w:val="24"/>
        </w:rPr>
        <w:t>1、标准工资：包含基本工资、岗位工资、绩效工资</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A、基本工资：体现岗位基本保障的酬劳，参考我市最低工资标准确定</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B、岗位工资：作为薪酬结构中的变量，随标准工资的变化而变化</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C、绩效工资：作为浮动部分参与企业整体绩效管理，绩效比例相同</w:t>
      </w:r>
    </w:p>
    <w:p>
      <w:pPr>
        <w:tabs>
          <w:tab w:val="left" w:pos="709"/>
          <w:tab w:val="left" w:pos="851"/>
          <w:tab w:val="left" w:pos="8931"/>
        </w:tabs>
        <w:spacing w:line="360" w:lineRule="auto"/>
        <w:ind w:right="168" w:rightChars="80" w:firstLine="482" w:firstLineChars="200"/>
        <w:rPr>
          <w:rFonts w:ascii="楷体" w:hAnsi="楷体" w:eastAsia="楷体"/>
          <w:sz w:val="24"/>
          <w:szCs w:val="24"/>
        </w:rPr>
      </w:pPr>
      <w:r>
        <w:rPr>
          <w:rFonts w:hint="eastAsia" w:ascii="SimHei" w:hAnsi="SimHei" w:eastAsia="黑体"/>
          <w:b/>
          <w:sz w:val="24"/>
          <w:szCs w:val="24"/>
        </w:rPr>
        <w:t>2、考勤工资：</w:t>
      </w:r>
      <w:r>
        <w:rPr>
          <w:rFonts w:hint="eastAsia" w:ascii="SimHei" w:hAnsi="SimHei" w:eastAsia="黑体"/>
          <w:sz w:val="24"/>
          <w:szCs w:val="24"/>
        </w:rPr>
        <w:t>针对员工迟到早退进行的评分制考核工资，用于对自律性的约束，占比小</w:t>
      </w:r>
    </w:p>
    <w:p>
      <w:pPr>
        <w:tabs>
          <w:tab w:val="left" w:pos="709"/>
          <w:tab w:val="left" w:pos="851"/>
          <w:tab w:val="left" w:pos="8931"/>
        </w:tabs>
        <w:spacing w:line="360" w:lineRule="auto"/>
        <w:ind w:left="-40" w:leftChars="-19" w:right="168" w:rightChars="80" w:firstLine="482" w:firstLineChars="200"/>
        <w:rPr>
          <w:rFonts w:ascii="楷体" w:hAnsi="楷体" w:eastAsia="楷体"/>
          <w:sz w:val="24"/>
          <w:szCs w:val="24"/>
        </w:rPr>
      </w:pPr>
      <w:r>
        <w:rPr>
          <w:rFonts w:hint="eastAsia" w:ascii="SimHei" w:hAnsi="SimHei" w:eastAsia="黑体"/>
          <w:b/>
          <w:sz w:val="24"/>
          <w:szCs w:val="24"/>
        </w:rPr>
        <w:t>3、工龄工资：</w:t>
      </w:r>
      <w:r>
        <w:rPr>
          <w:rFonts w:hint="eastAsia" w:ascii="SimHei" w:hAnsi="SimHei" w:eastAsia="黑体"/>
          <w:sz w:val="24"/>
          <w:szCs w:val="24"/>
        </w:rPr>
        <w:t>激励员工对企业的忠诚度，随着员工工龄的增长而增加</w:t>
      </w:r>
    </w:p>
    <w:p>
      <w:pPr>
        <w:tabs>
          <w:tab w:val="left" w:pos="709"/>
          <w:tab w:val="left" w:pos="851"/>
          <w:tab w:val="left" w:pos="8931"/>
        </w:tabs>
        <w:spacing w:line="360" w:lineRule="auto"/>
        <w:ind w:left="-40" w:leftChars="-19" w:right="168" w:rightChars="80" w:firstLine="482" w:firstLineChars="200"/>
        <w:rPr>
          <w:rFonts w:ascii="楷体" w:hAnsi="楷体" w:eastAsia="楷体"/>
          <w:sz w:val="24"/>
          <w:szCs w:val="24"/>
        </w:rPr>
      </w:pPr>
      <w:r>
        <w:rPr>
          <w:rFonts w:hint="eastAsia" w:ascii="SimHei" w:hAnsi="SimHei" w:eastAsia="黑体"/>
          <w:b/>
          <w:sz w:val="24"/>
          <w:szCs w:val="24"/>
        </w:rPr>
        <w:t>4、补助：</w:t>
      </w:r>
      <w:r>
        <w:rPr>
          <w:rFonts w:hint="eastAsia" w:ascii="SimHei" w:hAnsi="SimHei" w:eastAsia="黑体"/>
          <w:sz w:val="24"/>
          <w:szCs w:val="24"/>
        </w:rPr>
        <w:t>包括餐饮、交通补助，各岗位额度相当，无差异</w:t>
      </w:r>
    </w:p>
    <w:p>
      <w:pPr>
        <w:tabs>
          <w:tab w:val="left" w:pos="709"/>
          <w:tab w:val="left" w:pos="851"/>
          <w:tab w:val="left" w:pos="8931"/>
        </w:tabs>
        <w:spacing w:line="360" w:lineRule="auto"/>
        <w:ind w:left="-40" w:leftChars="-19" w:right="168" w:rightChars="80" w:firstLine="482" w:firstLineChars="200"/>
        <w:rPr>
          <w:rFonts w:ascii="楷体" w:hAnsi="楷体" w:eastAsia="楷体"/>
          <w:b/>
          <w:sz w:val="24"/>
          <w:szCs w:val="24"/>
        </w:rPr>
      </w:pPr>
      <w:r>
        <w:rPr>
          <w:rFonts w:hint="eastAsia" w:ascii="SimHei" w:hAnsi="SimHei" w:eastAsia="黑体"/>
          <w:b/>
          <w:sz w:val="24"/>
          <w:szCs w:val="24"/>
        </w:rPr>
        <w:t>5、项目奖金：</w:t>
      </w:r>
      <w:r>
        <w:rPr>
          <w:rFonts w:hint="eastAsia" w:ascii="SimHei" w:hAnsi="SimHei" w:eastAsia="黑体"/>
          <w:sz w:val="24"/>
          <w:szCs w:val="24"/>
        </w:rPr>
        <w:t>针对公司开展的盈利性项目，以项目取得的总收入为基数，为项目团队设立的专项奖金</w:t>
      </w:r>
    </w:p>
    <w:p>
      <w:pPr>
        <w:tabs>
          <w:tab w:val="left" w:pos="709"/>
          <w:tab w:val="left" w:pos="851"/>
          <w:tab w:val="left" w:pos="8931"/>
        </w:tabs>
        <w:spacing w:line="360" w:lineRule="auto"/>
        <w:ind w:left="-40" w:leftChars="-19" w:right="168" w:rightChars="80" w:firstLine="482" w:firstLineChars="200"/>
        <w:rPr>
          <w:rFonts w:ascii="楷体" w:hAnsi="楷体" w:eastAsia="楷体"/>
          <w:sz w:val="24"/>
          <w:szCs w:val="24"/>
        </w:rPr>
      </w:pPr>
      <w:r>
        <w:rPr>
          <w:rFonts w:hint="eastAsia" w:ascii="SimHei" w:hAnsi="SimHei" w:eastAsia="黑体"/>
          <w:b/>
          <w:sz w:val="24"/>
          <w:szCs w:val="24"/>
        </w:rPr>
        <w:t>6、效益提成：</w:t>
      </w:r>
      <w:r>
        <w:rPr>
          <w:rFonts w:hint="eastAsia" w:ascii="SimHei" w:hAnsi="SimHei" w:eastAsia="黑体"/>
          <w:sz w:val="24"/>
          <w:szCs w:val="24"/>
        </w:rPr>
        <w:t>针对与效益直接挂钩的业务人员在达到要求任务量时提取的佣金</w:t>
      </w:r>
    </w:p>
    <w:p>
      <w:pPr>
        <w:tabs>
          <w:tab w:val="left" w:pos="709"/>
          <w:tab w:val="left" w:pos="851"/>
          <w:tab w:val="left" w:pos="8931"/>
        </w:tabs>
        <w:spacing w:line="360" w:lineRule="auto"/>
        <w:ind w:left="-40" w:leftChars="-19" w:right="168" w:rightChars="80" w:firstLine="482" w:firstLineChars="200"/>
        <w:rPr>
          <w:rFonts w:ascii="楷体" w:hAnsi="楷体" w:eastAsia="楷体"/>
          <w:sz w:val="24"/>
          <w:szCs w:val="24"/>
        </w:rPr>
      </w:pPr>
      <w:r>
        <w:rPr>
          <w:rFonts w:hint="eastAsia" w:ascii="SimHei" w:hAnsi="SimHei" w:eastAsia="黑体"/>
          <w:b/>
          <w:sz w:val="24"/>
          <w:szCs w:val="24"/>
        </w:rPr>
        <w:t>7、年终奖金：</w:t>
      </w:r>
      <w:r>
        <w:rPr>
          <w:rFonts w:hint="eastAsia" w:ascii="SimHei" w:hAnsi="SimHei" w:eastAsia="黑体"/>
          <w:sz w:val="24"/>
          <w:szCs w:val="24"/>
        </w:rPr>
        <w:t>以一个自然年为周期，从公司取得营业收入的总额中抽拨一定比例作为基数，针对不同部门不同岗位的贡献程度与业绩大小，合理分配的奖金</w:t>
      </w:r>
    </w:p>
    <w:p>
      <w:pPr>
        <w:tabs>
          <w:tab w:val="left" w:pos="709"/>
          <w:tab w:val="left" w:pos="851"/>
          <w:tab w:val="left" w:pos="8931"/>
        </w:tabs>
        <w:spacing w:line="360" w:lineRule="auto"/>
        <w:ind w:left="-40" w:leftChars="-19" w:right="168" w:rightChars="80" w:firstLine="482" w:firstLineChars="200"/>
        <w:rPr>
          <w:rFonts w:ascii="楷体" w:hAnsi="楷体" w:eastAsia="楷体"/>
          <w:sz w:val="24"/>
          <w:szCs w:val="24"/>
        </w:rPr>
      </w:pPr>
      <w:r>
        <w:rPr>
          <w:rFonts w:hint="eastAsia" w:ascii="SimHei" w:hAnsi="SimHei" w:eastAsia="黑体"/>
          <w:b/>
          <w:sz w:val="24"/>
          <w:szCs w:val="24"/>
        </w:rPr>
        <w:t>8、保险福利：</w:t>
      </w:r>
      <w:r>
        <w:rPr>
          <w:rFonts w:hint="eastAsia" w:ascii="SimHei" w:hAnsi="SimHei" w:eastAsia="黑体"/>
          <w:sz w:val="24"/>
          <w:szCs w:val="24"/>
        </w:rPr>
        <w:t>企业按照国家规定为员工办理的社会保险福利，或根据业务经营状况增设的其他货币形式福利。</w:t>
      </w:r>
    </w:p>
    <w:p>
      <w:pPr>
        <w:tabs>
          <w:tab w:val="left" w:pos="709"/>
          <w:tab w:val="left" w:pos="851"/>
          <w:tab w:val="left" w:pos="8931"/>
        </w:tabs>
        <w:spacing w:line="360" w:lineRule="auto"/>
        <w:ind w:left="-40" w:leftChars="-19" w:right="168" w:rightChars="80" w:firstLine="480" w:firstLineChars="200"/>
        <w:rPr>
          <w:rFonts w:ascii="楷体" w:hAnsi="楷体" w:eastAsia="楷体"/>
          <w:sz w:val="24"/>
          <w:szCs w:val="24"/>
        </w:rPr>
      </w:pPr>
      <w:r>
        <w:rPr>
          <w:rFonts w:hint="eastAsia" w:ascii="SimHei" w:hAnsi="SimHei" w:eastAsia="黑体"/>
          <w:sz w:val="24"/>
          <w:szCs w:val="24"/>
        </w:rPr>
        <w:t>另外，单独设立证书补贴（如安防证），即针对国家强制要求上岗必须考取证书的征用租赁费。</w:t>
      </w:r>
    </w:p>
    <w:p>
      <w:pPr>
        <w:pStyle w:val="3"/>
        <w:tabs>
          <w:tab w:val="left" w:pos="709"/>
          <w:tab w:val="left" w:pos="851"/>
          <w:tab w:val="left" w:pos="8931"/>
        </w:tabs>
        <w:spacing w:before="0" w:after="0" w:line="360" w:lineRule="auto"/>
        <w:ind w:right="168" w:rightChars="80" w:firstLine="482" w:firstLineChars="200"/>
        <w:rPr>
          <w:rFonts w:ascii="楷体" w:hAnsi="楷体" w:eastAsia="楷体"/>
          <w:kern w:val="0"/>
          <w:sz w:val="24"/>
          <w:szCs w:val="24"/>
        </w:rPr>
      </w:pPr>
      <w:bookmarkStart w:id="50" w:name="_Toc408573181"/>
      <w:bookmarkStart w:id="51" w:name="_Toc407729184"/>
      <w:r>
        <w:rPr>
          <w:rFonts w:hint="eastAsia" w:ascii="SimHei" w:hAnsi="SimHei" w:eastAsia="黑体"/>
          <w:kern w:val="0"/>
          <w:sz w:val="24"/>
          <w:szCs w:val="24"/>
        </w:rPr>
        <w:t>三、标准工资设计方案</w:t>
      </w:r>
      <w:bookmarkEnd w:id="50"/>
      <w:bookmarkEnd w:id="51"/>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52" w:name="_Toc408573182"/>
      <w:bookmarkStart w:id="53" w:name="_Toc407729185"/>
      <w:r>
        <w:rPr>
          <w:rFonts w:hint="eastAsia" w:ascii="SimHei" w:hAnsi="SimHei" w:eastAsia="黑体"/>
          <w:sz w:val="24"/>
          <w:szCs w:val="24"/>
        </w:rPr>
        <w:t>1、岗位价值评估的目的</w:t>
      </w:r>
      <w:bookmarkEnd w:id="52"/>
      <w:bookmarkEnd w:id="53"/>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（1）明确岗位的相对价值以及针对公司战略目标的整体贡献度，并据此建立岗位价值序列；</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（2）作为薪酬评定与竞聘上岗、逐级晋升的重要依据，</w:t>
      </w:r>
      <w:r>
        <w:rPr>
          <w:rFonts w:ascii="SimHei" w:hAnsi="SimHei" w:eastAsia="黑体"/>
          <w:sz w:val="24"/>
          <w:szCs w:val="24"/>
        </w:rPr>
        <w:t>从而使员工明确自己的职业发展和晋升途径，便于员工理解</w:t>
      </w:r>
      <w:r>
        <w:rPr>
          <w:rFonts w:hint="eastAsia" w:ascii="SimHei" w:hAnsi="SimHei" w:eastAsia="黑体"/>
          <w:sz w:val="24"/>
          <w:szCs w:val="24"/>
        </w:rPr>
        <w:t>公司</w:t>
      </w:r>
      <w:r>
        <w:rPr>
          <w:rFonts w:ascii="SimHei" w:hAnsi="SimHei" w:eastAsia="黑体"/>
          <w:sz w:val="24"/>
          <w:szCs w:val="24"/>
        </w:rPr>
        <w:t>的价值标准，引导员工朝更高的层次发展</w:t>
      </w:r>
      <w:r>
        <w:rPr>
          <w:rFonts w:hint="eastAsia" w:ascii="SimHei" w:hAnsi="SimHei" w:eastAsia="黑体"/>
          <w:sz w:val="24"/>
          <w:szCs w:val="24"/>
        </w:rPr>
        <w:t>；</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（3）岗位评价的过程需要各部门参与，结果公开透明，可以使员工与管理者之间对于评价的看法保持一致，有利于消除薪酬构成方面不公平的因素，改善劳资关系。</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54" w:name="_Toc407729186"/>
      <w:bookmarkStart w:id="55" w:name="_Toc408573183"/>
      <w:r>
        <w:rPr>
          <w:rFonts w:hint="eastAsia" w:ascii="SimHei" w:hAnsi="SimHei" w:eastAsia="黑体"/>
          <w:sz w:val="24"/>
          <w:szCs w:val="24"/>
        </w:rPr>
        <w:t>2、岗位价值评估的原则与特点</w:t>
      </w:r>
      <w:bookmarkEnd w:id="54"/>
      <w:bookmarkEnd w:id="55"/>
    </w:p>
    <w:p>
      <w:pPr>
        <w:tabs>
          <w:tab w:val="left" w:pos="709"/>
          <w:tab w:val="left" w:pos="851"/>
          <w:tab w:val="left" w:pos="8931"/>
        </w:tabs>
        <w:adjustRightInd w:val="0"/>
        <w:snapToGrid w:val="0"/>
        <w:spacing w:line="360" w:lineRule="auto"/>
        <w:ind w:left="6" w:right="168" w:rightChars="80" w:firstLine="480" w:firstLineChars="200"/>
        <w:rPr>
          <w:rFonts w:ascii="楷体" w:hAnsi="楷体" w:eastAsia="楷体"/>
          <w:bCs/>
          <w:sz w:val="24"/>
          <w:szCs w:val="24"/>
        </w:rPr>
      </w:pPr>
      <w:r>
        <w:rPr>
          <w:rFonts w:hint="eastAsia" w:ascii="SimHei" w:hAnsi="SimHei" w:eastAsia="黑体"/>
          <w:bCs/>
          <w:sz w:val="24"/>
          <w:szCs w:val="24"/>
        </w:rPr>
        <w:t>（1）评价的是职位，而不是任职者本人</w:t>
      </w:r>
    </w:p>
    <w:p>
      <w:pPr>
        <w:tabs>
          <w:tab w:val="left" w:pos="709"/>
          <w:tab w:val="left" w:pos="851"/>
          <w:tab w:val="left" w:pos="8931"/>
        </w:tabs>
        <w:adjustRightInd w:val="0"/>
        <w:snapToGrid w:val="0"/>
        <w:spacing w:line="360" w:lineRule="auto"/>
        <w:ind w:left="6" w:right="168" w:rightChars="80" w:firstLine="480" w:firstLineChars="200"/>
        <w:rPr>
          <w:rFonts w:ascii="楷体" w:hAnsi="楷体" w:eastAsia="楷体"/>
          <w:bCs/>
          <w:sz w:val="24"/>
          <w:szCs w:val="24"/>
        </w:rPr>
      </w:pPr>
      <w:r>
        <w:rPr>
          <w:rFonts w:hint="eastAsia" w:ascii="SimHei" w:hAnsi="SimHei" w:eastAsia="黑体"/>
          <w:bCs/>
          <w:sz w:val="24"/>
          <w:szCs w:val="24"/>
        </w:rPr>
        <w:t>（2）评估的是职位的状态，即满足职位描述中体现的内容和产出要求的状态</w:t>
      </w:r>
    </w:p>
    <w:p>
      <w:pPr>
        <w:tabs>
          <w:tab w:val="left" w:pos="709"/>
          <w:tab w:val="left" w:pos="851"/>
          <w:tab w:val="left" w:pos="8931"/>
        </w:tabs>
        <w:adjustRightInd w:val="0"/>
        <w:snapToGrid w:val="0"/>
        <w:spacing w:line="360" w:lineRule="auto"/>
        <w:ind w:left="6" w:right="168" w:rightChars="80" w:firstLine="480" w:firstLineChars="200"/>
        <w:rPr>
          <w:rFonts w:ascii="楷体" w:hAnsi="楷体" w:eastAsia="楷体"/>
          <w:bCs/>
          <w:sz w:val="24"/>
          <w:szCs w:val="24"/>
        </w:rPr>
      </w:pPr>
      <w:r>
        <w:rPr>
          <w:rFonts w:hint="eastAsia" w:ascii="SimHei" w:hAnsi="SimHei" w:eastAsia="黑体"/>
          <w:bCs/>
          <w:sz w:val="24"/>
          <w:szCs w:val="24"/>
        </w:rPr>
        <w:t>（3）考虑职位上通常的情景，而非特殊情况</w:t>
      </w:r>
    </w:p>
    <w:p>
      <w:pPr>
        <w:tabs>
          <w:tab w:val="left" w:pos="709"/>
          <w:tab w:val="left" w:pos="851"/>
          <w:tab w:val="left" w:pos="8931"/>
        </w:tabs>
        <w:adjustRightInd w:val="0"/>
        <w:snapToGrid w:val="0"/>
        <w:spacing w:line="360" w:lineRule="auto"/>
        <w:ind w:left="6" w:right="168" w:rightChars="80" w:firstLine="480" w:firstLineChars="200"/>
        <w:rPr>
          <w:rFonts w:ascii="楷体" w:hAnsi="楷体" w:eastAsia="楷体"/>
          <w:bCs/>
          <w:sz w:val="24"/>
          <w:szCs w:val="24"/>
        </w:rPr>
      </w:pPr>
      <w:r>
        <w:rPr>
          <w:rFonts w:hint="eastAsia" w:ascii="SimHei" w:hAnsi="SimHei" w:eastAsia="黑体"/>
          <w:bCs/>
          <w:sz w:val="24"/>
          <w:szCs w:val="24"/>
        </w:rPr>
        <w:t>（4）评估时，不考虑现有级别、工资级别、任职人的等级等</w:t>
      </w:r>
    </w:p>
    <w:p>
      <w:pPr>
        <w:tabs>
          <w:tab w:val="left" w:pos="709"/>
          <w:tab w:val="left" w:pos="851"/>
          <w:tab w:val="left" w:pos="8931"/>
        </w:tabs>
        <w:adjustRightInd w:val="0"/>
        <w:snapToGrid w:val="0"/>
        <w:spacing w:line="360" w:lineRule="auto"/>
        <w:ind w:left="6" w:right="168" w:rightChars="80" w:firstLine="480" w:firstLineChars="200"/>
        <w:rPr>
          <w:rFonts w:ascii="楷体" w:hAnsi="楷体" w:eastAsia="楷体"/>
          <w:bCs/>
          <w:sz w:val="24"/>
          <w:szCs w:val="24"/>
        </w:rPr>
      </w:pPr>
      <w:r>
        <w:rPr>
          <w:rFonts w:hint="eastAsia" w:ascii="SimHei" w:hAnsi="SimHei" w:eastAsia="黑体"/>
          <w:bCs/>
          <w:sz w:val="24"/>
          <w:szCs w:val="24"/>
        </w:rPr>
        <w:t>（5）根据客观判断，避免对某些描述可能有的预先偏见</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56" w:name="_Toc407729187"/>
      <w:bookmarkStart w:id="57" w:name="_Toc408573184"/>
      <w:r>
        <w:rPr>
          <w:rFonts w:hint="eastAsia" w:ascii="SimHei" w:hAnsi="SimHei" w:eastAsia="黑体"/>
          <w:sz w:val="24"/>
          <w:szCs w:val="24"/>
        </w:rPr>
        <w:t>3、岗位价值评估的方法与步骤</w:t>
      </w:r>
      <w:bookmarkEnd w:id="56"/>
      <w:bookmarkEnd w:id="57"/>
    </w:p>
    <w:p>
      <w:pPr>
        <w:tabs>
          <w:tab w:val="left" w:pos="709"/>
          <w:tab w:val="left" w:pos="851"/>
          <w:tab w:val="left" w:pos="8931"/>
        </w:tabs>
        <w:adjustRightInd w:val="0"/>
        <w:snapToGrid w:val="0"/>
        <w:spacing w:line="360" w:lineRule="auto"/>
        <w:ind w:left="6" w:right="168" w:rightChars="80" w:firstLine="480" w:firstLineChars="200"/>
        <w:rPr>
          <w:rFonts w:ascii="楷体" w:hAnsi="楷体" w:eastAsia="楷体"/>
          <w:bCs/>
          <w:sz w:val="24"/>
          <w:szCs w:val="24"/>
        </w:rPr>
      </w:pPr>
      <w:r>
        <w:rPr>
          <w:rFonts w:hint="eastAsia" w:ascii="SimHei" w:hAnsi="SimHei" w:eastAsia="黑体"/>
          <w:bCs/>
          <w:sz w:val="24"/>
          <w:szCs w:val="24"/>
        </w:rPr>
        <w:t>（1）选定评估方法</w:t>
      </w:r>
    </w:p>
    <w:p>
      <w:pPr>
        <w:tabs>
          <w:tab w:val="left" w:pos="709"/>
          <w:tab w:val="left" w:pos="851"/>
          <w:tab w:val="left" w:pos="8931"/>
        </w:tabs>
        <w:adjustRightInd w:val="0"/>
        <w:snapToGrid w:val="0"/>
        <w:spacing w:line="360" w:lineRule="auto"/>
        <w:ind w:left="6" w:leftChars="3" w:right="168" w:rightChars="80" w:firstLine="480" w:firstLineChars="200"/>
        <w:rPr>
          <w:rFonts w:ascii="楷体" w:hAnsi="楷体" w:eastAsia="楷体"/>
          <w:bCs/>
          <w:sz w:val="24"/>
          <w:szCs w:val="24"/>
        </w:rPr>
      </w:pPr>
      <w:r>
        <w:rPr>
          <w:rFonts w:hint="eastAsia" w:ascii="SimHei" w:hAnsi="SimHei" w:eastAsia="黑体"/>
          <w:bCs/>
          <w:sz w:val="24"/>
          <w:szCs w:val="24"/>
        </w:rPr>
        <w:t>岗位评估方法众多，简单可以分为两大类，一类以是基于市场的评估方法，一类是基于工作内容的评估方法，从公司的实际情况出发，更需要明确每个岗位在公司的相对价值以及战略角色，所以我们采用基于工作内容的海氏评估体系，也称三要素评估法，岗位之间的工作内容千差万别，但任何工作职位都会存在普遍共性，因此，这套方法将纷繁复杂的付薪因素进一步抽象为具有普遍适用性的三种要素，即知识技能水平、解决问题的能力以及风险责任大小；</w:t>
      </w:r>
    </w:p>
    <w:p>
      <w:pPr>
        <w:tabs>
          <w:tab w:val="left" w:pos="709"/>
          <w:tab w:val="left" w:pos="851"/>
          <w:tab w:val="left" w:pos="8931"/>
        </w:tabs>
        <w:adjustRightInd w:val="0"/>
        <w:snapToGrid w:val="0"/>
        <w:spacing w:line="360" w:lineRule="auto"/>
        <w:ind w:left="6" w:right="168" w:rightChars="80" w:firstLine="480" w:firstLineChars="200"/>
        <w:rPr>
          <w:rFonts w:ascii="楷体" w:hAnsi="楷体" w:eastAsia="楷体"/>
          <w:bCs/>
          <w:sz w:val="24"/>
          <w:szCs w:val="24"/>
        </w:rPr>
      </w:pPr>
      <w:r>
        <w:rPr>
          <w:rFonts w:hint="eastAsia" w:ascii="SimHei" w:hAnsi="SimHei" w:eastAsia="黑体"/>
          <w:bCs/>
          <w:sz w:val="24"/>
          <w:szCs w:val="24"/>
        </w:rPr>
        <w:t>（2）建立岗位说明书</w:t>
      </w:r>
    </w:p>
    <w:p>
      <w:pPr>
        <w:tabs>
          <w:tab w:val="left" w:pos="709"/>
          <w:tab w:val="left" w:pos="851"/>
          <w:tab w:val="left" w:pos="8931"/>
        </w:tabs>
        <w:adjustRightInd w:val="0"/>
        <w:snapToGrid w:val="0"/>
        <w:spacing w:line="360" w:lineRule="auto"/>
        <w:ind w:left="6" w:right="168" w:rightChars="80" w:firstLine="480" w:firstLineChars="200"/>
        <w:rPr>
          <w:rFonts w:ascii="楷体" w:hAnsi="楷体" w:eastAsia="楷体"/>
          <w:bCs/>
          <w:sz w:val="24"/>
          <w:szCs w:val="24"/>
        </w:rPr>
      </w:pPr>
      <w:r>
        <w:rPr>
          <w:rFonts w:hint="eastAsia" w:ascii="SimHei" w:hAnsi="SimHei" w:eastAsia="黑体"/>
          <w:bCs/>
          <w:sz w:val="24"/>
          <w:szCs w:val="24"/>
        </w:rPr>
        <w:t>岗位说明书是做岗位价值评估的基础，非常重要，如果没有明确的岗位职责与要求描述，只能靠评价人的空想，那么岗位评分结果一定会大幅增加主观性；</w:t>
      </w:r>
    </w:p>
    <w:p>
      <w:pPr>
        <w:tabs>
          <w:tab w:val="left" w:pos="709"/>
          <w:tab w:val="left" w:pos="851"/>
          <w:tab w:val="left" w:pos="8931"/>
        </w:tabs>
        <w:adjustRightInd w:val="0"/>
        <w:snapToGrid w:val="0"/>
        <w:spacing w:line="360" w:lineRule="auto"/>
        <w:ind w:left="6" w:right="168" w:rightChars="80" w:firstLine="480" w:firstLineChars="200"/>
        <w:rPr>
          <w:rFonts w:ascii="楷体" w:hAnsi="楷体" w:eastAsia="楷体"/>
          <w:bCs/>
          <w:sz w:val="24"/>
          <w:szCs w:val="24"/>
        </w:rPr>
      </w:pPr>
      <w:r>
        <w:rPr>
          <w:rFonts w:hint="eastAsia" w:ascii="SimHei" w:hAnsi="SimHei" w:eastAsia="黑体"/>
          <w:bCs/>
          <w:sz w:val="24"/>
          <w:szCs w:val="24"/>
        </w:rPr>
        <w:t>（3）成立评估小组</w:t>
      </w:r>
    </w:p>
    <w:p>
      <w:pPr>
        <w:tabs>
          <w:tab w:val="left" w:pos="709"/>
          <w:tab w:val="left" w:pos="851"/>
          <w:tab w:val="left" w:pos="8931"/>
        </w:tabs>
        <w:adjustRightInd w:val="0"/>
        <w:snapToGrid w:val="0"/>
        <w:spacing w:line="360" w:lineRule="auto"/>
        <w:ind w:left="6" w:right="168" w:rightChars="80" w:firstLine="480" w:firstLineChars="200"/>
        <w:rPr>
          <w:rFonts w:ascii="楷体" w:hAnsi="楷体" w:eastAsia="楷体"/>
          <w:bCs/>
          <w:sz w:val="24"/>
          <w:szCs w:val="24"/>
        </w:rPr>
      </w:pPr>
      <w:r>
        <w:rPr>
          <w:rFonts w:hint="eastAsia" w:ascii="SimHei" w:hAnsi="SimHei" w:eastAsia="黑体"/>
          <w:bCs/>
          <w:sz w:val="24"/>
          <w:szCs w:val="24"/>
        </w:rPr>
        <w:t>本次评估是根据岗位的归属部门，与部门主管讨论核定后的评分结果，是从定性指标推向定量评分的过程；</w:t>
      </w:r>
    </w:p>
    <w:p>
      <w:pPr>
        <w:tabs>
          <w:tab w:val="left" w:pos="709"/>
          <w:tab w:val="left" w:pos="851"/>
          <w:tab w:val="left" w:pos="8931"/>
        </w:tabs>
        <w:adjustRightInd w:val="0"/>
        <w:snapToGrid w:val="0"/>
        <w:spacing w:line="360" w:lineRule="auto"/>
        <w:ind w:left="6" w:right="168" w:rightChars="80" w:firstLine="480" w:firstLineChars="200"/>
        <w:rPr>
          <w:rFonts w:ascii="楷体" w:hAnsi="楷体" w:eastAsia="楷体"/>
          <w:bCs/>
          <w:sz w:val="24"/>
          <w:szCs w:val="24"/>
        </w:rPr>
      </w:pPr>
      <w:r>
        <w:rPr>
          <w:rFonts w:hint="eastAsia" w:ascii="SimHei" w:hAnsi="SimHei" w:eastAsia="黑体"/>
          <w:bCs/>
          <w:sz w:val="24"/>
          <w:szCs w:val="24"/>
        </w:rPr>
        <w:t>（4）形成岗位价值序列</w:t>
      </w:r>
    </w:p>
    <w:p>
      <w:pPr>
        <w:tabs>
          <w:tab w:val="left" w:pos="709"/>
          <w:tab w:val="left" w:pos="851"/>
          <w:tab w:val="left" w:pos="8931"/>
        </w:tabs>
        <w:adjustRightInd w:val="0"/>
        <w:snapToGrid w:val="0"/>
        <w:spacing w:line="360" w:lineRule="auto"/>
        <w:ind w:left="6" w:right="168" w:rightChars="80" w:firstLine="480" w:firstLineChars="200"/>
        <w:rPr>
          <w:rFonts w:ascii="楷体" w:hAnsi="楷体" w:eastAsia="楷体"/>
          <w:bCs/>
          <w:sz w:val="24"/>
          <w:szCs w:val="24"/>
        </w:rPr>
      </w:pPr>
      <w:r>
        <w:rPr>
          <w:rFonts w:hint="eastAsia" w:ascii="SimHei" w:hAnsi="SimHei" w:eastAsia="黑体"/>
          <w:bCs/>
          <w:sz w:val="24"/>
          <w:szCs w:val="24"/>
        </w:rPr>
        <w:t>完成所有岗位评分后，将岗位得分降序排列，形成岗位价值序列，每个岗位的价值在公司整体序列的相对地位一目了然。</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58" w:name="_Toc408573185"/>
      <w:bookmarkStart w:id="59" w:name="_Toc407729188"/>
      <w:r>
        <w:rPr>
          <w:rFonts w:hint="eastAsia" w:ascii="SimHei" w:hAnsi="SimHei" w:eastAsia="黑体"/>
          <w:sz w:val="24"/>
          <w:szCs w:val="24"/>
        </w:rPr>
        <w:t>4、岗位价值评估结果</w:t>
      </w:r>
      <w:bookmarkEnd w:id="58"/>
      <w:bookmarkEnd w:id="59"/>
    </w:p>
    <w:tbl>
      <w:tblPr>
        <w:tblStyle w:val="28"/>
        <w:tblW w:w="9411" w:type="dxa"/>
        <w:jc w:val="center"/>
        <w:tblInd w:w="0" w:type="dxa"/>
        <w:tblLayout w:type="fixed"/>
        <w:tblCellMar>
          <w:top w:w="0" w:type="dxa"/>
          <w:left w:w="108" w:type="dxa"/>
          <w:bottom w:w="0" w:type="dxa"/>
          <w:right w:w="108" w:type="dxa"/>
        </w:tblCellMar>
      </w:tblPr>
      <w:tblGrid>
        <w:gridCol w:w="626"/>
        <w:gridCol w:w="768"/>
        <w:gridCol w:w="1199"/>
        <w:gridCol w:w="903"/>
        <w:gridCol w:w="744"/>
        <w:gridCol w:w="744"/>
        <w:gridCol w:w="1073"/>
        <w:gridCol w:w="841"/>
        <w:gridCol w:w="2513"/>
      </w:tblGrid>
      <w:tr>
        <w:tblPrEx>
          <w:tblLayout w:type="fixed"/>
          <w:tblCellMar>
            <w:top w:w="0" w:type="dxa"/>
            <w:left w:w="108" w:type="dxa"/>
            <w:bottom w:w="0" w:type="dxa"/>
            <w:right w:w="108" w:type="dxa"/>
          </w:tblCellMar>
        </w:tblPrEx>
        <w:trPr>
          <w:trHeight w:val="1063" w:hRule="exact"/>
          <w:jc w:val="center"/>
        </w:trPr>
        <w:tc>
          <w:tcPr>
            <w:tcW w:w="6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序号</w:t>
            </w:r>
          </w:p>
        </w:tc>
        <w:tc>
          <w:tcPr>
            <w:tcW w:w="768"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部门</w:t>
            </w:r>
          </w:p>
        </w:tc>
        <w:tc>
          <w:tcPr>
            <w:tcW w:w="1199"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岗位名称</w:t>
            </w:r>
          </w:p>
        </w:tc>
        <w:tc>
          <w:tcPr>
            <w:tcW w:w="903"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知识+技能水平</w:t>
            </w:r>
          </w:p>
        </w:tc>
        <w:tc>
          <w:tcPr>
            <w:tcW w:w="744"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解决问题能力</w:t>
            </w:r>
          </w:p>
        </w:tc>
        <w:tc>
          <w:tcPr>
            <w:tcW w:w="744"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职务责任</w:t>
            </w:r>
          </w:p>
        </w:tc>
        <w:tc>
          <w:tcPr>
            <w:tcW w:w="1073"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知识技能+解决问题能力占比</w:t>
            </w:r>
          </w:p>
        </w:tc>
        <w:tc>
          <w:tcPr>
            <w:tcW w:w="841"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职务责任占比</w:t>
            </w:r>
          </w:p>
        </w:tc>
        <w:tc>
          <w:tcPr>
            <w:tcW w:w="2513"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得分</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1</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销售部经理</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700</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66%</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608</w:t>
            </w:r>
            <w:r>
              <w:rPr>
                <w:rFonts w:hint="eastAsia" w:ascii="SimHei" w:hAnsi="SimHei" w:eastAsia="黑体" w:cs="宋体"/>
                <w:kern w:val="0"/>
                <w:sz w:val="24"/>
                <w:szCs w:val="24"/>
              </w:rPr>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829.60</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2</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技术研发</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技术小组组长</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800</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57%</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460</w:t>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45%</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55%</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818.20</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3</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技术研发</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软件架构师</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700</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57%</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400</w:t>
            </w:r>
            <w:r>
              <w:rPr>
                <w:rFonts w:hint="eastAsia" w:ascii="SimHei" w:hAnsi="SimHei" w:eastAsia="黑体" w:cs="宋体"/>
                <w:kern w:val="0"/>
                <w:sz w:val="24"/>
                <w:szCs w:val="24"/>
              </w:rPr>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55%</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45%</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784.45</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4</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财务</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财务经理</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700</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66%</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608</w:t>
            </w:r>
            <w:r>
              <w:rPr>
                <w:rFonts w:hint="eastAsia" w:ascii="SimHei" w:hAnsi="SimHei" w:eastAsia="黑体" w:cs="宋体"/>
                <w:kern w:val="0"/>
                <w:sz w:val="24"/>
                <w:szCs w:val="24"/>
              </w:rPr>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774.20</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5</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技术研发</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开发工程师</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528</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50%</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350</w:t>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659.40</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6</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技术研发</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项目组长</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700</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43%</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350</w:t>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45%</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55%</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642.95</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7</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销售主管</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528</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43%</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304</w:t>
            </w:r>
            <w:r>
              <w:rPr>
                <w:rFonts w:hint="eastAsia" w:ascii="SimHei" w:hAnsi="SimHei" w:eastAsia="黑体" w:cs="宋体"/>
                <w:kern w:val="0"/>
                <w:sz w:val="24"/>
                <w:szCs w:val="24"/>
              </w:rPr>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45%</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55%</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506.97</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8</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技术研发</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助理工程师</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400</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38%</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230</w:t>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455.40</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9</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行政人事</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人资主管</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460</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43%</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264</w:t>
            </w:r>
            <w:r>
              <w:rPr>
                <w:rFonts w:hint="eastAsia" w:ascii="SimHei" w:hAnsi="SimHei" w:eastAsia="黑体" w:cs="宋体"/>
                <w:kern w:val="0"/>
                <w:sz w:val="24"/>
                <w:szCs w:val="24"/>
              </w:rPr>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421.52</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10</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销售经理助理</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400</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43%</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230</w:t>
            </w:r>
            <w:r>
              <w:rPr>
                <w:rFonts w:hint="eastAsia" w:ascii="SimHei" w:hAnsi="SimHei" w:eastAsia="黑体" w:cs="宋体"/>
                <w:kern w:val="0"/>
                <w:sz w:val="24"/>
                <w:szCs w:val="24"/>
              </w:rPr>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401.00</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11</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行政人事</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行政主管</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400</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43%</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230</w:t>
            </w:r>
            <w:r>
              <w:rPr>
                <w:rFonts w:hint="eastAsia" w:ascii="SimHei" w:hAnsi="SimHei" w:eastAsia="黑体" w:cs="宋体"/>
                <w:kern w:val="0"/>
                <w:sz w:val="24"/>
                <w:szCs w:val="24"/>
              </w:rPr>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366.80</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12</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财务</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会计</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230</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38%</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400</w:t>
            </w:r>
            <w:r>
              <w:rPr>
                <w:rFonts w:hint="eastAsia" w:ascii="SimHei" w:hAnsi="SimHei" w:eastAsia="黑体" w:cs="宋体"/>
                <w:kern w:val="0"/>
                <w:sz w:val="24"/>
                <w:szCs w:val="24"/>
              </w:rPr>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358.70</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13</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技术研发</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技术助理</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304</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33%</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200</w:t>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343.02</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14</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销售代表三级</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350</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33%</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115</w:t>
            </w:r>
            <w:r>
              <w:rPr>
                <w:rFonts w:hint="eastAsia" w:ascii="SimHei" w:hAnsi="SimHei" w:eastAsia="黑体" w:cs="宋体"/>
                <w:kern w:val="0"/>
                <w:sz w:val="24"/>
                <w:szCs w:val="24"/>
              </w:rPr>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325.30</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15</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技术研发</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技术员</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230</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25%</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87</w:t>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227.35</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16</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销售代表二级</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230</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22%</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87</w:t>
            </w:r>
            <w:r>
              <w:rPr>
                <w:rFonts w:hint="eastAsia" w:ascii="SimHei" w:hAnsi="SimHei" w:eastAsia="黑体" w:cs="宋体"/>
                <w:kern w:val="0"/>
                <w:sz w:val="24"/>
                <w:szCs w:val="24"/>
              </w:rPr>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203.16</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17</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行政人事</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人资专员</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175</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33%</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66</w:t>
            </w:r>
            <w:r>
              <w:rPr>
                <w:rFonts w:hint="eastAsia" w:ascii="SimHei" w:hAnsi="SimHei" w:eastAsia="黑体" w:cs="宋体"/>
                <w:kern w:val="0"/>
                <w:sz w:val="24"/>
                <w:szCs w:val="24"/>
              </w:rPr>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166.05</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18</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财务</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出纳</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152</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22%</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115</w:t>
            </w:r>
            <w:r>
              <w:rPr>
                <w:rFonts w:hint="eastAsia" w:ascii="SimHei" w:hAnsi="SimHei" w:eastAsia="黑体" w:cs="宋体"/>
                <w:kern w:val="0"/>
                <w:sz w:val="24"/>
                <w:szCs w:val="24"/>
              </w:rPr>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150.22</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19</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行政人事</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行政专员</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152</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29%</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66</w:t>
            </w:r>
            <w:r>
              <w:rPr>
                <w:rFonts w:hint="eastAsia" w:ascii="SimHei" w:hAnsi="SimHei" w:eastAsia="黑体" w:cs="宋体"/>
                <w:kern w:val="0"/>
                <w:sz w:val="24"/>
                <w:szCs w:val="24"/>
              </w:rPr>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144.05</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20</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销售文案</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152</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22%</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57</w:t>
            </w:r>
            <w:r>
              <w:rPr>
                <w:rFonts w:hint="eastAsia" w:ascii="SimHei" w:hAnsi="SimHei" w:eastAsia="黑体" w:cs="宋体"/>
                <w:kern w:val="0"/>
                <w:sz w:val="24"/>
                <w:szCs w:val="24"/>
              </w:rPr>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134.06</w:t>
            </w:r>
          </w:p>
        </w:tc>
      </w:tr>
      <w:tr>
        <w:tblPrEx>
          <w:tblLayout w:type="fixed"/>
          <w:tblCellMar>
            <w:top w:w="0" w:type="dxa"/>
            <w:left w:w="108" w:type="dxa"/>
            <w:bottom w:w="0" w:type="dxa"/>
            <w:right w:w="108" w:type="dxa"/>
          </w:tblCellMar>
        </w:tblPrEx>
        <w:trPr>
          <w:trHeight w:val="371" w:hRule="exac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21</w:t>
            </w:r>
          </w:p>
        </w:tc>
        <w:tc>
          <w:tcPr>
            <w:tcW w:w="76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w:t>
            </w:r>
          </w:p>
        </w:tc>
        <w:tc>
          <w:tcPr>
            <w:tcW w:w="119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销售代表一级</w:t>
            </w:r>
          </w:p>
        </w:tc>
        <w:tc>
          <w:tcPr>
            <w:tcW w:w="90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152</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19%</w:t>
            </w:r>
            <w:r>
              <w:rPr>
                <w:rFonts w:hint="eastAsia" w:ascii="SimHei" w:hAnsi="SimHei" w:eastAsia="黑体" w:cs="宋体"/>
                <w:kern w:val="0"/>
                <w:sz w:val="24"/>
                <w:szCs w:val="24"/>
              </w:rPr>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ascii="SimHei" w:hAnsi="SimHei" w:eastAsia="黑体"/>
              </w:rPr>
            </w:r>
            <w:r>
              <w:rPr>
                <w:rFonts w:ascii="SimHei" w:hAnsi="SimHei" w:eastAsia="黑体"/>
              </w:rPr>
            </w:r>
            <w:r>
              <w:rPr>
                <w:rFonts w:ascii="SimHei" w:hAnsi="SimHei" w:eastAsia="黑体"/>
              </w:rPr>
            </w:r>
            <w:r>
              <w:rPr>
                <w:rFonts w:hint="eastAsia" w:ascii="SimHei" w:hAnsi="SimHei" w:eastAsia="黑体" w:cs="宋体"/>
                <w:kern w:val="0"/>
                <w:sz w:val="24"/>
                <w:szCs w:val="24"/>
              </w:rPr>
              <w:t>43</w:t>
            </w:r>
            <w:r>
              <w:rPr>
                <w:rFonts w:hint="eastAsia" w:ascii="SimHei" w:hAnsi="SimHei" w:eastAsia="黑体" w:cs="宋体"/>
                <w:kern w:val="0"/>
                <w:sz w:val="24"/>
                <w:szCs w:val="24"/>
              </w:rPr>
            </w:r>
          </w:p>
        </w:tc>
        <w:tc>
          <w:tcPr>
            <w:tcW w:w="107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84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25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125.73</w:t>
            </w:r>
          </w:p>
        </w:tc>
      </w:tr>
    </w:tbl>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60" w:name="_Toc408573186"/>
      <w:bookmarkStart w:id="61" w:name="_Toc407729189"/>
      <w:r>
        <w:rPr>
          <w:rFonts w:hint="eastAsia" w:ascii="SimHei" w:hAnsi="SimHei" w:eastAsia="黑体"/>
          <w:sz w:val="24"/>
          <w:szCs w:val="24"/>
        </w:rPr>
        <w:t>5、薪级表建立</w:t>
      </w:r>
      <w:bookmarkEnd w:id="60"/>
      <w:bookmarkEnd w:id="61"/>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（1）根据岗位价值评估结果，将岗位得分以不同的区间分为六档，每一档建立12个薪级</w:t>
      </w:r>
    </w:p>
    <w:tbl>
      <w:tblPr>
        <w:tblStyle w:val="28"/>
        <w:tblW w:w="11234" w:type="dxa"/>
        <w:jc w:val="center"/>
        <w:tblInd w:w="103" w:type="dxa"/>
        <w:tblLayout w:type="fixed"/>
        <w:tblCellMar>
          <w:top w:w="0" w:type="dxa"/>
          <w:left w:w="108" w:type="dxa"/>
          <w:bottom w:w="0" w:type="dxa"/>
          <w:right w:w="108" w:type="dxa"/>
        </w:tblCellMar>
      </w:tblPr>
      <w:tblGrid>
        <w:gridCol w:w="626"/>
        <w:gridCol w:w="864"/>
        <w:gridCol w:w="864"/>
        <w:gridCol w:w="864"/>
        <w:gridCol w:w="864"/>
        <w:gridCol w:w="864"/>
        <w:gridCol w:w="864"/>
        <w:gridCol w:w="864"/>
        <w:gridCol w:w="864"/>
        <w:gridCol w:w="864"/>
        <w:gridCol w:w="984"/>
        <w:gridCol w:w="864"/>
        <w:gridCol w:w="984"/>
      </w:tblGrid>
      <w:tr>
        <w:tblPrEx>
          <w:tblLayout w:type="fixed"/>
          <w:tblCellMar>
            <w:top w:w="0" w:type="dxa"/>
            <w:left w:w="108" w:type="dxa"/>
            <w:bottom w:w="0" w:type="dxa"/>
            <w:right w:w="108" w:type="dxa"/>
          </w:tblCellMar>
        </w:tblPrEx>
        <w:trPr>
          <w:trHeight w:val="495" w:hRule="atLeast"/>
          <w:jc w:val="center"/>
        </w:trPr>
        <w:tc>
          <w:tcPr>
            <w:tcW w:w="6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岗位分</w:t>
            </w:r>
            <w:r>
              <w:rPr>
                <w:rFonts w:hint="eastAsia" w:ascii="SimHei" w:hAnsi="SimHei" w:eastAsia="黑体" w:cs="宋体"/>
                <w:b/>
                <w:bCs/>
                <w:kern w:val="0"/>
                <w:sz w:val="24"/>
                <w:szCs w:val="24"/>
              </w:rPr>
              <w:br/>
            </w:r>
            <w:r>
              <w:rPr>
                <w:rFonts w:hint="eastAsia" w:ascii="SimHei" w:hAnsi="SimHei" w:eastAsia="黑体" w:cs="宋体"/>
                <w:b/>
                <w:bCs/>
                <w:kern w:val="0"/>
                <w:sz w:val="24"/>
                <w:szCs w:val="24"/>
              </w:rPr>
              <w:t>值范围</w:t>
            </w:r>
          </w:p>
        </w:tc>
        <w:tc>
          <w:tcPr>
            <w:tcW w:w="1728" w:type="dxa"/>
            <w:gridSpan w:val="2"/>
            <w:tcBorders>
              <w:top w:val="single" w:color="auto" w:sz="4" w:space="0"/>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0-200</w:t>
            </w:r>
          </w:p>
        </w:tc>
        <w:tc>
          <w:tcPr>
            <w:tcW w:w="1728" w:type="dxa"/>
            <w:gridSpan w:val="2"/>
            <w:tcBorders>
              <w:top w:val="single" w:color="auto" w:sz="4" w:space="0"/>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201-300</w:t>
            </w:r>
          </w:p>
        </w:tc>
        <w:tc>
          <w:tcPr>
            <w:tcW w:w="1728" w:type="dxa"/>
            <w:gridSpan w:val="2"/>
            <w:tcBorders>
              <w:top w:val="single" w:color="auto" w:sz="4" w:space="0"/>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301-500</w:t>
            </w:r>
          </w:p>
        </w:tc>
        <w:tc>
          <w:tcPr>
            <w:tcW w:w="1728" w:type="dxa"/>
            <w:gridSpan w:val="2"/>
            <w:tcBorders>
              <w:top w:val="single" w:color="auto" w:sz="4" w:space="0"/>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501-700</w:t>
            </w:r>
          </w:p>
        </w:tc>
        <w:tc>
          <w:tcPr>
            <w:tcW w:w="1848" w:type="dxa"/>
            <w:gridSpan w:val="2"/>
            <w:tcBorders>
              <w:top w:val="single" w:color="auto" w:sz="4" w:space="0"/>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701-900</w:t>
            </w:r>
          </w:p>
        </w:tc>
        <w:tc>
          <w:tcPr>
            <w:tcW w:w="1848" w:type="dxa"/>
            <w:gridSpan w:val="2"/>
            <w:tcBorders>
              <w:top w:val="single" w:color="auto" w:sz="4" w:space="0"/>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901-1000</w:t>
            </w:r>
          </w:p>
        </w:tc>
      </w:tr>
      <w:tr>
        <w:tblPrEx>
          <w:tblLayout w:type="fixed"/>
          <w:tblCellMar>
            <w:top w:w="0" w:type="dxa"/>
            <w:left w:w="108" w:type="dxa"/>
            <w:bottom w:w="0" w:type="dxa"/>
            <w:right w:w="108" w:type="dxa"/>
          </w:tblCellMar>
        </w:tblPrEx>
        <w:trPr>
          <w:trHeight w:val="555" w:hRule="atLeast"/>
          <w:jc w:val="center"/>
        </w:trPr>
        <w:tc>
          <w:tcPr>
            <w:tcW w:w="626" w:type="dxa"/>
            <w:tcBorders>
              <w:top w:val="single" w:color="auto" w:sz="4" w:space="0"/>
              <w:left w:val="single" w:color="auto" w:sz="4" w:space="0"/>
              <w:bottom w:val="single" w:color="auto" w:sz="4" w:space="0"/>
              <w:right w:val="single" w:color="auto" w:sz="4" w:space="0"/>
              <w:tl2br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薪档</w:t>
            </w:r>
            <w:r>
              <w:rPr>
                <w:rFonts w:hint="eastAsia" w:ascii="SimHei" w:hAnsi="SimHei" w:eastAsia="黑体" w:cs="宋体"/>
                <w:b/>
                <w:bCs/>
                <w:kern w:val="0"/>
                <w:sz w:val="24"/>
                <w:szCs w:val="24"/>
              </w:rPr>
              <w:br/>
            </w:r>
            <w:r>
              <w:rPr>
                <w:rFonts w:hint="eastAsia" w:ascii="SimHei" w:hAnsi="SimHei" w:eastAsia="黑体" w:cs="宋体"/>
                <w:b/>
                <w:bCs/>
                <w:kern w:val="0"/>
                <w:sz w:val="24"/>
                <w:szCs w:val="24"/>
              </w:rPr>
              <w:t>薪级</w:t>
            </w:r>
          </w:p>
        </w:tc>
        <w:tc>
          <w:tcPr>
            <w:tcW w:w="864"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编码</w:t>
            </w:r>
          </w:p>
        </w:tc>
        <w:tc>
          <w:tcPr>
            <w:tcW w:w="864"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w:t>
            </w:r>
          </w:p>
        </w:tc>
        <w:tc>
          <w:tcPr>
            <w:tcW w:w="864"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编码</w:t>
            </w:r>
          </w:p>
        </w:tc>
        <w:tc>
          <w:tcPr>
            <w:tcW w:w="864"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w:t>
            </w:r>
          </w:p>
        </w:tc>
        <w:tc>
          <w:tcPr>
            <w:tcW w:w="864"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编码</w:t>
            </w:r>
          </w:p>
        </w:tc>
        <w:tc>
          <w:tcPr>
            <w:tcW w:w="864"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w:t>
            </w:r>
          </w:p>
        </w:tc>
        <w:tc>
          <w:tcPr>
            <w:tcW w:w="864" w:type="dxa"/>
            <w:tcBorders>
              <w:top w:val="nil"/>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编码</w:t>
            </w:r>
          </w:p>
        </w:tc>
        <w:tc>
          <w:tcPr>
            <w:tcW w:w="864" w:type="dxa"/>
            <w:tcBorders>
              <w:top w:val="nil"/>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w:t>
            </w:r>
          </w:p>
        </w:tc>
        <w:tc>
          <w:tcPr>
            <w:tcW w:w="864" w:type="dxa"/>
            <w:tcBorders>
              <w:top w:val="nil"/>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编码</w:t>
            </w:r>
          </w:p>
        </w:tc>
        <w:tc>
          <w:tcPr>
            <w:tcW w:w="984" w:type="dxa"/>
            <w:tcBorders>
              <w:top w:val="nil"/>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w:t>
            </w:r>
          </w:p>
        </w:tc>
        <w:tc>
          <w:tcPr>
            <w:tcW w:w="86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编码</w:t>
            </w:r>
          </w:p>
        </w:tc>
        <w:tc>
          <w:tcPr>
            <w:tcW w:w="98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w:t>
            </w:r>
          </w:p>
        </w:tc>
      </w:tr>
      <w:tr>
        <w:tblPrEx>
          <w:tblLayout w:type="fixed"/>
          <w:tblCellMar>
            <w:top w:w="0" w:type="dxa"/>
            <w:left w:w="108" w:type="dxa"/>
            <w:bottom w:w="0" w:type="dxa"/>
            <w:right w:w="108" w:type="dxa"/>
          </w:tblCellMar>
        </w:tblPrEx>
        <w:trPr>
          <w:trHeight w:val="270" w:hRule="atLeas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1级</w:t>
            </w:r>
          </w:p>
        </w:tc>
        <w:tc>
          <w:tcPr>
            <w:tcW w:w="864" w:type="dxa"/>
            <w:tcBorders>
              <w:top w:val="nil"/>
              <w:left w:val="nil"/>
              <w:bottom w:val="single" w:color="auto" w:sz="4" w:space="0"/>
              <w:right w:val="single" w:color="auto" w:sz="4" w:space="0"/>
            </w:tcBorders>
            <w:shd w:val="clear" w:color="000000" w:fill="C5BE97"/>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A-1</w:t>
            </w:r>
          </w:p>
        </w:tc>
        <w:tc>
          <w:tcPr>
            <w:tcW w:w="864"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1900</w:t>
            </w:r>
          </w:p>
        </w:tc>
        <w:tc>
          <w:tcPr>
            <w:tcW w:w="864"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B-1</w:t>
            </w:r>
          </w:p>
        </w:tc>
        <w:tc>
          <w:tcPr>
            <w:tcW w:w="864"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2400</w:t>
            </w:r>
          </w:p>
        </w:tc>
        <w:tc>
          <w:tcPr>
            <w:tcW w:w="864"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C-1</w:t>
            </w:r>
          </w:p>
        </w:tc>
        <w:tc>
          <w:tcPr>
            <w:tcW w:w="864"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2900</w:t>
            </w:r>
          </w:p>
        </w:tc>
        <w:tc>
          <w:tcPr>
            <w:tcW w:w="864" w:type="dxa"/>
            <w:tcBorders>
              <w:top w:val="nil"/>
              <w:left w:val="nil"/>
              <w:bottom w:val="single" w:color="auto" w:sz="4" w:space="0"/>
              <w:right w:val="single" w:color="auto" w:sz="4" w:space="0"/>
            </w:tcBorders>
            <w:shd w:val="clear" w:color="000000" w:fill="FFC0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D-1</w:t>
            </w:r>
          </w:p>
        </w:tc>
        <w:tc>
          <w:tcPr>
            <w:tcW w:w="864" w:type="dxa"/>
            <w:tcBorders>
              <w:top w:val="nil"/>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3600</w:t>
            </w:r>
          </w:p>
        </w:tc>
        <w:tc>
          <w:tcPr>
            <w:tcW w:w="864" w:type="dxa"/>
            <w:tcBorders>
              <w:top w:val="nil"/>
              <w:left w:val="nil"/>
              <w:bottom w:val="single" w:color="auto" w:sz="4" w:space="0"/>
              <w:right w:val="single" w:color="auto" w:sz="4" w:space="0"/>
            </w:tcBorders>
            <w:shd w:val="clear" w:color="000000" w:fill="E6B9B8"/>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E-1</w:t>
            </w:r>
          </w:p>
        </w:tc>
        <w:tc>
          <w:tcPr>
            <w:tcW w:w="984" w:type="dxa"/>
            <w:tcBorders>
              <w:top w:val="nil"/>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4700</w:t>
            </w:r>
          </w:p>
        </w:tc>
        <w:tc>
          <w:tcPr>
            <w:tcW w:w="86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F-1</w:t>
            </w:r>
          </w:p>
        </w:tc>
        <w:tc>
          <w:tcPr>
            <w:tcW w:w="98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7200</w:t>
            </w:r>
          </w:p>
        </w:tc>
      </w:tr>
      <w:tr>
        <w:tblPrEx>
          <w:tblLayout w:type="fixed"/>
          <w:tblCellMar>
            <w:top w:w="0" w:type="dxa"/>
            <w:left w:w="108" w:type="dxa"/>
            <w:bottom w:w="0" w:type="dxa"/>
            <w:right w:w="108" w:type="dxa"/>
          </w:tblCellMar>
        </w:tblPrEx>
        <w:trPr>
          <w:trHeight w:val="270" w:hRule="atLeas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2级</w:t>
            </w:r>
          </w:p>
        </w:tc>
        <w:tc>
          <w:tcPr>
            <w:tcW w:w="864" w:type="dxa"/>
            <w:tcBorders>
              <w:top w:val="nil"/>
              <w:left w:val="nil"/>
              <w:bottom w:val="single" w:color="auto" w:sz="4" w:space="0"/>
              <w:right w:val="single" w:color="auto" w:sz="4" w:space="0"/>
            </w:tcBorders>
            <w:shd w:val="clear" w:color="000000" w:fill="C5BE97"/>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A-2</w:t>
            </w:r>
          </w:p>
        </w:tc>
        <w:tc>
          <w:tcPr>
            <w:tcW w:w="864"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2000</w:t>
            </w:r>
          </w:p>
        </w:tc>
        <w:tc>
          <w:tcPr>
            <w:tcW w:w="864"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B-2</w:t>
            </w:r>
          </w:p>
        </w:tc>
        <w:tc>
          <w:tcPr>
            <w:tcW w:w="864"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2500</w:t>
            </w:r>
          </w:p>
        </w:tc>
        <w:tc>
          <w:tcPr>
            <w:tcW w:w="864"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C-2</w:t>
            </w:r>
          </w:p>
        </w:tc>
        <w:tc>
          <w:tcPr>
            <w:tcW w:w="864"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3000</w:t>
            </w:r>
          </w:p>
        </w:tc>
        <w:tc>
          <w:tcPr>
            <w:tcW w:w="864" w:type="dxa"/>
            <w:tcBorders>
              <w:top w:val="nil"/>
              <w:left w:val="nil"/>
              <w:bottom w:val="single" w:color="auto" w:sz="4" w:space="0"/>
              <w:right w:val="single" w:color="auto" w:sz="4" w:space="0"/>
            </w:tcBorders>
            <w:shd w:val="clear" w:color="000000" w:fill="FFC0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D-2</w:t>
            </w:r>
          </w:p>
        </w:tc>
        <w:tc>
          <w:tcPr>
            <w:tcW w:w="864" w:type="dxa"/>
            <w:tcBorders>
              <w:top w:val="nil"/>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3800</w:t>
            </w:r>
          </w:p>
        </w:tc>
        <w:tc>
          <w:tcPr>
            <w:tcW w:w="864" w:type="dxa"/>
            <w:tcBorders>
              <w:top w:val="nil"/>
              <w:left w:val="nil"/>
              <w:bottom w:val="single" w:color="auto" w:sz="4" w:space="0"/>
              <w:right w:val="single" w:color="auto" w:sz="4" w:space="0"/>
            </w:tcBorders>
            <w:shd w:val="clear" w:color="000000" w:fill="E6B9B8"/>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E-2</w:t>
            </w:r>
          </w:p>
        </w:tc>
        <w:tc>
          <w:tcPr>
            <w:tcW w:w="984" w:type="dxa"/>
            <w:tcBorders>
              <w:top w:val="nil"/>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5200</w:t>
            </w:r>
          </w:p>
        </w:tc>
        <w:tc>
          <w:tcPr>
            <w:tcW w:w="86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F-2</w:t>
            </w:r>
          </w:p>
        </w:tc>
        <w:tc>
          <w:tcPr>
            <w:tcW w:w="98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7700</w:t>
            </w:r>
          </w:p>
        </w:tc>
      </w:tr>
      <w:tr>
        <w:tblPrEx>
          <w:tblLayout w:type="fixed"/>
          <w:tblCellMar>
            <w:top w:w="0" w:type="dxa"/>
            <w:left w:w="108" w:type="dxa"/>
            <w:bottom w:w="0" w:type="dxa"/>
            <w:right w:w="108" w:type="dxa"/>
          </w:tblCellMar>
        </w:tblPrEx>
        <w:trPr>
          <w:trHeight w:val="270" w:hRule="atLeas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3级</w:t>
            </w:r>
          </w:p>
        </w:tc>
        <w:tc>
          <w:tcPr>
            <w:tcW w:w="864" w:type="dxa"/>
            <w:tcBorders>
              <w:top w:val="nil"/>
              <w:left w:val="nil"/>
              <w:bottom w:val="single" w:color="auto" w:sz="4" w:space="0"/>
              <w:right w:val="single" w:color="auto" w:sz="4" w:space="0"/>
            </w:tcBorders>
            <w:shd w:val="clear" w:color="000000" w:fill="C5BE97"/>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A-3</w:t>
            </w:r>
          </w:p>
        </w:tc>
        <w:tc>
          <w:tcPr>
            <w:tcW w:w="864"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2100</w:t>
            </w:r>
          </w:p>
        </w:tc>
        <w:tc>
          <w:tcPr>
            <w:tcW w:w="864"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B-3</w:t>
            </w:r>
          </w:p>
        </w:tc>
        <w:tc>
          <w:tcPr>
            <w:tcW w:w="864"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2600</w:t>
            </w:r>
          </w:p>
        </w:tc>
        <w:tc>
          <w:tcPr>
            <w:tcW w:w="864"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C-3</w:t>
            </w:r>
          </w:p>
        </w:tc>
        <w:tc>
          <w:tcPr>
            <w:tcW w:w="864"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3100</w:t>
            </w:r>
          </w:p>
        </w:tc>
        <w:tc>
          <w:tcPr>
            <w:tcW w:w="864" w:type="dxa"/>
            <w:tcBorders>
              <w:top w:val="nil"/>
              <w:left w:val="nil"/>
              <w:bottom w:val="single" w:color="auto" w:sz="4" w:space="0"/>
              <w:right w:val="single" w:color="auto" w:sz="4" w:space="0"/>
            </w:tcBorders>
            <w:shd w:val="clear" w:color="000000" w:fill="FFC0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D-3</w:t>
            </w:r>
          </w:p>
        </w:tc>
        <w:tc>
          <w:tcPr>
            <w:tcW w:w="864" w:type="dxa"/>
            <w:tcBorders>
              <w:top w:val="nil"/>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4000</w:t>
            </w:r>
          </w:p>
        </w:tc>
        <w:tc>
          <w:tcPr>
            <w:tcW w:w="864" w:type="dxa"/>
            <w:tcBorders>
              <w:top w:val="nil"/>
              <w:left w:val="nil"/>
              <w:bottom w:val="single" w:color="auto" w:sz="4" w:space="0"/>
              <w:right w:val="single" w:color="auto" w:sz="4" w:space="0"/>
            </w:tcBorders>
            <w:shd w:val="clear" w:color="000000" w:fill="E6B9B8"/>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E-3</w:t>
            </w:r>
          </w:p>
        </w:tc>
        <w:tc>
          <w:tcPr>
            <w:tcW w:w="984" w:type="dxa"/>
            <w:tcBorders>
              <w:top w:val="nil"/>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5700</w:t>
            </w:r>
          </w:p>
        </w:tc>
        <w:tc>
          <w:tcPr>
            <w:tcW w:w="86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F-3</w:t>
            </w:r>
          </w:p>
        </w:tc>
        <w:tc>
          <w:tcPr>
            <w:tcW w:w="98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8200</w:t>
            </w:r>
          </w:p>
        </w:tc>
      </w:tr>
      <w:tr>
        <w:tblPrEx>
          <w:tblLayout w:type="fixed"/>
          <w:tblCellMar>
            <w:top w:w="0" w:type="dxa"/>
            <w:left w:w="108" w:type="dxa"/>
            <w:bottom w:w="0" w:type="dxa"/>
            <w:right w:w="108" w:type="dxa"/>
          </w:tblCellMar>
        </w:tblPrEx>
        <w:trPr>
          <w:trHeight w:val="270" w:hRule="atLeas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4级</w:t>
            </w:r>
          </w:p>
        </w:tc>
        <w:tc>
          <w:tcPr>
            <w:tcW w:w="864" w:type="dxa"/>
            <w:tcBorders>
              <w:top w:val="nil"/>
              <w:left w:val="nil"/>
              <w:bottom w:val="single" w:color="auto" w:sz="4" w:space="0"/>
              <w:right w:val="single" w:color="auto" w:sz="4" w:space="0"/>
            </w:tcBorders>
            <w:shd w:val="clear" w:color="000000" w:fill="C5BE97"/>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A-4</w:t>
            </w:r>
          </w:p>
        </w:tc>
        <w:tc>
          <w:tcPr>
            <w:tcW w:w="864"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2200</w:t>
            </w:r>
          </w:p>
        </w:tc>
        <w:tc>
          <w:tcPr>
            <w:tcW w:w="864"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B-4</w:t>
            </w:r>
          </w:p>
        </w:tc>
        <w:tc>
          <w:tcPr>
            <w:tcW w:w="864"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2700</w:t>
            </w:r>
          </w:p>
        </w:tc>
        <w:tc>
          <w:tcPr>
            <w:tcW w:w="864"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C-4</w:t>
            </w:r>
          </w:p>
        </w:tc>
        <w:tc>
          <w:tcPr>
            <w:tcW w:w="864"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3200</w:t>
            </w:r>
          </w:p>
        </w:tc>
        <w:tc>
          <w:tcPr>
            <w:tcW w:w="864" w:type="dxa"/>
            <w:tcBorders>
              <w:top w:val="nil"/>
              <w:left w:val="nil"/>
              <w:bottom w:val="single" w:color="auto" w:sz="4" w:space="0"/>
              <w:right w:val="single" w:color="auto" w:sz="4" w:space="0"/>
            </w:tcBorders>
            <w:shd w:val="clear" w:color="000000" w:fill="FFC0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D-4</w:t>
            </w:r>
          </w:p>
        </w:tc>
        <w:tc>
          <w:tcPr>
            <w:tcW w:w="864" w:type="dxa"/>
            <w:tcBorders>
              <w:top w:val="nil"/>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4200</w:t>
            </w:r>
          </w:p>
        </w:tc>
        <w:tc>
          <w:tcPr>
            <w:tcW w:w="864" w:type="dxa"/>
            <w:tcBorders>
              <w:top w:val="nil"/>
              <w:left w:val="nil"/>
              <w:bottom w:val="single" w:color="auto" w:sz="4" w:space="0"/>
              <w:right w:val="single" w:color="auto" w:sz="4" w:space="0"/>
            </w:tcBorders>
            <w:shd w:val="clear" w:color="000000" w:fill="E6B9B8"/>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E-4</w:t>
            </w:r>
          </w:p>
        </w:tc>
        <w:tc>
          <w:tcPr>
            <w:tcW w:w="984" w:type="dxa"/>
            <w:tcBorders>
              <w:top w:val="nil"/>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6200</w:t>
            </w:r>
          </w:p>
        </w:tc>
        <w:tc>
          <w:tcPr>
            <w:tcW w:w="86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F-4</w:t>
            </w:r>
          </w:p>
        </w:tc>
        <w:tc>
          <w:tcPr>
            <w:tcW w:w="98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8700</w:t>
            </w:r>
          </w:p>
        </w:tc>
      </w:tr>
      <w:tr>
        <w:tblPrEx>
          <w:tblLayout w:type="fixed"/>
          <w:tblCellMar>
            <w:top w:w="0" w:type="dxa"/>
            <w:left w:w="108" w:type="dxa"/>
            <w:bottom w:w="0" w:type="dxa"/>
            <w:right w:w="108" w:type="dxa"/>
          </w:tblCellMar>
        </w:tblPrEx>
        <w:trPr>
          <w:trHeight w:val="270" w:hRule="atLeas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5级</w:t>
            </w:r>
          </w:p>
        </w:tc>
        <w:tc>
          <w:tcPr>
            <w:tcW w:w="864" w:type="dxa"/>
            <w:tcBorders>
              <w:top w:val="nil"/>
              <w:left w:val="nil"/>
              <w:bottom w:val="single" w:color="auto" w:sz="4" w:space="0"/>
              <w:right w:val="single" w:color="auto" w:sz="4" w:space="0"/>
            </w:tcBorders>
            <w:shd w:val="clear" w:color="000000" w:fill="C5BE97"/>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A-5</w:t>
            </w:r>
          </w:p>
        </w:tc>
        <w:tc>
          <w:tcPr>
            <w:tcW w:w="864"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2300</w:t>
            </w:r>
          </w:p>
        </w:tc>
        <w:tc>
          <w:tcPr>
            <w:tcW w:w="864"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B-5</w:t>
            </w:r>
          </w:p>
        </w:tc>
        <w:tc>
          <w:tcPr>
            <w:tcW w:w="864"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2800</w:t>
            </w:r>
          </w:p>
        </w:tc>
        <w:tc>
          <w:tcPr>
            <w:tcW w:w="864"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C-5</w:t>
            </w:r>
          </w:p>
        </w:tc>
        <w:tc>
          <w:tcPr>
            <w:tcW w:w="864"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3400</w:t>
            </w:r>
          </w:p>
        </w:tc>
        <w:tc>
          <w:tcPr>
            <w:tcW w:w="864" w:type="dxa"/>
            <w:tcBorders>
              <w:top w:val="nil"/>
              <w:left w:val="nil"/>
              <w:bottom w:val="single" w:color="auto" w:sz="4" w:space="0"/>
              <w:right w:val="single" w:color="auto" w:sz="4" w:space="0"/>
            </w:tcBorders>
            <w:shd w:val="clear" w:color="000000" w:fill="FFC0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D-5</w:t>
            </w:r>
          </w:p>
        </w:tc>
        <w:tc>
          <w:tcPr>
            <w:tcW w:w="864" w:type="dxa"/>
            <w:tcBorders>
              <w:top w:val="nil"/>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4400</w:t>
            </w:r>
          </w:p>
        </w:tc>
        <w:tc>
          <w:tcPr>
            <w:tcW w:w="864" w:type="dxa"/>
            <w:tcBorders>
              <w:top w:val="nil"/>
              <w:left w:val="nil"/>
              <w:bottom w:val="single" w:color="auto" w:sz="4" w:space="0"/>
              <w:right w:val="single" w:color="auto" w:sz="4" w:space="0"/>
            </w:tcBorders>
            <w:shd w:val="clear" w:color="000000" w:fill="E6B9B8"/>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E-5</w:t>
            </w:r>
          </w:p>
        </w:tc>
        <w:tc>
          <w:tcPr>
            <w:tcW w:w="984" w:type="dxa"/>
            <w:tcBorders>
              <w:top w:val="nil"/>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6700</w:t>
            </w:r>
          </w:p>
        </w:tc>
        <w:tc>
          <w:tcPr>
            <w:tcW w:w="86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F-5</w:t>
            </w:r>
          </w:p>
        </w:tc>
        <w:tc>
          <w:tcPr>
            <w:tcW w:w="98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9200</w:t>
            </w:r>
          </w:p>
        </w:tc>
      </w:tr>
      <w:tr>
        <w:tblPrEx>
          <w:tblLayout w:type="fixed"/>
          <w:tblCellMar>
            <w:top w:w="0" w:type="dxa"/>
            <w:left w:w="108" w:type="dxa"/>
            <w:bottom w:w="0" w:type="dxa"/>
            <w:right w:w="108" w:type="dxa"/>
          </w:tblCellMar>
        </w:tblPrEx>
        <w:trPr>
          <w:trHeight w:val="270" w:hRule="atLeas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6级</w:t>
            </w:r>
          </w:p>
        </w:tc>
        <w:tc>
          <w:tcPr>
            <w:tcW w:w="864" w:type="dxa"/>
            <w:tcBorders>
              <w:top w:val="nil"/>
              <w:left w:val="nil"/>
              <w:bottom w:val="single" w:color="auto" w:sz="4" w:space="0"/>
              <w:right w:val="single" w:color="auto" w:sz="4" w:space="0"/>
            </w:tcBorders>
            <w:shd w:val="clear" w:color="000000" w:fill="C5BE97"/>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A-6</w:t>
            </w:r>
          </w:p>
        </w:tc>
        <w:tc>
          <w:tcPr>
            <w:tcW w:w="864"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2400</w:t>
            </w:r>
          </w:p>
        </w:tc>
        <w:tc>
          <w:tcPr>
            <w:tcW w:w="864"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B-6</w:t>
            </w:r>
          </w:p>
        </w:tc>
        <w:tc>
          <w:tcPr>
            <w:tcW w:w="864"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2900</w:t>
            </w:r>
          </w:p>
        </w:tc>
        <w:tc>
          <w:tcPr>
            <w:tcW w:w="864"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C-6</w:t>
            </w:r>
          </w:p>
        </w:tc>
        <w:tc>
          <w:tcPr>
            <w:tcW w:w="864"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3600</w:t>
            </w:r>
          </w:p>
        </w:tc>
        <w:tc>
          <w:tcPr>
            <w:tcW w:w="864" w:type="dxa"/>
            <w:tcBorders>
              <w:top w:val="nil"/>
              <w:left w:val="nil"/>
              <w:bottom w:val="single" w:color="auto" w:sz="4" w:space="0"/>
              <w:right w:val="single" w:color="auto" w:sz="4" w:space="0"/>
            </w:tcBorders>
            <w:shd w:val="clear" w:color="000000" w:fill="FFC0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D-6</w:t>
            </w:r>
          </w:p>
        </w:tc>
        <w:tc>
          <w:tcPr>
            <w:tcW w:w="864" w:type="dxa"/>
            <w:tcBorders>
              <w:top w:val="nil"/>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4700</w:t>
            </w:r>
          </w:p>
        </w:tc>
        <w:tc>
          <w:tcPr>
            <w:tcW w:w="864" w:type="dxa"/>
            <w:tcBorders>
              <w:top w:val="nil"/>
              <w:left w:val="nil"/>
              <w:bottom w:val="single" w:color="auto" w:sz="4" w:space="0"/>
              <w:right w:val="single" w:color="auto" w:sz="4" w:space="0"/>
            </w:tcBorders>
            <w:shd w:val="clear" w:color="000000" w:fill="E6B9B8"/>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E-6</w:t>
            </w:r>
          </w:p>
        </w:tc>
        <w:tc>
          <w:tcPr>
            <w:tcW w:w="984" w:type="dxa"/>
            <w:tcBorders>
              <w:top w:val="nil"/>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7200</w:t>
            </w:r>
          </w:p>
        </w:tc>
        <w:tc>
          <w:tcPr>
            <w:tcW w:w="86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F-6</w:t>
            </w:r>
          </w:p>
        </w:tc>
        <w:tc>
          <w:tcPr>
            <w:tcW w:w="98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10200</w:t>
            </w:r>
          </w:p>
        </w:tc>
      </w:tr>
      <w:tr>
        <w:tblPrEx>
          <w:tblLayout w:type="fixed"/>
          <w:tblCellMar>
            <w:top w:w="0" w:type="dxa"/>
            <w:left w:w="108" w:type="dxa"/>
            <w:bottom w:w="0" w:type="dxa"/>
            <w:right w:w="108" w:type="dxa"/>
          </w:tblCellMar>
        </w:tblPrEx>
        <w:trPr>
          <w:trHeight w:val="270" w:hRule="atLeas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7级</w:t>
            </w:r>
          </w:p>
        </w:tc>
        <w:tc>
          <w:tcPr>
            <w:tcW w:w="864" w:type="dxa"/>
            <w:tcBorders>
              <w:top w:val="nil"/>
              <w:left w:val="nil"/>
              <w:bottom w:val="single" w:color="auto" w:sz="4" w:space="0"/>
              <w:right w:val="single" w:color="auto" w:sz="4" w:space="0"/>
            </w:tcBorders>
            <w:shd w:val="clear" w:color="000000" w:fill="C5BE97"/>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A-7</w:t>
            </w:r>
          </w:p>
        </w:tc>
        <w:tc>
          <w:tcPr>
            <w:tcW w:w="864"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2500</w:t>
            </w:r>
          </w:p>
        </w:tc>
        <w:tc>
          <w:tcPr>
            <w:tcW w:w="864"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B-7</w:t>
            </w:r>
          </w:p>
        </w:tc>
        <w:tc>
          <w:tcPr>
            <w:tcW w:w="864"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3000</w:t>
            </w:r>
          </w:p>
        </w:tc>
        <w:tc>
          <w:tcPr>
            <w:tcW w:w="864"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C-7</w:t>
            </w:r>
          </w:p>
        </w:tc>
        <w:tc>
          <w:tcPr>
            <w:tcW w:w="864"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3800</w:t>
            </w:r>
          </w:p>
        </w:tc>
        <w:tc>
          <w:tcPr>
            <w:tcW w:w="864" w:type="dxa"/>
            <w:tcBorders>
              <w:top w:val="nil"/>
              <w:left w:val="nil"/>
              <w:bottom w:val="single" w:color="auto" w:sz="4" w:space="0"/>
              <w:right w:val="single" w:color="auto" w:sz="4" w:space="0"/>
            </w:tcBorders>
            <w:shd w:val="clear" w:color="000000" w:fill="FFC0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D-7</w:t>
            </w:r>
          </w:p>
        </w:tc>
        <w:tc>
          <w:tcPr>
            <w:tcW w:w="864" w:type="dxa"/>
            <w:tcBorders>
              <w:top w:val="nil"/>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5000</w:t>
            </w:r>
          </w:p>
        </w:tc>
        <w:tc>
          <w:tcPr>
            <w:tcW w:w="864" w:type="dxa"/>
            <w:tcBorders>
              <w:top w:val="nil"/>
              <w:left w:val="nil"/>
              <w:bottom w:val="single" w:color="auto" w:sz="4" w:space="0"/>
              <w:right w:val="single" w:color="auto" w:sz="4" w:space="0"/>
            </w:tcBorders>
            <w:shd w:val="clear" w:color="000000" w:fill="E6B9B8"/>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E-7</w:t>
            </w:r>
          </w:p>
        </w:tc>
        <w:tc>
          <w:tcPr>
            <w:tcW w:w="984" w:type="dxa"/>
            <w:tcBorders>
              <w:top w:val="nil"/>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7700</w:t>
            </w:r>
          </w:p>
        </w:tc>
        <w:tc>
          <w:tcPr>
            <w:tcW w:w="86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F-7</w:t>
            </w:r>
          </w:p>
        </w:tc>
        <w:tc>
          <w:tcPr>
            <w:tcW w:w="98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11200</w:t>
            </w:r>
          </w:p>
        </w:tc>
      </w:tr>
      <w:tr>
        <w:tblPrEx>
          <w:tblLayout w:type="fixed"/>
          <w:tblCellMar>
            <w:top w:w="0" w:type="dxa"/>
            <w:left w:w="108" w:type="dxa"/>
            <w:bottom w:w="0" w:type="dxa"/>
            <w:right w:w="108" w:type="dxa"/>
          </w:tblCellMar>
        </w:tblPrEx>
        <w:trPr>
          <w:trHeight w:val="270" w:hRule="atLeas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8级</w:t>
            </w:r>
          </w:p>
        </w:tc>
        <w:tc>
          <w:tcPr>
            <w:tcW w:w="864" w:type="dxa"/>
            <w:tcBorders>
              <w:top w:val="nil"/>
              <w:left w:val="nil"/>
              <w:bottom w:val="single" w:color="auto" w:sz="4" w:space="0"/>
              <w:right w:val="single" w:color="auto" w:sz="4" w:space="0"/>
            </w:tcBorders>
            <w:shd w:val="clear" w:color="000000" w:fill="C5BE97"/>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A-8</w:t>
            </w:r>
          </w:p>
        </w:tc>
        <w:tc>
          <w:tcPr>
            <w:tcW w:w="864"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2600</w:t>
            </w:r>
          </w:p>
        </w:tc>
        <w:tc>
          <w:tcPr>
            <w:tcW w:w="864"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B-8</w:t>
            </w:r>
          </w:p>
        </w:tc>
        <w:tc>
          <w:tcPr>
            <w:tcW w:w="864"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3100</w:t>
            </w:r>
          </w:p>
        </w:tc>
        <w:tc>
          <w:tcPr>
            <w:tcW w:w="864"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C-8</w:t>
            </w:r>
          </w:p>
        </w:tc>
        <w:tc>
          <w:tcPr>
            <w:tcW w:w="864"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4000</w:t>
            </w:r>
          </w:p>
        </w:tc>
        <w:tc>
          <w:tcPr>
            <w:tcW w:w="864" w:type="dxa"/>
            <w:tcBorders>
              <w:top w:val="nil"/>
              <w:left w:val="nil"/>
              <w:bottom w:val="single" w:color="auto" w:sz="4" w:space="0"/>
              <w:right w:val="single" w:color="auto" w:sz="4" w:space="0"/>
            </w:tcBorders>
            <w:shd w:val="clear" w:color="000000" w:fill="FFC0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D-8</w:t>
            </w:r>
          </w:p>
        </w:tc>
        <w:tc>
          <w:tcPr>
            <w:tcW w:w="864" w:type="dxa"/>
            <w:tcBorders>
              <w:top w:val="nil"/>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5300</w:t>
            </w:r>
          </w:p>
        </w:tc>
        <w:tc>
          <w:tcPr>
            <w:tcW w:w="864" w:type="dxa"/>
            <w:tcBorders>
              <w:top w:val="nil"/>
              <w:left w:val="nil"/>
              <w:bottom w:val="single" w:color="auto" w:sz="4" w:space="0"/>
              <w:right w:val="single" w:color="auto" w:sz="4" w:space="0"/>
            </w:tcBorders>
            <w:shd w:val="clear" w:color="000000" w:fill="E6B9B8"/>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E-8</w:t>
            </w:r>
          </w:p>
        </w:tc>
        <w:tc>
          <w:tcPr>
            <w:tcW w:w="984" w:type="dxa"/>
            <w:tcBorders>
              <w:top w:val="nil"/>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8200</w:t>
            </w:r>
          </w:p>
        </w:tc>
        <w:tc>
          <w:tcPr>
            <w:tcW w:w="86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F-8</w:t>
            </w:r>
          </w:p>
        </w:tc>
        <w:tc>
          <w:tcPr>
            <w:tcW w:w="98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12200</w:t>
            </w:r>
          </w:p>
        </w:tc>
      </w:tr>
      <w:tr>
        <w:tblPrEx>
          <w:tblLayout w:type="fixed"/>
          <w:tblCellMar>
            <w:top w:w="0" w:type="dxa"/>
            <w:left w:w="108" w:type="dxa"/>
            <w:bottom w:w="0" w:type="dxa"/>
            <w:right w:w="108" w:type="dxa"/>
          </w:tblCellMar>
        </w:tblPrEx>
        <w:trPr>
          <w:trHeight w:val="270" w:hRule="atLeas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9级</w:t>
            </w:r>
          </w:p>
        </w:tc>
        <w:tc>
          <w:tcPr>
            <w:tcW w:w="864" w:type="dxa"/>
            <w:tcBorders>
              <w:top w:val="nil"/>
              <w:left w:val="nil"/>
              <w:bottom w:val="single" w:color="auto" w:sz="4" w:space="0"/>
              <w:right w:val="single" w:color="auto" w:sz="4" w:space="0"/>
            </w:tcBorders>
            <w:shd w:val="clear" w:color="000000" w:fill="C5BE97"/>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A-9</w:t>
            </w:r>
          </w:p>
        </w:tc>
        <w:tc>
          <w:tcPr>
            <w:tcW w:w="864"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2700</w:t>
            </w:r>
          </w:p>
        </w:tc>
        <w:tc>
          <w:tcPr>
            <w:tcW w:w="864"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B-9</w:t>
            </w:r>
          </w:p>
        </w:tc>
        <w:tc>
          <w:tcPr>
            <w:tcW w:w="864"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3300</w:t>
            </w:r>
          </w:p>
        </w:tc>
        <w:tc>
          <w:tcPr>
            <w:tcW w:w="864"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C-9</w:t>
            </w:r>
          </w:p>
        </w:tc>
        <w:tc>
          <w:tcPr>
            <w:tcW w:w="864"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4200</w:t>
            </w:r>
          </w:p>
        </w:tc>
        <w:tc>
          <w:tcPr>
            <w:tcW w:w="864" w:type="dxa"/>
            <w:tcBorders>
              <w:top w:val="nil"/>
              <w:left w:val="nil"/>
              <w:bottom w:val="single" w:color="auto" w:sz="4" w:space="0"/>
              <w:right w:val="single" w:color="auto" w:sz="4" w:space="0"/>
            </w:tcBorders>
            <w:shd w:val="clear" w:color="000000" w:fill="FFC0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D-9</w:t>
            </w:r>
          </w:p>
        </w:tc>
        <w:tc>
          <w:tcPr>
            <w:tcW w:w="864" w:type="dxa"/>
            <w:tcBorders>
              <w:top w:val="nil"/>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5600</w:t>
            </w:r>
          </w:p>
        </w:tc>
        <w:tc>
          <w:tcPr>
            <w:tcW w:w="864" w:type="dxa"/>
            <w:tcBorders>
              <w:top w:val="nil"/>
              <w:left w:val="nil"/>
              <w:bottom w:val="single" w:color="auto" w:sz="4" w:space="0"/>
              <w:right w:val="single" w:color="auto" w:sz="4" w:space="0"/>
            </w:tcBorders>
            <w:shd w:val="clear" w:color="000000" w:fill="E6B9B8"/>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E-9</w:t>
            </w:r>
          </w:p>
        </w:tc>
        <w:tc>
          <w:tcPr>
            <w:tcW w:w="984" w:type="dxa"/>
            <w:tcBorders>
              <w:top w:val="nil"/>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8700</w:t>
            </w:r>
          </w:p>
        </w:tc>
        <w:tc>
          <w:tcPr>
            <w:tcW w:w="86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F-9</w:t>
            </w:r>
          </w:p>
        </w:tc>
        <w:tc>
          <w:tcPr>
            <w:tcW w:w="98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13200</w:t>
            </w:r>
          </w:p>
        </w:tc>
      </w:tr>
      <w:tr>
        <w:tblPrEx>
          <w:tblLayout w:type="fixed"/>
          <w:tblCellMar>
            <w:top w:w="0" w:type="dxa"/>
            <w:left w:w="108" w:type="dxa"/>
            <w:bottom w:w="0" w:type="dxa"/>
            <w:right w:w="108" w:type="dxa"/>
          </w:tblCellMar>
        </w:tblPrEx>
        <w:trPr>
          <w:trHeight w:val="270" w:hRule="atLeas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10级</w:t>
            </w:r>
          </w:p>
        </w:tc>
        <w:tc>
          <w:tcPr>
            <w:tcW w:w="864" w:type="dxa"/>
            <w:tcBorders>
              <w:top w:val="nil"/>
              <w:left w:val="nil"/>
              <w:bottom w:val="single" w:color="auto" w:sz="4" w:space="0"/>
              <w:right w:val="single" w:color="auto" w:sz="4" w:space="0"/>
            </w:tcBorders>
            <w:shd w:val="clear" w:color="000000" w:fill="C5BE97"/>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A-10</w:t>
            </w:r>
          </w:p>
        </w:tc>
        <w:tc>
          <w:tcPr>
            <w:tcW w:w="864"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2800</w:t>
            </w:r>
          </w:p>
        </w:tc>
        <w:tc>
          <w:tcPr>
            <w:tcW w:w="864"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B-10</w:t>
            </w:r>
          </w:p>
        </w:tc>
        <w:tc>
          <w:tcPr>
            <w:tcW w:w="864"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3400</w:t>
            </w:r>
          </w:p>
        </w:tc>
        <w:tc>
          <w:tcPr>
            <w:tcW w:w="864"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C-10</w:t>
            </w:r>
          </w:p>
        </w:tc>
        <w:tc>
          <w:tcPr>
            <w:tcW w:w="864"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4400</w:t>
            </w:r>
          </w:p>
        </w:tc>
        <w:tc>
          <w:tcPr>
            <w:tcW w:w="864" w:type="dxa"/>
            <w:tcBorders>
              <w:top w:val="nil"/>
              <w:left w:val="nil"/>
              <w:bottom w:val="single" w:color="auto" w:sz="4" w:space="0"/>
              <w:right w:val="single" w:color="auto" w:sz="4" w:space="0"/>
            </w:tcBorders>
            <w:shd w:val="clear" w:color="000000" w:fill="FFC0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D-10</w:t>
            </w:r>
          </w:p>
        </w:tc>
        <w:tc>
          <w:tcPr>
            <w:tcW w:w="864" w:type="dxa"/>
            <w:tcBorders>
              <w:top w:val="nil"/>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5900</w:t>
            </w:r>
          </w:p>
        </w:tc>
        <w:tc>
          <w:tcPr>
            <w:tcW w:w="864" w:type="dxa"/>
            <w:tcBorders>
              <w:top w:val="nil"/>
              <w:left w:val="nil"/>
              <w:bottom w:val="single" w:color="auto" w:sz="4" w:space="0"/>
              <w:right w:val="single" w:color="auto" w:sz="4" w:space="0"/>
            </w:tcBorders>
            <w:shd w:val="clear" w:color="000000" w:fill="E6B9B8"/>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E-10</w:t>
            </w:r>
          </w:p>
        </w:tc>
        <w:tc>
          <w:tcPr>
            <w:tcW w:w="984" w:type="dxa"/>
            <w:tcBorders>
              <w:top w:val="nil"/>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9200</w:t>
            </w:r>
          </w:p>
        </w:tc>
        <w:tc>
          <w:tcPr>
            <w:tcW w:w="86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F-10</w:t>
            </w:r>
          </w:p>
        </w:tc>
        <w:tc>
          <w:tcPr>
            <w:tcW w:w="98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14200</w:t>
            </w:r>
          </w:p>
        </w:tc>
      </w:tr>
      <w:tr>
        <w:tblPrEx>
          <w:tblLayout w:type="fixed"/>
          <w:tblCellMar>
            <w:top w:w="0" w:type="dxa"/>
            <w:left w:w="108" w:type="dxa"/>
            <w:bottom w:w="0" w:type="dxa"/>
            <w:right w:w="108" w:type="dxa"/>
          </w:tblCellMar>
        </w:tblPrEx>
        <w:trPr>
          <w:trHeight w:val="270" w:hRule="atLeas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11级</w:t>
            </w:r>
          </w:p>
        </w:tc>
        <w:tc>
          <w:tcPr>
            <w:tcW w:w="864" w:type="dxa"/>
            <w:tcBorders>
              <w:top w:val="nil"/>
              <w:left w:val="nil"/>
              <w:bottom w:val="single" w:color="auto" w:sz="4" w:space="0"/>
              <w:right w:val="single" w:color="auto" w:sz="4" w:space="0"/>
            </w:tcBorders>
            <w:shd w:val="clear" w:color="000000" w:fill="C5BE97"/>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A-11</w:t>
            </w:r>
          </w:p>
        </w:tc>
        <w:tc>
          <w:tcPr>
            <w:tcW w:w="864"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2900</w:t>
            </w:r>
          </w:p>
        </w:tc>
        <w:tc>
          <w:tcPr>
            <w:tcW w:w="864"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B-11</w:t>
            </w:r>
          </w:p>
        </w:tc>
        <w:tc>
          <w:tcPr>
            <w:tcW w:w="864"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3500</w:t>
            </w:r>
          </w:p>
        </w:tc>
        <w:tc>
          <w:tcPr>
            <w:tcW w:w="864"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C-11</w:t>
            </w:r>
          </w:p>
        </w:tc>
        <w:tc>
          <w:tcPr>
            <w:tcW w:w="864"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4600</w:t>
            </w:r>
          </w:p>
        </w:tc>
        <w:tc>
          <w:tcPr>
            <w:tcW w:w="864" w:type="dxa"/>
            <w:tcBorders>
              <w:top w:val="nil"/>
              <w:left w:val="nil"/>
              <w:bottom w:val="single" w:color="auto" w:sz="4" w:space="0"/>
              <w:right w:val="single" w:color="auto" w:sz="4" w:space="0"/>
            </w:tcBorders>
            <w:shd w:val="clear" w:color="000000" w:fill="FFC0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D-11</w:t>
            </w:r>
          </w:p>
        </w:tc>
        <w:tc>
          <w:tcPr>
            <w:tcW w:w="864" w:type="dxa"/>
            <w:tcBorders>
              <w:top w:val="nil"/>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6200</w:t>
            </w:r>
          </w:p>
        </w:tc>
        <w:tc>
          <w:tcPr>
            <w:tcW w:w="864" w:type="dxa"/>
            <w:tcBorders>
              <w:top w:val="nil"/>
              <w:left w:val="nil"/>
              <w:bottom w:val="single" w:color="auto" w:sz="4" w:space="0"/>
              <w:right w:val="single" w:color="auto" w:sz="4" w:space="0"/>
            </w:tcBorders>
            <w:shd w:val="clear" w:color="000000" w:fill="E6B9B8"/>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E-11</w:t>
            </w:r>
          </w:p>
        </w:tc>
        <w:tc>
          <w:tcPr>
            <w:tcW w:w="984" w:type="dxa"/>
            <w:tcBorders>
              <w:top w:val="nil"/>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9700</w:t>
            </w:r>
          </w:p>
        </w:tc>
        <w:tc>
          <w:tcPr>
            <w:tcW w:w="86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F-11</w:t>
            </w:r>
          </w:p>
        </w:tc>
        <w:tc>
          <w:tcPr>
            <w:tcW w:w="98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15200</w:t>
            </w:r>
          </w:p>
        </w:tc>
      </w:tr>
      <w:tr>
        <w:tblPrEx>
          <w:tblLayout w:type="fixed"/>
          <w:tblCellMar>
            <w:top w:w="0" w:type="dxa"/>
            <w:left w:w="108" w:type="dxa"/>
            <w:bottom w:w="0" w:type="dxa"/>
            <w:right w:w="108" w:type="dxa"/>
          </w:tblCellMar>
        </w:tblPrEx>
        <w:trPr>
          <w:trHeight w:val="270" w:hRule="atLeast"/>
          <w:jc w:val="center"/>
        </w:trPr>
        <w:tc>
          <w:tcPr>
            <w:tcW w:w="626"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12级</w:t>
            </w:r>
          </w:p>
        </w:tc>
        <w:tc>
          <w:tcPr>
            <w:tcW w:w="864" w:type="dxa"/>
            <w:tcBorders>
              <w:top w:val="nil"/>
              <w:left w:val="nil"/>
              <w:bottom w:val="single" w:color="auto" w:sz="4" w:space="0"/>
              <w:right w:val="single" w:color="auto" w:sz="4" w:space="0"/>
            </w:tcBorders>
            <w:shd w:val="clear" w:color="000000" w:fill="C5BE97"/>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A-12</w:t>
            </w:r>
          </w:p>
        </w:tc>
        <w:tc>
          <w:tcPr>
            <w:tcW w:w="864"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3000</w:t>
            </w:r>
          </w:p>
        </w:tc>
        <w:tc>
          <w:tcPr>
            <w:tcW w:w="864"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B-12</w:t>
            </w:r>
          </w:p>
        </w:tc>
        <w:tc>
          <w:tcPr>
            <w:tcW w:w="864"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3600</w:t>
            </w:r>
          </w:p>
        </w:tc>
        <w:tc>
          <w:tcPr>
            <w:tcW w:w="864"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C-12</w:t>
            </w:r>
          </w:p>
        </w:tc>
        <w:tc>
          <w:tcPr>
            <w:tcW w:w="864"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4800</w:t>
            </w:r>
          </w:p>
        </w:tc>
        <w:tc>
          <w:tcPr>
            <w:tcW w:w="864" w:type="dxa"/>
            <w:tcBorders>
              <w:top w:val="nil"/>
              <w:left w:val="nil"/>
              <w:bottom w:val="single" w:color="auto" w:sz="4" w:space="0"/>
              <w:right w:val="single" w:color="auto" w:sz="4" w:space="0"/>
            </w:tcBorders>
            <w:shd w:val="clear" w:color="000000" w:fill="FFC0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D-12</w:t>
            </w:r>
          </w:p>
        </w:tc>
        <w:tc>
          <w:tcPr>
            <w:tcW w:w="864" w:type="dxa"/>
            <w:tcBorders>
              <w:top w:val="nil"/>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6500</w:t>
            </w:r>
          </w:p>
        </w:tc>
        <w:tc>
          <w:tcPr>
            <w:tcW w:w="864" w:type="dxa"/>
            <w:tcBorders>
              <w:top w:val="nil"/>
              <w:left w:val="nil"/>
              <w:bottom w:val="single" w:color="auto" w:sz="4" w:space="0"/>
              <w:right w:val="single" w:color="auto" w:sz="4" w:space="0"/>
            </w:tcBorders>
            <w:shd w:val="clear" w:color="000000" w:fill="E6B9B8"/>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E-12</w:t>
            </w:r>
          </w:p>
        </w:tc>
        <w:tc>
          <w:tcPr>
            <w:tcW w:w="984" w:type="dxa"/>
            <w:tcBorders>
              <w:top w:val="nil"/>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10200</w:t>
            </w:r>
          </w:p>
        </w:tc>
        <w:tc>
          <w:tcPr>
            <w:tcW w:w="86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F-12</w:t>
            </w:r>
          </w:p>
        </w:tc>
        <w:tc>
          <w:tcPr>
            <w:tcW w:w="984" w:type="dxa"/>
            <w:tcBorders>
              <w:top w:val="nil"/>
              <w:left w:val="nil"/>
              <w:bottom w:val="single" w:color="auto" w:sz="4" w:space="0"/>
              <w:right w:val="single" w:color="auto" w:sz="4" w:space="0"/>
            </w:tcBorders>
            <w:shd w:val="clear" w:color="000000" w:fill="538ED5"/>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16200</w:t>
            </w:r>
          </w:p>
        </w:tc>
      </w:tr>
    </w:tbl>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（2）宽带薪酬分布图（柱状图）</w:t>
      </w:r>
    </w:p>
    <w:p>
      <w:pPr>
        <w:tabs>
          <w:tab w:val="left" w:pos="709"/>
          <w:tab w:val="left" w:pos="851"/>
          <w:tab w:val="left" w:pos="8931"/>
        </w:tabs>
        <w:spacing w:line="360" w:lineRule="auto"/>
        <w:ind w:right="168" w:rightChars="80" w:firstLine="480" w:firstLineChars="200"/>
        <w:jc w:val="center"/>
        <w:rPr>
          <w:rFonts w:ascii="楷体" w:hAnsi="楷体" w:eastAsia="楷体" w:cs="黑体"/>
          <w:kern w:val="0"/>
          <w:sz w:val="24"/>
          <w:szCs w:val="24"/>
        </w:rPr>
      </w:pPr>
      <w:r>
        <w:rPr>
          <w:rFonts w:ascii="SimHei" w:hAnsi="SimHei" w:eastAsia="黑体" w:cs="黑体"/>
          <w:kern w:val="0"/>
          <w:sz w:val="24"/>
          <w:szCs w:val="24"/>
        </w:rPr>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特点：依据岗位得分划分薪档区间</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充分体现宽泛上升空间的六条宽带</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宽带由低到高，重叠错落，坡度变陡，级差加大，表示上升程度越高，难度越大</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62" w:name="_6、标准工资的测算"/>
      <w:bookmarkEnd w:id="62"/>
      <w:bookmarkStart w:id="63" w:name="_Toc407729190"/>
      <w:bookmarkStart w:id="64" w:name="_Toc408573187"/>
      <w:r>
        <w:rPr>
          <w:rFonts w:hint="eastAsia" w:ascii="SimHei" w:hAnsi="SimHei" w:eastAsia="黑体"/>
          <w:sz w:val="24"/>
          <w:szCs w:val="24"/>
        </w:rPr>
        <w:t>6、标准工资的测算</w:t>
      </w:r>
      <w:bookmarkEnd w:id="63"/>
      <w:bookmarkEnd w:id="64"/>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（1）</w:t>
      </w:r>
      <w:r>
        <w:rPr>
          <w:rFonts w:hint="eastAsia" w:ascii="SimHei" w:hAnsi="SimHei" w:eastAsia="黑体" w:cs="黑体"/>
          <w:b/>
          <w:kern w:val="0"/>
          <w:sz w:val="24"/>
          <w:szCs w:val="24"/>
        </w:rPr>
        <w:t>区间渗透度</w:t>
      </w:r>
    </w:p>
    <w:tbl>
      <w:tblPr>
        <w:tblStyle w:val="28"/>
        <w:tblW w:w="9513" w:type="dxa"/>
        <w:jc w:val="center"/>
        <w:tblInd w:w="0" w:type="dxa"/>
        <w:tblLayout w:type="fixed"/>
        <w:tblCellMar>
          <w:top w:w="0" w:type="dxa"/>
          <w:left w:w="108" w:type="dxa"/>
          <w:bottom w:w="0" w:type="dxa"/>
          <w:right w:w="108" w:type="dxa"/>
        </w:tblCellMar>
      </w:tblPr>
      <w:tblGrid>
        <w:gridCol w:w="1615"/>
        <w:gridCol w:w="1565"/>
        <w:gridCol w:w="2108"/>
        <w:gridCol w:w="638"/>
        <w:gridCol w:w="1713"/>
        <w:gridCol w:w="826"/>
        <w:gridCol w:w="1048"/>
      </w:tblGrid>
      <w:tr>
        <w:tblPrEx>
          <w:tblLayout w:type="fixed"/>
          <w:tblCellMar>
            <w:top w:w="0" w:type="dxa"/>
            <w:left w:w="108" w:type="dxa"/>
            <w:bottom w:w="0" w:type="dxa"/>
            <w:right w:w="108" w:type="dxa"/>
          </w:tblCellMar>
        </w:tblPrEx>
        <w:trPr>
          <w:trHeight w:val="395" w:hRule="exact"/>
          <w:jc w:val="center"/>
        </w:trPr>
        <w:tc>
          <w:tcPr>
            <w:tcW w:w="16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部门</w:t>
            </w:r>
          </w:p>
        </w:tc>
        <w:tc>
          <w:tcPr>
            <w:tcW w:w="1565"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岗位</w:t>
            </w:r>
          </w:p>
        </w:tc>
        <w:tc>
          <w:tcPr>
            <w:tcW w:w="2108"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岗位得分</w:t>
            </w:r>
          </w:p>
        </w:tc>
        <w:tc>
          <w:tcPr>
            <w:tcW w:w="638"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薪档</w:t>
            </w:r>
          </w:p>
        </w:tc>
        <w:tc>
          <w:tcPr>
            <w:tcW w:w="1713"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标准区间渗透度</w:t>
            </w:r>
          </w:p>
        </w:tc>
        <w:tc>
          <w:tcPr>
            <w:tcW w:w="826"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标准薪级</w:t>
            </w:r>
          </w:p>
        </w:tc>
        <w:tc>
          <w:tcPr>
            <w:tcW w:w="1048"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岗位标准工资</w:t>
            </w:r>
          </w:p>
        </w:tc>
      </w:tr>
      <w:tr>
        <w:tblPrEx>
          <w:tblLayout w:type="fixed"/>
          <w:tblCellMar>
            <w:top w:w="0" w:type="dxa"/>
            <w:left w:w="108" w:type="dxa"/>
            <w:bottom w:w="0" w:type="dxa"/>
            <w:right w:w="108" w:type="dxa"/>
          </w:tblCellMar>
        </w:tblPrEx>
        <w:trPr>
          <w:trHeight w:val="395" w:hRule="exact"/>
          <w:jc w:val="center"/>
        </w:trPr>
        <w:tc>
          <w:tcPr>
            <w:tcW w:w="1615"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w:t>
            </w:r>
          </w:p>
        </w:tc>
        <w:tc>
          <w:tcPr>
            <w:tcW w:w="156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部门经理</w:t>
            </w:r>
          </w:p>
        </w:tc>
        <w:tc>
          <w:tcPr>
            <w:tcW w:w="2108" w:type="dxa"/>
            <w:tcBorders>
              <w:top w:val="nil"/>
              <w:left w:val="nil"/>
              <w:bottom w:val="single" w:color="auto" w:sz="4" w:space="0"/>
              <w:right w:val="single" w:color="auto" w:sz="4" w:space="0"/>
            </w:tcBorders>
            <w:shd w:val="clear" w:color="000000" w:fill="E6B9B8"/>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829.6</w:t>
            </w:r>
          </w:p>
        </w:tc>
        <w:tc>
          <w:tcPr>
            <w:tcW w:w="63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w:t>
            </w:r>
          </w:p>
        </w:tc>
        <w:tc>
          <w:tcPr>
            <w:tcW w:w="17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0.6</w:t>
            </w:r>
          </w:p>
        </w:tc>
        <w:tc>
          <w:tcPr>
            <w:tcW w:w="82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7.2</w:t>
            </w:r>
          </w:p>
        </w:tc>
        <w:tc>
          <w:tcPr>
            <w:tcW w:w="104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7800</w:t>
            </w:r>
          </w:p>
        </w:tc>
      </w:tr>
      <w:tr>
        <w:tblPrEx>
          <w:tblLayout w:type="fixed"/>
          <w:tblCellMar>
            <w:top w:w="0" w:type="dxa"/>
            <w:left w:w="108" w:type="dxa"/>
            <w:bottom w:w="0" w:type="dxa"/>
            <w:right w:w="108" w:type="dxa"/>
          </w:tblCellMar>
        </w:tblPrEx>
        <w:trPr>
          <w:trHeight w:val="395" w:hRule="exact"/>
          <w:jc w:val="center"/>
        </w:trPr>
        <w:tc>
          <w:tcPr>
            <w:tcW w:w="1615"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w:t>
            </w:r>
          </w:p>
        </w:tc>
        <w:tc>
          <w:tcPr>
            <w:tcW w:w="156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经理助理</w:t>
            </w:r>
          </w:p>
        </w:tc>
        <w:tc>
          <w:tcPr>
            <w:tcW w:w="2108"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401.0</w:t>
            </w:r>
          </w:p>
        </w:tc>
        <w:tc>
          <w:tcPr>
            <w:tcW w:w="63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w:t>
            </w:r>
          </w:p>
        </w:tc>
        <w:tc>
          <w:tcPr>
            <w:tcW w:w="17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0.5</w:t>
            </w:r>
          </w:p>
        </w:tc>
        <w:tc>
          <w:tcPr>
            <w:tcW w:w="82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104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3600</w:t>
            </w:r>
          </w:p>
        </w:tc>
      </w:tr>
      <w:tr>
        <w:tblPrEx>
          <w:tblLayout w:type="fixed"/>
          <w:tblCellMar>
            <w:top w:w="0" w:type="dxa"/>
            <w:left w:w="108" w:type="dxa"/>
            <w:bottom w:w="0" w:type="dxa"/>
            <w:right w:w="108" w:type="dxa"/>
          </w:tblCellMar>
        </w:tblPrEx>
        <w:trPr>
          <w:trHeight w:val="395" w:hRule="exact"/>
          <w:jc w:val="center"/>
        </w:trPr>
        <w:tc>
          <w:tcPr>
            <w:tcW w:w="1615"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w:t>
            </w:r>
          </w:p>
        </w:tc>
        <w:tc>
          <w:tcPr>
            <w:tcW w:w="156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销售代表一级</w:t>
            </w:r>
          </w:p>
        </w:tc>
        <w:tc>
          <w:tcPr>
            <w:tcW w:w="2108"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125.7</w:t>
            </w:r>
          </w:p>
        </w:tc>
        <w:tc>
          <w:tcPr>
            <w:tcW w:w="63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w:t>
            </w:r>
          </w:p>
        </w:tc>
        <w:tc>
          <w:tcPr>
            <w:tcW w:w="17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0.6</w:t>
            </w:r>
          </w:p>
        </w:tc>
        <w:tc>
          <w:tcPr>
            <w:tcW w:w="82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7.2</w:t>
            </w:r>
          </w:p>
        </w:tc>
        <w:tc>
          <w:tcPr>
            <w:tcW w:w="104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2520</w:t>
            </w:r>
          </w:p>
        </w:tc>
      </w:tr>
      <w:tr>
        <w:tblPrEx>
          <w:tblLayout w:type="fixed"/>
          <w:tblCellMar>
            <w:top w:w="0" w:type="dxa"/>
            <w:left w:w="108" w:type="dxa"/>
            <w:bottom w:w="0" w:type="dxa"/>
            <w:right w:w="108" w:type="dxa"/>
          </w:tblCellMar>
        </w:tblPrEx>
        <w:trPr>
          <w:trHeight w:val="395" w:hRule="exact"/>
          <w:jc w:val="center"/>
        </w:trPr>
        <w:tc>
          <w:tcPr>
            <w:tcW w:w="1615"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w:t>
            </w:r>
          </w:p>
        </w:tc>
        <w:tc>
          <w:tcPr>
            <w:tcW w:w="156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销售文案</w:t>
            </w:r>
          </w:p>
        </w:tc>
        <w:tc>
          <w:tcPr>
            <w:tcW w:w="2108"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134.1</w:t>
            </w:r>
          </w:p>
        </w:tc>
        <w:tc>
          <w:tcPr>
            <w:tcW w:w="63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w:t>
            </w:r>
          </w:p>
        </w:tc>
        <w:tc>
          <w:tcPr>
            <w:tcW w:w="17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0.7</w:t>
            </w:r>
          </w:p>
        </w:tc>
        <w:tc>
          <w:tcPr>
            <w:tcW w:w="82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8.4</w:t>
            </w:r>
          </w:p>
        </w:tc>
        <w:tc>
          <w:tcPr>
            <w:tcW w:w="104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2640</w:t>
            </w:r>
          </w:p>
        </w:tc>
      </w:tr>
      <w:tr>
        <w:tblPrEx>
          <w:tblLayout w:type="fixed"/>
          <w:tblCellMar>
            <w:top w:w="0" w:type="dxa"/>
            <w:left w:w="108" w:type="dxa"/>
            <w:bottom w:w="0" w:type="dxa"/>
            <w:right w:w="108" w:type="dxa"/>
          </w:tblCellMar>
        </w:tblPrEx>
        <w:trPr>
          <w:trHeight w:val="395" w:hRule="exact"/>
          <w:jc w:val="center"/>
        </w:trPr>
        <w:tc>
          <w:tcPr>
            <w:tcW w:w="1615"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w:t>
            </w:r>
          </w:p>
        </w:tc>
        <w:tc>
          <w:tcPr>
            <w:tcW w:w="156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工程师</w:t>
            </w:r>
          </w:p>
        </w:tc>
        <w:tc>
          <w:tcPr>
            <w:tcW w:w="2108" w:type="dxa"/>
            <w:tcBorders>
              <w:top w:val="nil"/>
              <w:left w:val="nil"/>
              <w:bottom w:val="single" w:color="auto" w:sz="4" w:space="0"/>
              <w:right w:val="single" w:color="auto" w:sz="4" w:space="0"/>
            </w:tcBorders>
            <w:shd w:val="clear" w:color="000000" w:fill="FFC0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659.4</w:t>
            </w:r>
          </w:p>
        </w:tc>
        <w:tc>
          <w:tcPr>
            <w:tcW w:w="63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w:t>
            </w:r>
          </w:p>
        </w:tc>
        <w:tc>
          <w:tcPr>
            <w:tcW w:w="17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0.8</w:t>
            </w:r>
          </w:p>
        </w:tc>
        <w:tc>
          <w:tcPr>
            <w:tcW w:w="82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9.6</w:t>
            </w:r>
          </w:p>
        </w:tc>
        <w:tc>
          <w:tcPr>
            <w:tcW w:w="104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5780</w:t>
            </w:r>
          </w:p>
        </w:tc>
      </w:tr>
      <w:tr>
        <w:tblPrEx>
          <w:tblLayout w:type="fixed"/>
          <w:tblCellMar>
            <w:top w:w="0" w:type="dxa"/>
            <w:left w:w="108" w:type="dxa"/>
            <w:bottom w:w="0" w:type="dxa"/>
            <w:right w:w="108" w:type="dxa"/>
          </w:tblCellMar>
        </w:tblPrEx>
        <w:trPr>
          <w:trHeight w:val="395" w:hRule="exact"/>
          <w:jc w:val="center"/>
        </w:trPr>
        <w:tc>
          <w:tcPr>
            <w:tcW w:w="1615"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w:t>
            </w:r>
          </w:p>
        </w:tc>
        <w:tc>
          <w:tcPr>
            <w:tcW w:w="156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技术员</w:t>
            </w:r>
          </w:p>
        </w:tc>
        <w:tc>
          <w:tcPr>
            <w:tcW w:w="2108"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227.4</w:t>
            </w:r>
          </w:p>
        </w:tc>
        <w:tc>
          <w:tcPr>
            <w:tcW w:w="63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w:t>
            </w:r>
          </w:p>
        </w:tc>
        <w:tc>
          <w:tcPr>
            <w:tcW w:w="17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0.3</w:t>
            </w:r>
          </w:p>
        </w:tc>
        <w:tc>
          <w:tcPr>
            <w:tcW w:w="82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3.3</w:t>
            </w:r>
          </w:p>
        </w:tc>
        <w:tc>
          <w:tcPr>
            <w:tcW w:w="104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2630</w:t>
            </w:r>
          </w:p>
        </w:tc>
      </w:tr>
      <w:tr>
        <w:tblPrEx>
          <w:tblLayout w:type="fixed"/>
          <w:tblCellMar>
            <w:top w:w="0" w:type="dxa"/>
            <w:left w:w="108" w:type="dxa"/>
            <w:bottom w:w="0" w:type="dxa"/>
            <w:right w:w="108" w:type="dxa"/>
          </w:tblCellMar>
        </w:tblPrEx>
        <w:trPr>
          <w:trHeight w:val="395" w:hRule="exact"/>
          <w:jc w:val="center"/>
        </w:trPr>
        <w:tc>
          <w:tcPr>
            <w:tcW w:w="1615"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技术</w:t>
            </w:r>
          </w:p>
        </w:tc>
        <w:tc>
          <w:tcPr>
            <w:tcW w:w="156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助理工程师</w:t>
            </w:r>
          </w:p>
        </w:tc>
        <w:tc>
          <w:tcPr>
            <w:tcW w:w="2108"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455.4</w:t>
            </w:r>
          </w:p>
        </w:tc>
        <w:tc>
          <w:tcPr>
            <w:tcW w:w="63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w:t>
            </w:r>
          </w:p>
        </w:tc>
        <w:tc>
          <w:tcPr>
            <w:tcW w:w="17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0.8</w:t>
            </w:r>
          </w:p>
        </w:tc>
        <w:tc>
          <w:tcPr>
            <w:tcW w:w="82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9.3</w:t>
            </w:r>
          </w:p>
        </w:tc>
        <w:tc>
          <w:tcPr>
            <w:tcW w:w="104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4260</w:t>
            </w:r>
          </w:p>
        </w:tc>
      </w:tr>
      <w:tr>
        <w:tblPrEx>
          <w:tblLayout w:type="fixed"/>
          <w:tblCellMar>
            <w:top w:w="0" w:type="dxa"/>
            <w:left w:w="108" w:type="dxa"/>
            <w:bottom w:w="0" w:type="dxa"/>
            <w:right w:w="108" w:type="dxa"/>
          </w:tblCellMar>
        </w:tblPrEx>
        <w:trPr>
          <w:trHeight w:val="395" w:hRule="exact"/>
          <w:jc w:val="center"/>
        </w:trPr>
        <w:tc>
          <w:tcPr>
            <w:tcW w:w="1615"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行政</w:t>
            </w:r>
          </w:p>
        </w:tc>
        <w:tc>
          <w:tcPr>
            <w:tcW w:w="156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主管</w:t>
            </w:r>
          </w:p>
        </w:tc>
        <w:tc>
          <w:tcPr>
            <w:tcW w:w="2108" w:type="dxa"/>
            <w:tcBorders>
              <w:top w:val="nil"/>
              <w:left w:val="nil"/>
              <w:bottom w:val="single" w:color="auto" w:sz="4" w:space="0"/>
              <w:right w:val="single" w:color="auto" w:sz="4" w:space="0"/>
            </w:tcBorders>
            <w:shd w:val="clear" w:color="000000" w:fill="FFFF0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366.8</w:t>
            </w:r>
          </w:p>
        </w:tc>
        <w:tc>
          <w:tcPr>
            <w:tcW w:w="63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w:t>
            </w:r>
          </w:p>
        </w:tc>
        <w:tc>
          <w:tcPr>
            <w:tcW w:w="17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0.3</w:t>
            </w:r>
          </w:p>
        </w:tc>
        <w:tc>
          <w:tcPr>
            <w:tcW w:w="82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3.6</w:t>
            </w:r>
          </w:p>
        </w:tc>
        <w:tc>
          <w:tcPr>
            <w:tcW w:w="104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3160</w:t>
            </w:r>
          </w:p>
        </w:tc>
      </w:tr>
      <w:tr>
        <w:tblPrEx>
          <w:tblLayout w:type="fixed"/>
          <w:tblCellMar>
            <w:top w:w="0" w:type="dxa"/>
            <w:left w:w="108" w:type="dxa"/>
            <w:bottom w:w="0" w:type="dxa"/>
            <w:right w:w="108" w:type="dxa"/>
          </w:tblCellMar>
        </w:tblPrEx>
        <w:trPr>
          <w:trHeight w:val="395" w:hRule="exact"/>
          <w:jc w:val="center"/>
        </w:trPr>
        <w:tc>
          <w:tcPr>
            <w:tcW w:w="1615"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人事</w:t>
            </w:r>
          </w:p>
        </w:tc>
        <w:tc>
          <w:tcPr>
            <w:tcW w:w="156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主管</w:t>
            </w:r>
          </w:p>
        </w:tc>
        <w:tc>
          <w:tcPr>
            <w:tcW w:w="2108"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421.5</w:t>
            </w:r>
          </w:p>
        </w:tc>
        <w:tc>
          <w:tcPr>
            <w:tcW w:w="63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w:t>
            </w:r>
          </w:p>
        </w:tc>
        <w:tc>
          <w:tcPr>
            <w:tcW w:w="17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0.6</w:t>
            </w:r>
          </w:p>
        </w:tc>
        <w:tc>
          <w:tcPr>
            <w:tcW w:w="82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7.2</w:t>
            </w:r>
          </w:p>
        </w:tc>
        <w:tc>
          <w:tcPr>
            <w:tcW w:w="104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3840</w:t>
            </w:r>
          </w:p>
        </w:tc>
      </w:tr>
      <w:tr>
        <w:tblPrEx>
          <w:tblLayout w:type="fixed"/>
          <w:tblCellMar>
            <w:top w:w="0" w:type="dxa"/>
            <w:left w:w="108" w:type="dxa"/>
            <w:bottom w:w="0" w:type="dxa"/>
            <w:right w:w="108" w:type="dxa"/>
          </w:tblCellMar>
        </w:tblPrEx>
        <w:trPr>
          <w:trHeight w:val="395" w:hRule="exact"/>
          <w:jc w:val="center"/>
        </w:trPr>
        <w:tc>
          <w:tcPr>
            <w:tcW w:w="1615"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财务</w:t>
            </w:r>
          </w:p>
        </w:tc>
        <w:tc>
          <w:tcPr>
            <w:tcW w:w="156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会计</w:t>
            </w:r>
          </w:p>
        </w:tc>
        <w:tc>
          <w:tcPr>
            <w:tcW w:w="2108" w:type="dxa"/>
            <w:tcBorders>
              <w:top w:val="nil"/>
              <w:left w:val="nil"/>
              <w:bottom w:val="single" w:color="auto" w:sz="4" w:space="0"/>
              <w:right w:val="single" w:color="auto" w:sz="4" w:space="0"/>
            </w:tcBorders>
            <w:shd w:val="clear" w:color="000000" w:fill="92D050"/>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358.7</w:t>
            </w:r>
          </w:p>
        </w:tc>
        <w:tc>
          <w:tcPr>
            <w:tcW w:w="63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w:t>
            </w:r>
          </w:p>
        </w:tc>
        <w:tc>
          <w:tcPr>
            <w:tcW w:w="17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0.3</w:t>
            </w:r>
          </w:p>
        </w:tc>
        <w:tc>
          <w:tcPr>
            <w:tcW w:w="82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3.6</w:t>
            </w:r>
          </w:p>
        </w:tc>
        <w:tc>
          <w:tcPr>
            <w:tcW w:w="104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3160</w:t>
            </w:r>
          </w:p>
        </w:tc>
      </w:tr>
      <w:tr>
        <w:tblPrEx>
          <w:tblLayout w:type="fixed"/>
          <w:tblCellMar>
            <w:top w:w="0" w:type="dxa"/>
            <w:left w:w="108" w:type="dxa"/>
            <w:bottom w:w="0" w:type="dxa"/>
            <w:right w:w="108" w:type="dxa"/>
          </w:tblCellMar>
        </w:tblPrEx>
        <w:trPr>
          <w:trHeight w:val="395" w:hRule="exact"/>
          <w:jc w:val="center"/>
        </w:trPr>
        <w:tc>
          <w:tcPr>
            <w:tcW w:w="1615"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财务</w:t>
            </w:r>
          </w:p>
        </w:tc>
        <w:tc>
          <w:tcPr>
            <w:tcW w:w="156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出纳</w:t>
            </w:r>
          </w:p>
        </w:tc>
        <w:tc>
          <w:tcPr>
            <w:tcW w:w="2108" w:type="dxa"/>
            <w:tcBorders>
              <w:top w:val="nil"/>
              <w:left w:val="nil"/>
              <w:bottom w:val="single" w:color="auto" w:sz="4" w:space="0"/>
              <w:right w:val="single" w:color="auto" w:sz="4" w:space="0"/>
            </w:tcBorders>
            <w:shd w:val="clear" w:color="000000" w:fill="C5BE97"/>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150.2</w:t>
            </w:r>
          </w:p>
        </w:tc>
        <w:tc>
          <w:tcPr>
            <w:tcW w:w="63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w:t>
            </w:r>
          </w:p>
        </w:tc>
        <w:tc>
          <w:tcPr>
            <w:tcW w:w="171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0.8</w:t>
            </w:r>
          </w:p>
        </w:tc>
        <w:tc>
          <w:tcPr>
            <w:tcW w:w="82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9.6</w:t>
            </w:r>
          </w:p>
        </w:tc>
        <w:tc>
          <w:tcPr>
            <w:tcW w:w="104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2760</w:t>
            </w:r>
          </w:p>
        </w:tc>
      </w:tr>
    </w:tbl>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（2）岗位标准工资与现行标准工资对比分析</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岗位标准工资-个人现行标准工资，</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差距在正200以内，基本匹配；</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差距在正200-500，基本匹配，但有一定上升空间；</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差距在正500-1000以上，上升空间很大，需要不断提升个人技能和业绩水平</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相反，如果在负值范围，也将处于不够匹配甚至需要下调工资和薪档甚至辞退的处理</w:t>
      </w:r>
    </w:p>
    <w:p>
      <w:pPr>
        <w:tabs>
          <w:tab w:val="left" w:pos="709"/>
          <w:tab w:val="left" w:pos="851"/>
          <w:tab w:val="left" w:pos="8931"/>
        </w:tabs>
        <w:spacing w:line="360" w:lineRule="auto"/>
        <w:ind w:right="168" w:rightChars="80" w:firstLine="482" w:firstLineChars="200"/>
        <w:rPr>
          <w:rFonts w:ascii="楷体" w:hAnsi="楷体" w:eastAsia="楷体" w:cs="黑体"/>
          <w:b/>
          <w:kern w:val="0"/>
          <w:sz w:val="24"/>
          <w:szCs w:val="24"/>
        </w:rPr>
      </w:pPr>
      <w:r>
        <w:rPr>
          <w:rFonts w:hint="eastAsia" w:ascii="SimHei" w:hAnsi="SimHei" w:eastAsia="黑体" w:cs="黑体"/>
          <w:b/>
          <w:kern w:val="0"/>
          <w:sz w:val="24"/>
          <w:szCs w:val="24"/>
        </w:rPr>
        <w:t>问题讨论：</w:t>
      </w:r>
    </w:p>
    <w:p>
      <w:pPr>
        <w:pStyle w:val="3"/>
        <w:tabs>
          <w:tab w:val="left" w:pos="709"/>
          <w:tab w:val="left" w:pos="851"/>
          <w:tab w:val="left" w:pos="8931"/>
        </w:tabs>
        <w:spacing w:before="0" w:after="0" w:line="360" w:lineRule="auto"/>
        <w:ind w:right="168" w:rightChars="80" w:firstLine="482" w:firstLineChars="200"/>
        <w:rPr>
          <w:rFonts w:ascii="楷体" w:hAnsi="楷体" w:eastAsia="楷体"/>
          <w:kern w:val="0"/>
          <w:sz w:val="24"/>
          <w:szCs w:val="24"/>
        </w:rPr>
      </w:pPr>
      <w:bookmarkStart w:id="65" w:name="_Toc408573188"/>
      <w:bookmarkStart w:id="66" w:name="_Toc407729191"/>
      <w:r>
        <w:rPr>
          <w:rFonts w:hint="eastAsia" w:ascii="SimHei" w:hAnsi="SimHei" w:eastAsia="黑体"/>
          <w:kern w:val="0"/>
          <w:sz w:val="24"/>
          <w:szCs w:val="24"/>
        </w:rPr>
        <w:t>四、绩效工资设计方案</w:t>
      </w:r>
      <w:bookmarkEnd w:id="65"/>
      <w:bookmarkEnd w:id="66"/>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67" w:name="_Toc408573189"/>
      <w:bookmarkStart w:id="68" w:name="_Toc407729192"/>
      <w:r>
        <w:rPr>
          <w:rFonts w:hint="eastAsia" w:ascii="SimHei" w:hAnsi="SimHei" w:eastAsia="黑体"/>
          <w:sz w:val="24"/>
          <w:szCs w:val="24"/>
        </w:rPr>
        <w:t>1、绩效工资的评定范围与岗位分类</w:t>
      </w:r>
      <w:bookmarkEnd w:id="67"/>
      <w:bookmarkEnd w:id="68"/>
    </w:p>
    <w:p>
      <w:pPr>
        <w:tabs>
          <w:tab w:val="left" w:pos="709"/>
          <w:tab w:val="left" w:pos="851"/>
          <w:tab w:val="left" w:pos="8931"/>
        </w:tabs>
        <w:spacing w:line="360" w:lineRule="auto"/>
        <w:ind w:right="168" w:rightChars="80" w:firstLine="482" w:firstLineChars="200"/>
        <w:rPr>
          <w:rFonts w:ascii="楷体" w:hAnsi="楷体" w:eastAsia="楷体" w:cs="黑体"/>
          <w:b/>
          <w:kern w:val="0"/>
          <w:sz w:val="24"/>
          <w:szCs w:val="24"/>
        </w:rPr>
      </w:pPr>
      <w:r>
        <w:rPr>
          <w:rFonts w:hint="eastAsia" w:ascii="SimHei" w:hAnsi="SimHei" w:eastAsia="黑体" w:cs="黑体"/>
          <w:b/>
          <w:kern w:val="0"/>
          <w:sz w:val="24"/>
          <w:szCs w:val="24"/>
        </w:rPr>
        <w:t>（1）绩效工资在我公司实行全员参与评定</w:t>
      </w:r>
    </w:p>
    <w:p>
      <w:pPr>
        <w:tabs>
          <w:tab w:val="left" w:pos="709"/>
          <w:tab w:val="left" w:pos="851"/>
          <w:tab w:val="left" w:pos="8931"/>
        </w:tabs>
        <w:spacing w:line="360" w:lineRule="auto"/>
        <w:ind w:right="168" w:rightChars="80" w:firstLine="482" w:firstLineChars="200"/>
        <w:rPr>
          <w:rFonts w:ascii="楷体" w:hAnsi="楷体" w:eastAsia="楷体" w:cs="黑体"/>
          <w:b/>
          <w:kern w:val="0"/>
          <w:sz w:val="24"/>
          <w:szCs w:val="24"/>
        </w:rPr>
      </w:pPr>
      <w:r>
        <w:rPr>
          <w:rFonts w:hint="eastAsia" w:ascii="SimHei" w:hAnsi="SimHei" w:eastAsia="黑体" w:cs="黑体"/>
          <w:b/>
          <w:kern w:val="0"/>
          <w:sz w:val="24"/>
          <w:szCs w:val="24"/>
        </w:rPr>
        <w:t>（2）岗位序列</w:t>
      </w:r>
    </w:p>
    <w:p>
      <w:pPr>
        <w:tabs>
          <w:tab w:val="left" w:pos="709"/>
          <w:tab w:val="left" w:pos="851"/>
          <w:tab w:val="left" w:pos="8931"/>
        </w:tabs>
        <w:spacing w:line="360" w:lineRule="auto"/>
        <w:ind w:right="168" w:rightChars="80" w:firstLine="482" w:firstLineChars="200"/>
        <w:rPr>
          <w:rFonts w:ascii="楷体" w:hAnsi="楷体" w:eastAsia="楷体" w:cs="黑体"/>
          <w:b/>
          <w:kern w:val="0"/>
          <w:sz w:val="24"/>
          <w:szCs w:val="24"/>
        </w:rPr>
      </w:pPr>
      <w:r>
        <w:rPr>
          <w:rFonts w:hint="eastAsia" w:ascii="SimHei" w:hAnsi="SimHei" w:eastAsia="黑体" w:cs="黑体"/>
          <w:b/>
          <w:kern w:val="0"/>
          <w:sz w:val="24"/>
          <w:szCs w:val="24"/>
        </w:rPr>
        <w:t>职能序列类岗位</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涉及部门：行政人事部、财务部</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现有岗位：行政主管、人资主管、会计、出纳</w:t>
      </w:r>
    </w:p>
    <w:p>
      <w:pPr>
        <w:tabs>
          <w:tab w:val="left" w:pos="709"/>
          <w:tab w:val="left" w:pos="851"/>
          <w:tab w:val="left" w:pos="8931"/>
        </w:tabs>
        <w:spacing w:line="360" w:lineRule="auto"/>
        <w:ind w:right="168" w:rightChars="80" w:firstLine="482" w:firstLineChars="200"/>
        <w:rPr>
          <w:rFonts w:ascii="楷体" w:hAnsi="楷体" w:eastAsia="楷体" w:cs="黑体"/>
          <w:b/>
          <w:kern w:val="0"/>
          <w:sz w:val="24"/>
          <w:szCs w:val="24"/>
        </w:rPr>
      </w:pPr>
      <w:r>
        <w:rPr>
          <w:rFonts w:hint="eastAsia" w:ascii="SimHei" w:hAnsi="SimHei" w:eastAsia="黑体" w:cs="黑体"/>
          <w:b/>
          <w:kern w:val="0"/>
          <w:sz w:val="24"/>
          <w:szCs w:val="24"/>
        </w:rPr>
        <w:t>技术序列类岗位</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涉及部门：技术部（硬件小组、软件小组）</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现有岗位：开发工程师（包括软硬件）、助理工程师、技术员、技术助理</w:t>
      </w:r>
    </w:p>
    <w:p>
      <w:pPr>
        <w:tabs>
          <w:tab w:val="left" w:pos="709"/>
          <w:tab w:val="left" w:pos="851"/>
          <w:tab w:val="left" w:pos="8931"/>
        </w:tabs>
        <w:spacing w:line="360" w:lineRule="auto"/>
        <w:ind w:right="168" w:rightChars="80" w:firstLine="482" w:firstLineChars="200"/>
        <w:rPr>
          <w:rFonts w:ascii="楷体" w:hAnsi="楷体" w:eastAsia="楷体" w:cs="黑体"/>
          <w:b/>
          <w:kern w:val="0"/>
          <w:sz w:val="24"/>
          <w:szCs w:val="24"/>
        </w:rPr>
      </w:pPr>
      <w:r>
        <w:rPr>
          <w:rFonts w:hint="eastAsia" w:ascii="SimHei" w:hAnsi="SimHei" w:eastAsia="黑体" w:cs="黑体"/>
          <w:b/>
          <w:kern w:val="0"/>
          <w:sz w:val="24"/>
          <w:szCs w:val="24"/>
        </w:rPr>
        <w:t>销售序列类岗位</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涉及部门：销售部</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现有岗位：销售部经理、经理助理、销售代表、销售文案</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69" w:name="_2、各序列绩效评定方法"/>
      <w:bookmarkEnd w:id="69"/>
      <w:bookmarkStart w:id="70" w:name="_Toc407729193"/>
      <w:bookmarkStart w:id="71" w:name="_Toc408573190"/>
      <w:r>
        <w:rPr>
          <w:rFonts w:hint="eastAsia" w:ascii="SimHei" w:hAnsi="SimHei" w:eastAsia="黑体"/>
          <w:sz w:val="24"/>
          <w:szCs w:val="24"/>
        </w:rPr>
        <w:t>2、各序列绩效评定方法</w:t>
      </w:r>
      <w:bookmarkEnd w:id="70"/>
      <w:bookmarkEnd w:id="71"/>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（1）所有序列岗位的绩效考核均实行季度发放，绩效工资基数=工资总额*10%</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（2）所有序列岗位的季度绩效考核均与年度评定深入挂钩，重视日常工作表现的量化积累</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（3）所有序列岗位的季度绩效得分对应的绩效系数均采用下表：</w:t>
      </w:r>
    </w:p>
    <w:p>
      <w:pPr>
        <w:tabs>
          <w:tab w:val="left" w:pos="709"/>
          <w:tab w:val="left" w:pos="851"/>
          <w:tab w:val="left" w:pos="8931"/>
        </w:tabs>
        <w:ind w:right="168" w:rightChars="80"/>
        <w:rPr>
          <w:rFonts w:ascii="楷体" w:hAnsi="楷体" w:eastAsia="楷体"/>
          <w:sz w:val="24"/>
          <w:szCs w:val="24"/>
        </w:rPr>
      </w:pPr>
      <w:r>
        <w:rPr>
          <w:rFonts w:ascii="SimHei" w:hAnsi="SimHei" w:eastAsia="黑体"/>
          <w:sz w:val="24"/>
          <w:szCs w:val="24"/>
        </w:rPr>
      </w:r>
    </w:p>
    <w:tbl>
      <w:tblPr>
        <w:tblStyle w:val="28"/>
        <w:tblW w:w="6424" w:type="dxa"/>
        <w:jc w:val="center"/>
        <w:tblInd w:w="0" w:type="dxa"/>
        <w:tblLayout w:type="fixed"/>
        <w:tblCellMar>
          <w:top w:w="0" w:type="dxa"/>
          <w:left w:w="108" w:type="dxa"/>
          <w:bottom w:w="0" w:type="dxa"/>
          <w:right w:w="108" w:type="dxa"/>
        </w:tblCellMar>
      </w:tblPr>
      <w:tblGrid>
        <w:gridCol w:w="2164"/>
        <w:gridCol w:w="2020"/>
        <w:gridCol w:w="2240"/>
      </w:tblGrid>
      <w:tr>
        <w:tblPrEx>
          <w:tblLayout w:type="fixed"/>
          <w:tblCellMar>
            <w:top w:w="0" w:type="dxa"/>
            <w:left w:w="108" w:type="dxa"/>
            <w:bottom w:w="0" w:type="dxa"/>
            <w:right w:w="108" w:type="dxa"/>
          </w:tblCellMar>
        </w:tblPrEx>
        <w:trPr>
          <w:trHeight w:val="540" w:hRule="atLeast"/>
          <w:jc w:val="center"/>
        </w:trPr>
        <w:tc>
          <w:tcPr>
            <w:tcW w:w="216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周期</w:t>
            </w:r>
          </w:p>
        </w:tc>
        <w:tc>
          <w:tcPr>
            <w:tcW w:w="2020" w:type="dxa"/>
            <w:tcBorders>
              <w:top w:val="single" w:color="auto" w:sz="4" w:space="0"/>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绩效得分</w:t>
            </w:r>
          </w:p>
        </w:tc>
        <w:tc>
          <w:tcPr>
            <w:tcW w:w="2240" w:type="dxa"/>
            <w:tcBorders>
              <w:top w:val="single" w:color="auto" w:sz="4" w:space="0"/>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个人绩效系数</w:t>
            </w:r>
          </w:p>
        </w:tc>
      </w:tr>
      <w:tr>
        <w:tblPrEx>
          <w:tblLayout w:type="fixed"/>
          <w:tblCellMar>
            <w:top w:w="0" w:type="dxa"/>
            <w:left w:w="108" w:type="dxa"/>
            <w:bottom w:w="0" w:type="dxa"/>
            <w:right w:w="108" w:type="dxa"/>
          </w:tblCellMar>
        </w:tblPrEx>
        <w:trPr>
          <w:trHeight w:val="540" w:hRule="atLeast"/>
          <w:jc w:val="center"/>
        </w:trPr>
        <w:tc>
          <w:tcPr>
            <w:tcW w:w="2164"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20XX年第一季度</w:t>
            </w:r>
          </w:p>
        </w:tc>
        <w:tc>
          <w:tcPr>
            <w:tcW w:w="202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59分以下</w:t>
            </w:r>
          </w:p>
        </w:tc>
        <w:tc>
          <w:tcPr>
            <w:tcW w:w="224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0.0</w:t>
            </w:r>
          </w:p>
        </w:tc>
      </w:tr>
      <w:tr>
        <w:tblPrEx>
          <w:tblLayout w:type="fixed"/>
          <w:tblCellMar>
            <w:top w:w="0" w:type="dxa"/>
            <w:left w:w="108" w:type="dxa"/>
            <w:bottom w:w="0" w:type="dxa"/>
            <w:right w:w="108" w:type="dxa"/>
          </w:tblCellMar>
        </w:tblPrEx>
        <w:trPr>
          <w:trHeight w:val="540" w:hRule="atLeast"/>
          <w:jc w:val="center"/>
        </w:trPr>
        <w:tc>
          <w:tcPr>
            <w:tcW w:w="2164" w:type="dxa"/>
            <w:vMerge w:val="continue"/>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60-69分</w:t>
            </w:r>
          </w:p>
        </w:tc>
        <w:tc>
          <w:tcPr>
            <w:tcW w:w="224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0.6</w:t>
            </w:r>
          </w:p>
        </w:tc>
      </w:tr>
      <w:tr>
        <w:tblPrEx>
          <w:tblLayout w:type="fixed"/>
          <w:tblCellMar>
            <w:top w:w="0" w:type="dxa"/>
            <w:left w:w="108" w:type="dxa"/>
            <w:bottom w:w="0" w:type="dxa"/>
            <w:right w:w="108" w:type="dxa"/>
          </w:tblCellMar>
        </w:tblPrEx>
        <w:trPr>
          <w:trHeight w:val="540" w:hRule="atLeast"/>
          <w:jc w:val="center"/>
        </w:trPr>
        <w:tc>
          <w:tcPr>
            <w:tcW w:w="2164" w:type="dxa"/>
            <w:vMerge w:val="continue"/>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70-79分</w:t>
            </w:r>
          </w:p>
        </w:tc>
        <w:tc>
          <w:tcPr>
            <w:tcW w:w="224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0.7</w:t>
            </w:r>
          </w:p>
        </w:tc>
      </w:tr>
      <w:tr>
        <w:tblPrEx>
          <w:tblLayout w:type="fixed"/>
          <w:tblCellMar>
            <w:top w:w="0" w:type="dxa"/>
            <w:left w:w="108" w:type="dxa"/>
            <w:bottom w:w="0" w:type="dxa"/>
            <w:right w:w="108" w:type="dxa"/>
          </w:tblCellMar>
        </w:tblPrEx>
        <w:trPr>
          <w:trHeight w:val="540" w:hRule="atLeast"/>
          <w:jc w:val="center"/>
        </w:trPr>
        <w:tc>
          <w:tcPr>
            <w:tcW w:w="2164" w:type="dxa"/>
            <w:vMerge w:val="continue"/>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80-89分</w:t>
            </w:r>
          </w:p>
        </w:tc>
        <w:tc>
          <w:tcPr>
            <w:tcW w:w="224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0.8</w:t>
            </w:r>
          </w:p>
        </w:tc>
      </w:tr>
      <w:tr>
        <w:tblPrEx>
          <w:tblLayout w:type="fixed"/>
          <w:tblCellMar>
            <w:top w:w="0" w:type="dxa"/>
            <w:left w:w="108" w:type="dxa"/>
            <w:bottom w:w="0" w:type="dxa"/>
            <w:right w:w="108" w:type="dxa"/>
          </w:tblCellMar>
        </w:tblPrEx>
        <w:trPr>
          <w:trHeight w:val="540" w:hRule="atLeast"/>
          <w:jc w:val="center"/>
        </w:trPr>
        <w:tc>
          <w:tcPr>
            <w:tcW w:w="2164" w:type="dxa"/>
            <w:vMerge w:val="continue"/>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90-100分</w:t>
            </w:r>
          </w:p>
        </w:tc>
        <w:tc>
          <w:tcPr>
            <w:tcW w:w="224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1.0</w:t>
            </w:r>
          </w:p>
        </w:tc>
      </w:tr>
      <w:tr>
        <w:tblPrEx>
          <w:tblLayout w:type="fixed"/>
          <w:tblCellMar>
            <w:top w:w="0" w:type="dxa"/>
            <w:left w:w="108" w:type="dxa"/>
            <w:bottom w:w="0" w:type="dxa"/>
            <w:right w:w="108" w:type="dxa"/>
          </w:tblCellMar>
        </w:tblPrEx>
        <w:trPr>
          <w:trHeight w:val="540" w:hRule="atLeast"/>
          <w:jc w:val="center"/>
        </w:trPr>
        <w:tc>
          <w:tcPr>
            <w:tcW w:w="2164" w:type="dxa"/>
            <w:vMerge w:val="continue"/>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101-110分</w:t>
            </w:r>
          </w:p>
        </w:tc>
        <w:tc>
          <w:tcPr>
            <w:tcW w:w="224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1.1</w:t>
            </w:r>
          </w:p>
        </w:tc>
      </w:tr>
      <w:tr>
        <w:tblPrEx>
          <w:tblLayout w:type="fixed"/>
          <w:tblCellMar>
            <w:top w:w="0" w:type="dxa"/>
            <w:left w:w="108" w:type="dxa"/>
            <w:bottom w:w="0" w:type="dxa"/>
            <w:right w:w="108" w:type="dxa"/>
          </w:tblCellMar>
        </w:tblPrEx>
        <w:trPr>
          <w:trHeight w:val="540" w:hRule="atLeast"/>
          <w:jc w:val="center"/>
        </w:trPr>
        <w:tc>
          <w:tcPr>
            <w:tcW w:w="2164" w:type="dxa"/>
            <w:vMerge w:val="continue"/>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111-120分</w:t>
            </w:r>
          </w:p>
        </w:tc>
        <w:tc>
          <w:tcPr>
            <w:tcW w:w="224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1.2</w:t>
            </w:r>
          </w:p>
        </w:tc>
      </w:tr>
    </w:tbl>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（4）所有序列岗位季度绩效工资=月工资总额*10%*3*个人绩效系数</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（5）职能序列岗位绩效工资</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职能岗位的工作较琐碎与繁杂，且重复性和服务性较强，主要考察岗位人员的工作能动性与质量效果，所以统一采取“月度考核，季度发放”的方式，同时采用“岗位工作量化“</w:t>
      </w:r>
      <w:r>
        <w:rPr>
          <w:rFonts w:ascii="SimHei" w:hAnsi="SimHei" w:eastAsia="黑体" w:cs="黑体"/>
          <w:kern w:val="0"/>
          <w:sz w:val="24"/>
          <w:szCs w:val="24"/>
        </w:rPr>
        <w:t>”</w:t>
      </w:r>
      <w:r>
        <w:rPr>
          <w:rFonts w:hint="eastAsia" w:ascii="SimHei" w:hAnsi="SimHei" w:eastAsia="黑体" w:cs="黑体"/>
          <w:kern w:val="0"/>
          <w:sz w:val="24"/>
          <w:szCs w:val="24"/>
        </w:rPr>
        <w:t>360度考评</w:t>
      </w:r>
      <w:r>
        <w:rPr>
          <w:rFonts w:ascii="SimHei" w:hAnsi="SimHei" w:eastAsia="黑体" w:cs="黑体"/>
          <w:kern w:val="0"/>
          <w:sz w:val="24"/>
          <w:szCs w:val="24"/>
        </w:rPr>
        <w:t>”</w:t>
      </w:r>
      <w:r>
        <w:rPr>
          <w:rFonts w:hint="eastAsia" w:ascii="SimHei" w:hAnsi="SimHei" w:eastAsia="黑体" w:cs="黑体"/>
          <w:kern w:val="0"/>
          <w:sz w:val="24"/>
          <w:szCs w:val="24"/>
        </w:rPr>
        <w:t>模式进行，具体如下：</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r>
      <w:r>
        <w:rPr>
          <w:rFonts w:hint="eastAsia" w:ascii="SimHei" w:hAnsi="SimHei" w:eastAsia="黑体" w:cs="黑体"/>
          <w:kern w:val="0"/>
          <w:sz w:val="24"/>
          <w:szCs w:val="24"/>
        </w:rPr>
        <w:t>岗位工作量化，即通过季度初公司下达的任务目标分解后，个人结合实际作出详细月工作计划，考评人员跟踪岗位完成工作质量与进度，从而进行量化表评分，每月一次。</w:t>
      </w:r>
    </w:p>
    <w:p>
      <w:pPr>
        <w:tabs>
          <w:tab w:val="left" w:pos="709"/>
          <w:tab w:val="left" w:pos="851"/>
          <w:tab w:val="left" w:pos="8931"/>
        </w:tabs>
        <w:spacing w:line="360" w:lineRule="auto"/>
        <w:ind w:right="168" w:rightChars="80" w:firstLine="482" w:firstLineChars="200"/>
        <w:rPr>
          <w:rFonts w:ascii="楷体" w:hAnsi="楷体" w:eastAsia="楷体" w:cs="黑体"/>
          <w:kern w:val="0"/>
          <w:sz w:val="24"/>
          <w:szCs w:val="24"/>
        </w:rPr>
      </w:pPr>
      <w:r>
        <w:rPr>
          <w:rFonts w:hint="eastAsia" w:ascii="SimHei" w:hAnsi="SimHei" w:eastAsia="黑体" w:cs="黑体"/>
          <w:b/>
          <w:kern w:val="0"/>
          <w:sz w:val="24"/>
          <w:szCs w:val="24"/>
        </w:rPr>
        <w:t>例如：</w:t>
      </w:r>
      <w:r>
        <w:rPr>
          <w:rFonts w:hint="eastAsia" w:ascii="SimHei" w:hAnsi="SimHei" w:eastAsia="黑体" w:cs="黑体"/>
          <w:kern w:val="0"/>
          <w:sz w:val="24"/>
          <w:szCs w:val="24"/>
        </w:rPr>
        <w:t>行政主管某月量化考核套表：</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表一：上交x月工作计划</w:t>
      </w:r>
    </w:p>
    <w:tbl>
      <w:tblPr>
        <w:tblStyle w:val="28"/>
        <w:tblW w:w="9930" w:type="dxa"/>
        <w:jc w:val="center"/>
        <w:tblInd w:w="0" w:type="dxa"/>
        <w:tblLayout w:type="fixed"/>
        <w:tblCellMar>
          <w:top w:w="0" w:type="dxa"/>
          <w:left w:w="108" w:type="dxa"/>
          <w:bottom w:w="0" w:type="dxa"/>
          <w:right w:w="108" w:type="dxa"/>
        </w:tblCellMar>
      </w:tblPr>
      <w:tblGrid>
        <w:gridCol w:w="2178"/>
        <w:gridCol w:w="4162"/>
        <w:gridCol w:w="1261"/>
        <w:gridCol w:w="753"/>
        <w:gridCol w:w="725"/>
        <w:gridCol w:w="851"/>
      </w:tblGrid>
      <w:tr>
        <w:tblPrEx>
          <w:tblLayout w:type="fixed"/>
          <w:tblCellMar>
            <w:top w:w="0" w:type="dxa"/>
            <w:left w:w="108" w:type="dxa"/>
            <w:bottom w:w="0" w:type="dxa"/>
            <w:right w:w="108" w:type="dxa"/>
          </w:tblCellMar>
        </w:tblPrEx>
        <w:trPr>
          <w:trHeight w:val="1522" w:hRule="exact"/>
          <w:jc w:val="center"/>
        </w:trPr>
        <w:tc>
          <w:tcPr>
            <w:tcW w:w="21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工作事项</w:t>
            </w:r>
          </w:p>
        </w:tc>
        <w:tc>
          <w:tcPr>
            <w:tcW w:w="4162"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主要内容</w:t>
            </w:r>
          </w:p>
        </w:tc>
        <w:tc>
          <w:tcPr>
            <w:tcW w:w="1261"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时间节点</w:t>
            </w:r>
          </w:p>
        </w:tc>
        <w:tc>
          <w:tcPr>
            <w:tcW w:w="753"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是否按时完成</w:t>
            </w:r>
          </w:p>
        </w:tc>
        <w:tc>
          <w:tcPr>
            <w:tcW w:w="725"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未完成原因</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具体情况描述</w:t>
            </w:r>
          </w:p>
        </w:tc>
      </w:tr>
      <w:tr>
        <w:tblPrEx>
          <w:tblLayout w:type="fixed"/>
          <w:tblCellMar>
            <w:top w:w="0" w:type="dxa"/>
            <w:left w:w="108" w:type="dxa"/>
            <w:bottom w:w="0" w:type="dxa"/>
            <w:right w:w="108" w:type="dxa"/>
          </w:tblCellMar>
        </w:tblPrEx>
        <w:trPr>
          <w:trHeight w:val="2092"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质量体系工作</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按照体系文件的要求，于12月月底之前收集整理管理评审输入信息，于1月份进行管理评审，形成管理评审决议，下发评审报告并制定改进措施。</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12月31日</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113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高新技术企业</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跟踪高新技术企业证书下发情况，关注包头市和高新区配套费事宜</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随时关注</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931"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防雷资格证书年检</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完成防雷资格证书的年检工作</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按上级要求</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1516"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优惠政策材料准备和申报</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关注各类上级单位发布的优惠政策或信息，判断是否符合要求，符合条件组织编写材料并按要求时间完成申报。</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随时</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88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公司网络、电话费用缴纳</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12月1日监督费用使用情况，保证正常使用</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12月1日</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88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防雷和安防资格培训</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随时关注XX气象学会网站发布的防雷资质考试的通知和XX安防协会网站发布的安防资质考试的通知,并报名参加培训和考试</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随时关注</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88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办公用品采买</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12月3日之前汇总各部门提交的物资采购申请，于5号之前完成办公用品的采买和发放工作。完成20XX年办公用品费用的统计。</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12月5日</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88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新增网站文章</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根据公司情况编辑公司新闻不少于2篇</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12月20日</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88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组织公司例会</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提前确定例会时间，并确保参会人员明确知晓会议时间和地点。负责组织与主持会议，保证会议正常有序进行，会议完成当日下班前形成会议纪要并发布签字，并于下次例会时汇报本次会议内容，不得有疏漏。</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按例会规定时间</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88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负责公司各类合同的评审流程跟踪、报销单据的审核</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评审内容：合同类型、合同金额、发货周期等，形成合同评审单，存档备案。</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日常工作</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88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证照管理</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组织做好公司各类证照、印鉴和介绍信的使用保管、快递收发收发和报刊收订分发工作</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日常工作</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88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固定资产统计</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对公司固定资产进行统计，更新固定资产台账</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12月10日</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88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组织员工出游</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计划于12月中旬组织员工出行活进行体育活动。</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12月20日</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88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车辆管理</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日常车辆管理，统计20XX年车辆油耗情况，统计车辆保险费用情况、</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12月31日</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88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统计快递费用</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统计12月份快递费用，并统计20XX年全年快递费用情况</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12月31日</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88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订票工作</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完成公司员工出差火车票、机票的订购工作，并完成20XX年全年订票情况统计</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12月31日</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88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外联工作</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配合开发区管委会、科技局、信息化局、工商局等上级单位做好外联工作</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随时</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88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办公室卫生</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每天监督值日情况，保证办公环境整洁</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每天</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880" w:hRule="exact"/>
          <w:jc w:val="center"/>
        </w:trPr>
        <w:tc>
          <w:tcPr>
            <w:tcW w:w="2178"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日常工作</w:t>
            </w:r>
          </w:p>
        </w:tc>
        <w:tc>
          <w:tcPr>
            <w:tcW w:w="416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宋体"/>
                <w:kern w:val="0"/>
                <w:sz w:val="24"/>
                <w:szCs w:val="24"/>
              </w:rPr>
              <w:t>订票、快递收发、报销审核、办公用品购买领用、用车管理、用章管理、档案整理归档、办公室卫生等日常工作</w:t>
            </w:r>
          </w:p>
        </w:tc>
        <w:tc>
          <w:tcPr>
            <w:tcW w:w="126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每天</w:t>
            </w:r>
          </w:p>
        </w:tc>
        <w:tc>
          <w:tcPr>
            <w:tcW w:w="753"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bl>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表二：行政主管关键任务考核表</w:t>
      </w:r>
    </w:p>
    <w:tbl>
      <w:tblPr>
        <w:tblStyle w:val="28"/>
        <w:tblW w:w="9833" w:type="dxa"/>
        <w:jc w:val="center"/>
        <w:tblInd w:w="0" w:type="dxa"/>
        <w:tblLayout w:type="fixed"/>
        <w:tblCellMar>
          <w:top w:w="0" w:type="dxa"/>
          <w:left w:w="108" w:type="dxa"/>
          <w:bottom w:w="0" w:type="dxa"/>
          <w:right w:w="108" w:type="dxa"/>
        </w:tblCellMar>
      </w:tblPr>
      <w:tblGrid>
        <w:gridCol w:w="3596"/>
        <w:gridCol w:w="3859"/>
        <w:gridCol w:w="625"/>
        <w:gridCol w:w="851"/>
        <w:gridCol w:w="902"/>
      </w:tblGrid>
      <w:tr>
        <w:tblPrEx>
          <w:tblLayout w:type="fixed"/>
          <w:tblCellMar>
            <w:top w:w="0" w:type="dxa"/>
            <w:left w:w="108" w:type="dxa"/>
            <w:bottom w:w="0" w:type="dxa"/>
            <w:right w:w="108" w:type="dxa"/>
          </w:tblCellMar>
        </w:tblPrEx>
        <w:trPr>
          <w:trHeight w:val="270" w:hRule="atLeast"/>
          <w:jc w:val="center"/>
        </w:trPr>
        <w:tc>
          <w:tcPr>
            <w:tcW w:w="35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主要考察任务</w:t>
            </w:r>
          </w:p>
        </w:tc>
        <w:tc>
          <w:tcPr>
            <w:tcW w:w="3859"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工作要求</w:t>
            </w:r>
          </w:p>
        </w:tc>
        <w:tc>
          <w:tcPr>
            <w:tcW w:w="625"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得分</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权重</w:t>
            </w:r>
          </w:p>
        </w:tc>
        <w:tc>
          <w:tcPr>
            <w:tcW w:w="902"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加权分</w:t>
            </w:r>
          </w:p>
        </w:tc>
      </w:tr>
      <w:tr>
        <w:tblPrEx>
          <w:tblLayout w:type="fixed"/>
          <w:tblCellMar>
            <w:top w:w="0" w:type="dxa"/>
            <w:left w:w="108" w:type="dxa"/>
            <w:bottom w:w="0" w:type="dxa"/>
            <w:right w:w="108" w:type="dxa"/>
          </w:tblCellMar>
        </w:tblPrEx>
        <w:trPr>
          <w:trHeight w:val="1620" w:hRule="atLeast"/>
          <w:jc w:val="center"/>
        </w:trPr>
        <w:tc>
          <w:tcPr>
            <w:tcW w:w="3596" w:type="dxa"/>
            <w:vMerge w:val="restart"/>
            <w:tcBorders>
              <w:top w:val="nil"/>
              <w:left w:val="single" w:color="auto" w:sz="4" w:space="0"/>
              <w:bottom w:val="single" w:color="000000"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b/>
                <w:bCs/>
                <w:kern w:val="0"/>
                <w:sz w:val="24"/>
                <w:szCs w:val="24"/>
              </w:rPr>
            </w:pPr>
            <w:r>
              <w:rPr>
                <w:rFonts w:hint="eastAsia" w:ascii="SimHei" w:hAnsi="SimHei" w:eastAsia="黑体" w:cs="宋体"/>
                <w:b/>
                <w:bCs/>
                <w:kern w:val="0"/>
                <w:sz w:val="24"/>
                <w:szCs w:val="24"/>
              </w:rPr>
              <w:t>完成12月工作计划与总结，工作计划完成率100%</w:t>
            </w:r>
            <w:r>
              <w:rPr>
                <w:rFonts w:hint="eastAsia" w:ascii="SimHei" w:hAnsi="SimHei" w:eastAsia="黑体" w:cs="宋体"/>
                <w:b/>
                <w:bCs/>
                <w:kern w:val="0"/>
                <w:sz w:val="24"/>
                <w:szCs w:val="24"/>
              </w:rPr>
              <w:br/>
            </w:r>
            <w:r>
              <w:rPr>
                <w:rFonts w:hint="eastAsia" w:ascii="SimHei" w:hAnsi="SimHei" w:eastAsia="黑体" w:cs="宋体"/>
                <w:b/>
                <w:bCs/>
                <w:kern w:val="0"/>
                <w:sz w:val="24"/>
                <w:szCs w:val="24"/>
              </w:rPr>
              <w:t>考察点：工作计划性执行力</w:t>
            </w:r>
          </w:p>
        </w:tc>
        <w:tc>
          <w:tcPr>
            <w:tcW w:w="385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11月30日上交12月计划，要求不得延误，而且详略得当，工作计划时间节点明确，主次分明，工作总结针对性强，问题切中要害，对日后工作改进有明显的合理化建议作用</w:t>
            </w:r>
          </w:p>
        </w:tc>
        <w:tc>
          <w:tcPr>
            <w:tcW w:w="625" w:type="dxa"/>
            <w:vMerge w:val="restart"/>
            <w:tcBorders>
              <w:top w:val="nil"/>
              <w:left w:val="single" w:color="auto" w:sz="4" w:space="0"/>
              <w:bottom w:val="single" w:color="000000"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vMerge w:val="restart"/>
            <w:tcBorders>
              <w:top w:val="nil"/>
              <w:left w:val="single" w:color="auto" w:sz="4" w:space="0"/>
              <w:bottom w:val="single" w:color="000000"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25%</w:t>
            </w:r>
          </w:p>
        </w:tc>
        <w:tc>
          <w:tcPr>
            <w:tcW w:w="902" w:type="dxa"/>
            <w:vMerge w:val="restart"/>
            <w:tcBorders>
              <w:top w:val="nil"/>
              <w:left w:val="single" w:color="auto" w:sz="4" w:space="0"/>
              <w:bottom w:val="single" w:color="000000"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675" w:hRule="atLeast"/>
          <w:jc w:val="center"/>
        </w:trPr>
        <w:tc>
          <w:tcPr>
            <w:tcW w:w="3596" w:type="dxa"/>
            <w:vMerge w:val="continue"/>
            <w:tcBorders>
              <w:top w:val="nil"/>
              <w:left w:val="single" w:color="auto" w:sz="4" w:space="0"/>
              <w:bottom w:val="single" w:color="000000"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b/>
                <w:bCs/>
                <w:kern w:val="0"/>
                <w:sz w:val="24"/>
                <w:szCs w:val="24"/>
              </w:rPr>
            </w:pPr>
          </w:p>
        </w:tc>
        <w:tc>
          <w:tcPr>
            <w:tcW w:w="385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充分发挥本岗位的职责要求和沟通协调能力，计划的工作保质保量按时完成。</w:t>
            </w:r>
          </w:p>
        </w:tc>
        <w:tc>
          <w:tcPr>
            <w:tcW w:w="625" w:type="dxa"/>
            <w:vMerge w:val="continue"/>
            <w:tcBorders>
              <w:top w:val="nil"/>
              <w:left w:val="single" w:color="auto" w:sz="4" w:space="0"/>
              <w:bottom w:val="single" w:color="000000"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851" w:type="dxa"/>
            <w:vMerge w:val="continue"/>
            <w:tcBorders>
              <w:top w:val="nil"/>
              <w:left w:val="single" w:color="auto" w:sz="4" w:space="0"/>
              <w:bottom w:val="single" w:color="000000"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902" w:type="dxa"/>
            <w:vMerge w:val="continue"/>
            <w:tcBorders>
              <w:top w:val="nil"/>
              <w:left w:val="single" w:color="auto" w:sz="4" w:space="0"/>
              <w:bottom w:val="single" w:color="000000"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810" w:hRule="atLeast"/>
          <w:jc w:val="center"/>
        </w:trPr>
        <w:tc>
          <w:tcPr>
            <w:tcW w:w="3596" w:type="dxa"/>
            <w:tcBorders>
              <w:top w:val="nil"/>
              <w:left w:val="single" w:color="auto" w:sz="4" w:space="0"/>
              <w:bottom w:val="nil"/>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b/>
                <w:bCs/>
                <w:kern w:val="0"/>
                <w:sz w:val="24"/>
                <w:szCs w:val="24"/>
              </w:rPr>
            </w:pPr>
            <w:r>
              <w:rPr>
                <w:rFonts w:hint="eastAsia" w:ascii="SimHei" w:hAnsi="SimHei" w:eastAsia="黑体" w:cs="宋体"/>
                <w:b/>
                <w:bCs/>
                <w:kern w:val="0"/>
                <w:sz w:val="24"/>
                <w:szCs w:val="24"/>
              </w:rPr>
              <w:t>保质保量完成常规行政后勤工作。</w:t>
            </w:r>
            <w:r>
              <w:rPr>
                <w:rFonts w:hint="eastAsia" w:ascii="SimHei" w:hAnsi="SimHei" w:eastAsia="黑体" w:cs="宋体"/>
                <w:b/>
                <w:bCs/>
                <w:kern w:val="0"/>
                <w:sz w:val="24"/>
                <w:szCs w:val="24"/>
              </w:rPr>
              <w:br/>
            </w:r>
            <w:r>
              <w:rPr>
                <w:rFonts w:hint="eastAsia" w:ascii="SimHei" w:hAnsi="SimHei" w:eastAsia="黑体" w:cs="宋体"/>
                <w:b/>
                <w:bCs/>
                <w:kern w:val="0"/>
                <w:sz w:val="24"/>
                <w:szCs w:val="24"/>
              </w:rPr>
              <w:t>考察点：责任心积极性执行力</w:t>
            </w:r>
          </w:p>
        </w:tc>
        <w:tc>
          <w:tcPr>
            <w:tcW w:w="385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完全按照岗位说明书规定的常规工作以及工作流程执行，过程跟踪记录完整无延误</w:t>
            </w:r>
          </w:p>
        </w:tc>
        <w:tc>
          <w:tcPr>
            <w:tcW w:w="625"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tcBorders>
              <w:top w:val="nil"/>
              <w:left w:val="nil"/>
              <w:bottom w:val="nil"/>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w:t>
            </w:r>
          </w:p>
        </w:tc>
        <w:tc>
          <w:tcPr>
            <w:tcW w:w="90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450" w:hRule="atLeast"/>
          <w:jc w:val="center"/>
        </w:trPr>
        <w:tc>
          <w:tcPr>
            <w:tcW w:w="35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b/>
                <w:bCs/>
                <w:kern w:val="0"/>
                <w:sz w:val="24"/>
                <w:szCs w:val="24"/>
              </w:rPr>
            </w:pPr>
            <w:r>
              <w:rPr>
                <w:rFonts w:hint="eastAsia" w:ascii="SimHei" w:hAnsi="SimHei" w:eastAsia="黑体" w:cs="宋体"/>
                <w:b/>
                <w:bCs/>
                <w:kern w:val="0"/>
                <w:sz w:val="24"/>
                <w:szCs w:val="24"/>
              </w:rPr>
              <w:t>收集各级行政主管单位发布的优惠政策并根据公司实际情况进行申报。保持与各行政事业单位、业务伙伴之间的沟通联系。</w:t>
            </w:r>
            <w:r>
              <w:rPr>
                <w:rFonts w:hint="eastAsia" w:ascii="SimHei" w:hAnsi="SimHei" w:eastAsia="黑体" w:cs="宋体"/>
                <w:b/>
                <w:bCs/>
                <w:kern w:val="0"/>
                <w:sz w:val="24"/>
                <w:szCs w:val="24"/>
              </w:rPr>
              <w:br/>
            </w:r>
            <w:r>
              <w:rPr>
                <w:rFonts w:hint="eastAsia" w:ascii="SimHei" w:hAnsi="SimHei" w:eastAsia="黑体" w:cs="宋体"/>
                <w:b/>
                <w:bCs/>
                <w:kern w:val="0"/>
                <w:sz w:val="24"/>
                <w:szCs w:val="24"/>
              </w:rPr>
              <w:t>考察点：责任心积极性沟通协调力</w:t>
            </w:r>
          </w:p>
        </w:tc>
        <w:tc>
          <w:tcPr>
            <w:tcW w:w="385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按照上级要求及时收集和接收相应主管单位发布的项目政策</w:t>
            </w:r>
          </w:p>
        </w:tc>
        <w:tc>
          <w:tcPr>
            <w:tcW w:w="625" w:type="dxa"/>
            <w:vMerge w:val="restart"/>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8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25%</w:t>
            </w:r>
          </w:p>
        </w:tc>
        <w:tc>
          <w:tcPr>
            <w:tcW w:w="902" w:type="dxa"/>
            <w:vMerge w:val="restart"/>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450" w:hRule="atLeast"/>
          <w:jc w:val="center"/>
        </w:trPr>
        <w:tc>
          <w:tcPr>
            <w:tcW w:w="3596" w:type="dxa"/>
            <w:vMerge w:val="continue"/>
            <w:tcBorders>
              <w:top w:val="single" w:color="auto" w:sz="4" w:space="0"/>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b/>
                <w:bCs/>
                <w:kern w:val="0"/>
                <w:sz w:val="24"/>
                <w:szCs w:val="24"/>
              </w:rPr>
            </w:pPr>
          </w:p>
        </w:tc>
        <w:tc>
          <w:tcPr>
            <w:tcW w:w="385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在要求时间内根据政策进行材料申报，且准确无误</w:t>
            </w:r>
          </w:p>
        </w:tc>
        <w:tc>
          <w:tcPr>
            <w:tcW w:w="625"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902"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675" w:hRule="atLeast"/>
          <w:jc w:val="center"/>
        </w:trPr>
        <w:tc>
          <w:tcPr>
            <w:tcW w:w="3596" w:type="dxa"/>
            <w:vMerge w:val="continue"/>
            <w:tcBorders>
              <w:top w:val="single" w:color="auto" w:sz="4" w:space="0"/>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b/>
                <w:bCs/>
                <w:kern w:val="0"/>
                <w:sz w:val="24"/>
                <w:szCs w:val="24"/>
              </w:rPr>
            </w:pPr>
          </w:p>
        </w:tc>
        <w:tc>
          <w:tcPr>
            <w:tcW w:w="385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在积极的努力工作下，保障项目申报成功审批通过，或按时拨款到位等</w:t>
            </w:r>
          </w:p>
        </w:tc>
        <w:tc>
          <w:tcPr>
            <w:tcW w:w="625"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902"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r>
    </w:tbl>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表三：工作执行记录表</w:t>
      </w:r>
    </w:p>
    <w:p>
      <w:pPr>
        <w:tabs>
          <w:tab w:val="left" w:pos="709"/>
          <w:tab w:val="left" w:pos="851"/>
          <w:tab w:val="left" w:pos="8931"/>
        </w:tabs>
        <w:spacing w:line="360" w:lineRule="auto"/>
        <w:ind w:right="168" w:rightChars="80"/>
        <w:jc w:val="center"/>
        <w:rPr>
          <w:rFonts w:ascii="楷体" w:hAnsi="楷体" w:eastAsia="楷体" w:cs="黑体"/>
          <w:kern w:val="0"/>
          <w:sz w:val="24"/>
          <w:szCs w:val="24"/>
        </w:rPr>
      </w:pPr>
      <w:r>
        <w:rPr>
          <w:rFonts w:hint="eastAsia" w:ascii="SimHei" w:hAnsi="SimHei" w:eastAsia="黑体" w:cs="黑体"/>
          <w:kern w:val="0"/>
          <w:sz w:val="24"/>
          <w:szCs w:val="24"/>
        </w:rPr>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表二根据公司目标分解同时参考表一进行关键任务考核，表三作为表二的延伸，作为表二评分的重要依据</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cs="黑体"/>
          <w:kern w:val="0"/>
          <w:sz w:val="24"/>
          <w:szCs w:val="24"/>
        </w:rPr>
      </w:r>
      <w:r>
        <w:rPr>
          <w:rFonts w:hint="eastAsia" w:ascii="SimHei" w:hAnsi="SimHei" w:eastAsia="黑体" w:cs="黑体"/>
          <w:kern w:val="0"/>
          <w:sz w:val="24"/>
          <w:szCs w:val="24"/>
        </w:rPr>
        <w:t>360度考评模式，</w:t>
      </w:r>
      <w:r>
        <w:rPr>
          <w:rFonts w:hint="eastAsia" w:ascii="SimHei" w:hAnsi="SimHei" w:eastAsia="黑体"/>
          <w:sz w:val="24"/>
          <w:szCs w:val="24"/>
        </w:rPr>
        <w:t>即通过被考核员工的上级、下级、平级（部门内外）、客户等进行综合评分，每季度一次。例如：行政主管的360度考评表</w:t>
      </w:r>
    </w:p>
    <w:tbl>
      <w:tblPr>
        <w:tblStyle w:val="28"/>
        <w:tblW w:w="9973" w:type="dxa"/>
        <w:jc w:val="center"/>
        <w:tblInd w:w="1006" w:type="dxa"/>
        <w:tblLayout w:type="fixed"/>
        <w:tblCellMar>
          <w:top w:w="0" w:type="dxa"/>
          <w:left w:w="108" w:type="dxa"/>
          <w:bottom w:w="0" w:type="dxa"/>
          <w:right w:w="108" w:type="dxa"/>
        </w:tblCellMar>
      </w:tblPr>
      <w:tblGrid>
        <w:gridCol w:w="1229"/>
        <w:gridCol w:w="866"/>
        <w:gridCol w:w="2238"/>
        <w:gridCol w:w="1893"/>
        <w:gridCol w:w="1629"/>
        <w:gridCol w:w="625"/>
        <w:gridCol w:w="868"/>
        <w:gridCol w:w="625"/>
      </w:tblGrid>
      <w:tr>
        <w:tblPrEx>
          <w:tblLayout w:type="fixed"/>
          <w:tblCellMar>
            <w:top w:w="0" w:type="dxa"/>
            <w:left w:w="108" w:type="dxa"/>
            <w:bottom w:w="0" w:type="dxa"/>
            <w:right w:w="108" w:type="dxa"/>
          </w:tblCellMar>
        </w:tblPrEx>
        <w:trPr>
          <w:trHeight w:val="640" w:hRule="exact"/>
          <w:jc w:val="center"/>
        </w:trPr>
        <w:tc>
          <w:tcPr>
            <w:tcW w:w="9973" w:type="dxa"/>
            <w:gridSpan w:val="8"/>
            <w:tcBorders>
              <w:top w:val="single" w:color="auto" w:sz="4" w:space="0"/>
              <w:left w:val="single" w:color="auto" w:sz="4" w:space="0"/>
              <w:bottom w:val="single" w:color="auto" w:sz="4" w:space="0"/>
              <w:right w:val="single" w:color="auto" w:sz="4" w:space="0"/>
            </w:tcBorders>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第一季度360度考评表-行政主管（此表为</w:t>
            </w:r>
            <w:r>
              <w:rPr>
                <w:rFonts w:hint="eastAsia" w:ascii="SimHei" w:hAnsi="SimHei" w:eastAsia="黑体" w:cs="宋体"/>
                <w:b/>
                <w:bCs/>
                <w:kern w:val="0"/>
                <w:sz w:val="24"/>
                <w:szCs w:val="24"/>
              </w:rPr>
            </w:r>
            <w:r>
              <w:rPr>
                <w:rFonts w:hint="eastAsia" w:ascii="SimHei" w:hAnsi="SimHei" w:eastAsia="黑体" w:cs="宋体"/>
                <w:b/>
                <w:bCs/>
                <w:kern w:val="0"/>
                <w:sz w:val="24"/>
                <w:szCs w:val="24"/>
              </w:rPr>
              <w:t>上级</w:t>
            </w:r>
            <w:r>
              <w:rPr>
                <w:rFonts w:hint="eastAsia" w:ascii="SimHei" w:hAnsi="SimHei" w:eastAsia="黑体" w:cs="宋体"/>
                <w:b/>
                <w:bCs/>
                <w:kern w:val="0"/>
                <w:sz w:val="24"/>
                <w:szCs w:val="24"/>
              </w:rPr>
            </w:r>
            <w:r>
              <w:rPr>
                <w:rFonts w:hint="eastAsia" w:ascii="SimHei" w:hAnsi="SimHei" w:eastAsia="黑体" w:cs="宋体"/>
                <w:b/>
                <w:bCs/>
                <w:kern w:val="0"/>
                <w:sz w:val="24"/>
                <w:szCs w:val="24"/>
              </w:rPr>
              <w:t>下级</w:t>
            </w:r>
            <w:r>
              <w:rPr>
                <w:rFonts w:hint="eastAsia" w:ascii="SimHei" w:hAnsi="SimHei" w:eastAsia="黑体" w:cs="宋体"/>
                <w:b/>
                <w:bCs/>
                <w:kern w:val="0"/>
                <w:sz w:val="24"/>
                <w:szCs w:val="24"/>
              </w:rPr>
            </w:r>
            <w:r>
              <w:rPr>
                <w:rFonts w:hint="eastAsia" w:ascii="SimHei" w:hAnsi="SimHei" w:eastAsia="黑体" w:cs="宋体"/>
                <w:b/>
                <w:bCs/>
                <w:kern w:val="0"/>
                <w:sz w:val="24"/>
                <w:szCs w:val="24"/>
              </w:rPr>
              <w:t>平级</w:t>
            </w:r>
            <w:r>
              <w:rPr>
                <w:rFonts w:hint="eastAsia" w:ascii="SimHei" w:hAnsi="SimHei" w:eastAsia="黑体" w:cs="宋体"/>
                <w:b/>
                <w:bCs/>
                <w:kern w:val="0"/>
                <w:sz w:val="24"/>
                <w:szCs w:val="24"/>
              </w:rPr>
            </w:r>
            <w:r>
              <w:rPr>
                <w:rFonts w:hint="eastAsia" w:ascii="SimHei" w:hAnsi="SimHei" w:eastAsia="黑体" w:cs="宋体"/>
                <w:b/>
                <w:bCs/>
                <w:kern w:val="0"/>
                <w:sz w:val="24"/>
                <w:szCs w:val="24"/>
              </w:rPr>
              <w:t>其他评分表）</w:t>
            </w:r>
          </w:p>
        </w:tc>
      </w:tr>
      <w:tr>
        <w:tblPrEx>
          <w:tblLayout w:type="fixed"/>
          <w:tblCellMar>
            <w:top w:w="0" w:type="dxa"/>
            <w:left w:w="108" w:type="dxa"/>
            <w:bottom w:w="0" w:type="dxa"/>
            <w:right w:w="108" w:type="dxa"/>
          </w:tblCellMar>
        </w:tblPrEx>
        <w:trPr>
          <w:trHeight w:val="704" w:hRule="exact"/>
          <w:jc w:val="center"/>
        </w:trPr>
        <w:tc>
          <w:tcPr>
            <w:tcW w:w="1229" w:type="dxa"/>
            <w:vMerge w:val="restart"/>
            <w:tcBorders>
              <w:top w:val="nil"/>
              <w:left w:val="single" w:color="auto" w:sz="4" w:space="0"/>
              <w:bottom w:val="single" w:color="auto" w:sz="4" w:space="0"/>
              <w:right w:val="single" w:color="auto" w:sz="4" w:space="0"/>
            </w:tcBorders>
            <w:shd w:val="clear" w:color="000000" w:fill="93CDDD"/>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考核</w:t>
            </w:r>
            <w:r>
              <w:rPr>
                <w:rFonts w:hint="eastAsia" w:ascii="SimHei" w:hAnsi="SimHei" w:eastAsia="黑体" w:cs="宋体"/>
                <w:b/>
                <w:kern w:val="0"/>
                <w:sz w:val="24"/>
                <w:szCs w:val="24"/>
              </w:rPr>
              <w:br/>
            </w:r>
            <w:r>
              <w:rPr>
                <w:rFonts w:hint="eastAsia" w:ascii="SimHei" w:hAnsi="SimHei" w:eastAsia="黑体" w:cs="宋体"/>
                <w:b/>
                <w:kern w:val="0"/>
                <w:sz w:val="24"/>
                <w:szCs w:val="24"/>
              </w:rPr>
              <w:t>项目</w:t>
            </w:r>
          </w:p>
        </w:tc>
        <w:tc>
          <w:tcPr>
            <w:tcW w:w="866" w:type="dxa"/>
            <w:vMerge w:val="restart"/>
            <w:tcBorders>
              <w:top w:val="nil"/>
              <w:left w:val="single" w:color="auto" w:sz="4" w:space="0"/>
              <w:bottom w:val="single" w:color="auto" w:sz="4" w:space="0"/>
              <w:right w:val="single" w:color="auto" w:sz="4" w:space="0"/>
            </w:tcBorders>
            <w:shd w:val="clear" w:color="000000" w:fill="93CDDD"/>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考核指标</w:t>
            </w:r>
          </w:p>
        </w:tc>
        <w:tc>
          <w:tcPr>
            <w:tcW w:w="5760" w:type="dxa"/>
            <w:gridSpan w:val="3"/>
            <w:tcBorders>
              <w:top w:val="single" w:color="auto" w:sz="4" w:space="0"/>
              <w:left w:val="nil"/>
              <w:bottom w:val="single" w:color="auto" w:sz="4" w:space="0"/>
              <w:right w:val="single" w:color="auto" w:sz="4" w:space="0"/>
            </w:tcBorders>
            <w:shd w:val="clear" w:color="000000" w:fill="93CDDD"/>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考核标准</w:t>
            </w:r>
          </w:p>
        </w:tc>
        <w:tc>
          <w:tcPr>
            <w:tcW w:w="625" w:type="dxa"/>
            <w:vMerge w:val="restart"/>
            <w:tcBorders>
              <w:top w:val="nil"/>
              <w:left w:val="single" w:color="auto" w:sz="4" w:space="0"/>
              <w:right w:val="single" w:color="auto" w:sz="4" w:space="0"/>
            </w:tcBorders>
            <w:shd w:val="clear" w:color="000000" w:fill="93CDDD"/>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得分</w:t>
            </w:r>
          </w:p>
        </w:tc>
        <w:tc>
          <w:tcPr>
            <w:tcW w:w="868" w:type="dxa"/>
            <w:vMerge w:val="restart"/>
            <w:tcBorders>
              <w:top w:val="nil"/>
              <w:left w:val="single" w:color="auto" w:sz="4" w:space="0"/>
              <w:bottom w:val="single" w:color="auto" w:sz="4" w:space="0"/>
              <w:right w:val="single" w:color="auto" w:sz="4" w:space="0"/>
            </w:tcBorders>
            <w:shd w:val="clear" w:color="000000" w:fill="93CDDD"/>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权重</w:t>
            </w:r>
          </w:p>
        </w:tc>
        <w:tc>
          <w:tcPr>
            <w:tcW w:w="625" w:type="dxa"/>
            <w:vMerge w:val="restart"/>
            <w:tcBorders>
              <w:top w:val="nil"/>
              <w:left w:val="nil"/>
              <w:right w:val="single" w:color="auto" w:sz="4" w:space="0"/>
            </w:tcBorders>
            <w:shd w:val="clear" w:color="000000" w:fill="93CDDD"/>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加权得分</w:t>
            </w:r>
          </w:p>
        </w:tc>
      </w:tr>
      <w:tr>
        <w:tblPrEx>
          <w:tblLayout w:type="fixed"/>
          <w:tblCellMar>
            <w:top w:w="0" w:type="dxa"/>
            <w:left w:w="108" w:type="dxa"/>
            <w:bottom w:w="0" w:type="dxa"/>
            <w:right w:w="108" w:type="dxa"/>
          </w:tblCellMar>
        </w:tblPrEx>
        <w:trPr>
          <w:trHeight w:val="732" w:hRule="exact"/>
          <w:jc w:val="center"/>
        </w:trPr>
        <w:tc>
          <w:tcPr>
            <w:tcW w:w="1229"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866"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2238" w:type="dxa"/>
            <w:tcBorders>
              <w:top w:val="nil"/>
              <w:left w:val="nil"/>
              <w:bottom w:val="single" w:color="auto" w:sz="4" w:space="0"/>
              <w:right w:val="single" w:color="auto" w:sz="4" w:space="0"/>
            </w:tcBorders>
            <w:shd w:val="clear" w:color="000000" w:fill="93CDDD"/>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优秀（80-100）</w:t>
            </w:r>
          </w:p>
        </w:tc>
        <w:tc>
          <w:tcPr>
            <w:tcW w:w="1893" w:type="dxa"/>
            <w:tcBorders>
              <w:top w:val="nil"/>
              <w:left w:val="nil"/>
              <w:bottom w:val="single" w:color="auto" w:sz="4" w:space="0"/>
              <w:right w:val="single" w:color="auto" w:sz="4" w:space="0"/>
            </w:tcBorders>
            <w:shd w:val="clear" w:color="000000" w:fill="93CDDD"/>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合格（50-79）</w:t>
            </w:r>
          </w:p>
        </w:tc>
        <w:tc>
          <w:tcPr>
            <w:tcW w:w="1629" w:type="dxa"/>
            <w:tcBorders>
              <w:top w:val="nil"/>
              <w:left w:val="nil"/>
              <w:bottom w:val="single" w:color="auto" w:sz="4" w:space="0"/>
              <w:right w:val="single" w:color="auto" w:sz="4" w:space="0"/>
            </w:tcBorders>
            <w:shd w:val="clear" w:color="000000" w:fill="93CDDD"/>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不合格（0-49）</w:t>
            </w:r>
          </w:p>
        </w:tc>
        <w:tc>
          <w:tcPr>
            <w:tcW w:w="625" w:type="dxa"/>
            <w:vMerge w:val="continue"/>
            <w:tcBorders>
              <w:left w:val="single" w:color="auto" w:sz="4" w:space="0"/>
              <w:bottom w:val="single" w:color="auto" w:sz="4" w:space="0"/>
              <w:right w:val="single" w:color="auto" w:sz="4" w:space="0"/>
            </w:tcBorders>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868"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625" w:type="dxa"/>
            <w:vMerge w:val="continue"/>
            <w:tcBorders>
              <w:left w:val="nil"/>
              <w:bottom w:val="single" w:color="auto" w:sz="4" w:space="0"/>
              <w:right w:val="single" w:color="auto" w:sz="4" w:space="0"/>
            </w:tcBorders>
            <w:shd w:val="clear" w:color="000000" w:fill="93CDDD"/>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r>
      <w:tr>
        <w:tblPrEx>
          <w:tblLayout w:type="fixed"/>
          <w:tblCellMar>
            <w:top w:w="0" w:type="dxa"/>
            <w:left w:w="108" w:type="dxa"/>
            <w:bottom w:w="0" w:type="dxa"/>
            <w:right w:w="108" w:type="dxa"/>
          </w:tblCellMar>
        </w:tblPrEx>
        <w:trPr>
          <w:trHeight w:val="1457" w:hRule="exact"/>
          <w:jc w:val="center"/>
        </w:trPr>
        <w:tc>
          <w:tcPr>
            <w:tcW w:w="1229" w:type="dxa"/>
            <w:vMerge w:val="restart"/>
            <w:tcBorders>
              <w:top w:val="nil"/>
              <w:left w:val="single" w:color="auto" w:sz="4" w:space="0"/>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工作态度（40%）</w:t>
            </w:r>
          </w:p>
        </w:tc>
        <w:tc>
          <w:tcPr>
            <w:tcW w:w="866" w:type="dxa"/>
            <w:tcBorders>
              <w:top w:val="nil"/>
              <w:left w:val="nil"/>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忠诚度/责任心</w:t>
            </w:r>
          </w:p>
        </w:tc>
        <w:tc>
          <w:tcPr>
            <w:tcW w:w="2238"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对公司忠诚，维护公司整体形象，对于听到或看到不利于公司的情况能够及时做出有效的解释；工作一丝不苟，勇于承担上司赋予的责任，除了做好自己的本职工作外，还主动承担公司内部额外的工作</w:t>
            </w:r>
          </w:p>
        </w:tc>
        <w:tc>
          <w:tcPr>
            <w:tcW w:w="1893"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对公司忠诚，维护公司整体形象；工作勤奋，责任心较强，基本能完成日常工作，自觉地完成工作任务且对自己的行为负责</w:t>
            </w:r>
          </w:p>
        </w:tc>
        <w:tc>
          <w:tcPr>
            <w:tcW w:w="1629"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对公司不忠诚，常发表不利于公司的言论，造谣生事工作敷衍、马虎、责任不强，工作马虎，不能保质、保量地完成工作任务且工作态度极不认真</w:t>
            </w:r>
          </w:p>
        </w:tc>
        <w:tc>
          <w:tcPr>
            <w:tcW w:w="625" w:type="dxa"/>
            <w:tcBorders>
              <w:top w:val="single" w:color="auto" w:sz="4" w:space="0"/>
              <w:left w:val="nil"/>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868" w:type="dxa"/>
            <w:tcBorders>
              <w:top w:val="single" w:color="auto" w:sz="4" w:space="0"/>
              <w:left w:val="single" w:color="auto" w:sz="4" w:space="0"/>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5%</w:t>
            </w:r>
          </w:p>
        </w:tc>
        <w:tc>
          <w:tcPr>
            <w:tcW w:w="625" w:type="dxa"/>
            <w:tcBorders>
              <w:top w:val="single" w:color="auto" w:sz="4" w:space="0"/>
              <w:left w:val="single" w:color="auto" w:sz="4" w:space="0"/>
              <w:bottom w:val="single" w:color="auto" w:sz="4" w:space="0"/>
              <w:right w:val="single" w:color="auto" w:sz="4" w:space="0"/>
            </w:tcBorders>
            <w:shd w:val="clear" w:color="000000" w:fill="FCD5B4"/>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 xml:space="preserve">　</w:t>
            </w:r>
          </w:p>
        </w:tc>
      </w:tr>
      <w:tr>
        <w:tblPrEx>
          <w:tblLayout w:type="fixed"/>
          <w:tblCellMar>
            <w:top w:w="0" w:type="dxa"/>
            <w:left w:w="108" w:type="dxa"/>
            <w:bottom w:w="0" w:type="dxa"/>
            <w:right w:w="108" w:type="dxa"/>
          </w:tblCellMar>
        </w:tblPrEx>
        <w:trPr>
          <w:trHeight w:val="1457" w:hRule="exact"/>
          <w:jc w:val="center"/>
        </w:trPr>
        <w:tc>
          <w:tcPr>
            <w:tcW w:w="1229"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866" w:type="dxa"/>
            <w:tcBorders>
              <w:top w:val="nil"/>
              <w:left w:val="nil"/>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纪律性</w:t>
            </w:r>
          </w:p>
        </w:tc>
        <w:tc>
          <w:tcPr>
            <w:tcW w:w="2238"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全勤（季度考勤评分）、无违纪现象，没有处罚、严格遵守公司各项规章制度</w:t>
            </w:r>
          </w:p>
        </w:tc>
        <w:tc>
          <w:tcPr>
            <w:tcW w:w="1893"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无违纪行为、能够遵守公司各项规章制度，偶尔请假或迟到，有1次书面警告</w:t>
            </w:r>
          </w:p>
        </w:tc>
        <w:tc>
          <w:tcPr>
            <w:tcW w:w="1629"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经常有请假、迟到、早退等处罚，不遵守公司各项规章制度、有2次以上书面警告</w:t>
            </w:r>
          </w:p>
        </w:tc>
        <w:tc>
          <w:tcPr>
            <w:tcW w:w="625" w:type="dxa"/>
            <w:tcBorders>
              <w:top w:val="single" w:color="auto" w:sz="4" w:space="0"/>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868" w:type="dxa"/>
            <w:tcBorders>
              <w:top w:val="single" w:color="auto" w:sz="4" w:space="0"/>
              <w:left w:val="single" w:color="auto" w:sz="4" w:space="0"/>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5%</w:t>
            </w:r>
          </w:p>
        </w:tc>
        <w:tc>
          <w:tcPr>
            <w:tcW w:w="625" w:type="dxa"/>
            <w:tcBorders>
              <w:top w:val="single" w:color="auto" w:sz="4" w:space="0"/>
              <w:left w:val="single" w:color="auto" w:sz="4" w:space="0"/>
              <w:bottom w:val="single" w:color="auto" w:sz="4" w:space="0"/>
              <w:right w:val="single" w:color="auto" w:sz="4" w:space="0"/>
            </w:tcBorders>
            <w:shd w:val="clear" w:color="000000" w:fill="FCD5B4"/>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 xml:space="preserve">　</w:t>
            </w:r>
          </w:p>
        </w:tc>
      </w:tr>
      <w:tr>
        <w:tblPrEx>
          <w:tblLayout w:type="fixed"/>
          <w:tblCellMar>
            <w:top w:w="0" w:type="dxa"/>
            <w:left w:w="108" w:type="dxa"/>
            <w:bottom w:w="0" w:type="dxa"/>
            <w:right w:w="108" w:type="dxa"/>
          </w:tblCellMar>
        </w:tblPrEx>
        <w:trPr>
          <w:trHeight w:val="1457" w:hRule="exact"/>
          <w:jc w:val="center"/>
        </w:trPr>
        <w:tc>
          <w:tcPr>
            <w:tcW w:w="1229"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866" w:type="dxa"/>
            <w:tcBorders>
              <w:top w:val="nil"/>
              <w:left w:val="nil"/>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积极主动性/执行力</w:t>
            </w:r>
          </w:p>
        </w:tc>
        <w:tc>
          <w:tcPr>
            <w:tcW w:w="2238"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工作热情，积极主动，能够积极主动地开展工作，完成分内分外工作；无条件服从领导安排，并有效的配合领导完成各项工作</w:t>
            </w:r>
          </w:p>
        </w:tc>
        <w:tc>
          <w:tcPr>
            <w:tcW w:w="1893"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工作较主动，基本能主动完成本职工作；虽然心存不满但仍能完成领导所分配原任务</w:t>
            </w:r>
          </w:p>
        </w:tc>
        <w:tc>
          <w:tcPr>
            <w:tcW w:w="1629"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工作被动，懈怠，不能按时按量完成领导分配的任务</w:t>
            </w:r>
          </w:p>
        </w:tc>
        <w:tc>
          <w:tcPr>
            <w:tcW w:w="625" w:type="dxa"/>
            <w:tcBorders>
              <w:top w:val="single" w:color="auto" w:sz="4" w:space="0"/>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868" w:type="dxa"/>
            <w:tcBorders>
              <w:top w:val="single" w:color="auto" w:sz="4" w:space="0"/>
              <w:left w:val="single" w:color="auto" w:sz="4" w:space="0"/>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20%</w:t>
            </w:r>
          </w:p>
        </w:tc>
        <w:tc>
          <w:tcPr>
            <w:tcW w:w="625" w:type="dxa"/>
            <w:tcBorders>
              <w:top w:val="single" w:color="auto" w:sz="4" w:space="0"/>
              <w:left w:val="single" w:color="auto" w:sz="4" w:space="0"/>
              <w:bottom w:val="single" w:color="auto" w:sz="4" w:space="0"/>
              <w:right w:val="single" w:color="auto" w:sz="4" w:space="0"/>
            </w:tcBorders>
            <w:shd w:val="clear" w:color="000000" w:fill="FCD5B4"/>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 xml:space="preserve">　</w:t>
            </w:r>
          </w:p>
        </w:tc>
      </w:tr>
      <w:tr>
        <w:tblPrEx>
          <w:tblLayout w:type="fixed"/>
          <w:tblCellMar>
            <w:top w:w="0" w:type="dxa"/>
            <w:left w:w="108" w:type="dxa"/>
            <w:bottom w:w="0" w:type="dxa"/>
            <w:right w:w="108" w:type="dxa"/>
          </w:tblCellMar>
        </w:tblPrEx>
        <w:trPr>
          <w:trHeight w:val="1457" w:hRule="exact"/>
          <w:jc w:val="center"/>
        </w:trPr>
        <w:tc>
          <w:tcPr>
            <w:tcW w:w="1229"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866" w:type="dxa"/>
            <w:tcBorders>
              <w:top w:val="nil"/>
              <w:left w:val="nil"/>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团队意识/配合度</w:t>
            </w:r>
          </w:p>
        </w:tc>
        <w:tc>
          <w:tcPr>
            <w:tcW w:w="2238"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顾全大局，工作中能够积极主动配合团队工作乐于助人，个人利益服从集体利益。</w:t>
            </w:r>
          </w:p>
        </w:tc>
        <w:tc>
          <w:tcPr>
            <w:tcW w:w="1893"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比较计较个人得失，但服从规定，愿意配合，需要监督</w:t>
            </w:r>
          </w:p>
        </w:tc>
        <w:tc>
          <w:tcPr>
            <w:tcW w:w="1629"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不积极配合团队工作，因个人原因而影响整个团队工作</w:t>
            </w:r>
          </w:p>
        </w:tc>
        <w:tc>
          <w:tcPr>
            <w:tcW w:w="625" w:type="dxa"/>
            <w:tcBorders>
              <w:top w:val="single" w:color="auto" w:sz="4" w:space="0"/>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868" w:type="dxa"/>
            <w:tcBorders>
              <w:top w:val="single" w:color="auto" w:sz="4" w:space="0"/>
              <w:left w:val="single" w:color="auto" w:sz="4" w:space="0"/>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10%</w:t>
            </w:r>
          </w:p>
        </w:tc>
        <w:tc>
          <w:tcPr>
            <w:tcW w:w="625" w:type="dxa"/>
            <w:tcBorders>
              <w:top w:val="single" w:color="auto" w:sz="4" w:space="0"/>
              <w:left w:val="single" w:color="auto" w:sz="4" w:space="0"/>
              <w:bottom w:val="single" w:color="auto" w:sz="4" w:space="0"/>
              <w:right w:val="single" w:color="auto" w:sz="4" w:space="0"/>
            </w:tcBorders>
            <w:shd w:val="clear" w:color="000000" w:fill="FCD5B4"/>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 xml:space="preserve">　</w:t>
            </w:r>
          </w:p>
        </w:tc>
      </w:tr>
      <w:tr>
        <w:tblPrEx>
          <w:tblLayout w:type="fixed"/>
          <w:tblCellMar>
            <w:top w:w="0" w:type="dxa"/>
            <w:left w:w="108" w:type="dxa"/>
            <w:bottom w:w="0" w:type="dxa"/>
            <w:right w:w="108" w:type="dxa"/>
          </w:tblCellMar>
        </w:tblPrEx>
        <w:trPr>
          <w:trHeight w:val="1457" w:hRule="exact"/>
          <w:jc w:val="center"/>
        </w:trPr>
        <w:tc>
          <w:tcPr>
            <w:tcW w:w="1229" w:type="dxa"/>
            <w:vMerge w:val="restart"/>
            <w:tcBorders>
              <w:top w:val="nil"/>
              <w:left w:val="single" w:color="auto" w:sz="4" w:space="0"/>
              <w:bottom w:val="single" w:color="auto" w:sz="4" w:space="0"/>
              <w:right w:val="single" w:color="auto" w:sz="4" w:space="0"/>
            </w:tcBorders>
            <w:shd w:val="clear" w:color="000000" w:fill="C2D69A"/>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综合能力（60%）</w:t>
            </w:r>
          </w:p>
        </w:tc>
        <w:tc>
          <w:tcPr>
            <w:tcW w:w="866" w:type="dxa"/>
            <w:tcBorders>
              <w:top w:val="nil"/>
              <w:left w:val="nil"/>
              <w:bottom w:val="single" w:color="auto" w:sz="4" w:space="0"/>
              <w:right w:val="single" w:color="auto" w:sz="4" w:space="0"/>
            </w:tcBorders>
            <w:shd w:val="clear" w:color="000000" w:fill="C2D69A"/>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理解、分析判断能力</w:t>
            </w:r>
          </w:p>
        </w:tc>
        <w:tc>
          <w:tcPr>
            <w:tcW w:w="2238" w:type="dxa"/>
            <w:tcBorders>
              <w:top w:val="nil"/>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能迅速掌握分配的工作和新知识，理解深刻；分析判断能力强，能迅速的对客观环境做出较为正确的判断</w:t>
            </w:r>
          </w:p>
        </w:tc>
        <w:tc>
          <w:tcPr>
            <w:tcW w:w="1893" w:type="dxa"/>
            <w:tcBorders>
              <w:top w:val="nil"/>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能够掌握分配的工作和新知识；分析判断能力较强，能对复杂的问题进行分析和判断，但不能灵活的运用到实际工作中</w:t>
            </w:r>
          </w:p>
        </w:tc>
        <w:tc>
          <w:tcPr>
            <w:tcW w:w="1629" w:type="dxa"/>
            <w:tcBorders>
              <w:top w:val="nil"/>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对分配的工作和新知识掌握慢，不得要领；分析判断能力较弱，不能及时的做出正确的分析与判断</w:t>
            </w:r>
          </w:p>
        </w:tc>
        <w:tc>
          <w:tcPr>
            <w:tcW w:w="625" w:type="dxa"/>
            <w:tcBorders>
              <w:top w:val="single" w:color="auto" w:sz="4" w:space="0"/>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868" w:type="dxa"/>
            <w:tcBorders>
              <w:top w:val="single" w:color="auto" w:sz="4" w:space="0"/>
              <w:left w:val="single" w:color="auto" w:sz="4" w:space="0"/>
              <w:bottom w:val="single" w:color="auto" w:sz="4" w:space="0"/>
              <w:right w:val="single" w:color="auto" w:sz="4" w:space="0"/>
            </w:tcBorders>
            <w:shd w:val="clear" w:color="000000" w:fill="C2D69A"/>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20%</w:t>
            </w:r>
          </w:p>
        </w:tc>
        <w:tc>
          <w:tcPr>
            <w:tcW w:w="625" w:type="dxa"/>
            <w:tcBorders>
              <w:top w:val="single" w:color="auto" w:sz="4" w:space="0"/>
              <w:left w:val="single" w:color="auto" w:sz="4" w:space="0"/>
              <w:bottom w:val="single" w:color="auto" w:sz="4" w:space="0"/>
              <w:right w:val="single" w:color="auto" w:sz="4" w:space="0"/>
            </w:tcBorders>
            <w:shd w:val="clear" w:color="000000" w:fill="C2D69A"/>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 xml:space="preserve">　</w:t>
            </w:r>
          </w:p>
        </w:tc>
      </w:tr>
      <w:tr>
        <w:tblPrEx>
          <w:tblLayout w:type="fixed"/>
          <w:tblCellMar>
            <w:top w:w="0" w:type="dxa"/>
            <w:left w:w="108" w:type="dxa"/>
            <w:bottom w:w="0" w:type="dxa"/>
            <w:right w:w="108" w:type="dxa"/>
          </w:tblCellMar>
        </w:tblPrEx>
        <w:trPr>
          <w:trHeight w:val="1457" w:hRule="exact"/>
          <w:jc w:val="center"/>
        </w:trPr>
        <w:tc>
          <w:tcPr>
            <w:tcW w:w="1229"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866" w:type="dxa"/>
            <w:tcBorders>
              <w:top w:val="nil"/>
              <w:left w:val="nil"/>
              <w:bottom w:val="single" w:color="auto" w:sz="4" w:space="0"/>
              <w:right w:val="single" w:color="auto" w:sz="4" w:space="0"/>
            </w:tcBorders>
            <w:shd w:val="clear" w:color="000000" w:fill="C2D69A"/>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应变和沟通能力</w:t>
            </w:r>
          </w:p>
        </w:tc>
        <w:tc>
          <w:tcPr>
            <w:tcW w:w="2238" w:type="dxa"/>
            <w:tcBorders>
              <w:top w:val="nil"/>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很灵活，应对客观环境的变化，能灵活的采取相应的措施，对提出的问题能快速反应处理能灵活运用多种谈话技巧和他人进行，能有效地化解矛盾</w:t>
            </w:r>
          </w:p>
        </w:tc>
        <w:tc>
          <w:tcPr>
            <w:tcW w:w="1893" w:type="dxa"/>
            <w:tcBorders>
              <w:top w:val="nil"/>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较强，工作中遇到的突发事件基本上都可以处理，但有时也有失误，对个别问题能处理，有一定的应变能力。有一定的说服能力，但问题依然得不到解决</w:t>
            </w:r>
          </w:p>
        </w:tc>
        <w:tc>
          <w:tcPr>
            <w:tcW w:w="1629" w:type="dxa"/>
            <w:tcBorders>
              <w:top w:val="nil"/>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缺少变通能力，反应不灵活不能清晰的表达自己的思想和想法</w:t>
            </w:r>
          </w:p>
        </w:tc>
        <w:tc>
          <w:tcPr>
            <w:tcW w:w="625" w:type="dxa"/>
            <w:tcBorders>
              <w:top w:val="single" w:color="auto" w:sz="4" w:space="0"/>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868" w:type="dxa"/>
            <w:tcBorders>
              <w:top w:val="single" w:color="auto" w:sz="4" w:space="0"/>
              <w:left w:val="single" w:color="auto" w:sz="4" w:space="0"/>
              <w:bottom w:val="single" w:color="auto" w:sz="4" w:space="0"/>
              <w:right w:val="single" w:color="auto" w:sz="4" w:space="0"/>
            </w:tcBorders>
            <w:shd w:val="clear" w:color="000000" w:fill="C2D69A"/>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40%</w:t>
            </w:r>
          </w:p>
        </w:tc>
        <w:tc>
          <w:tcPr>
            <w:tcW w:w="625" w:type="dxa"/>
            <w:tcBorders>
              <w:top w:val="single" w:color="auto" w:sz="4" w:space="0"/>
              <w:left w:val="single" w:color="auto" w:sz="4" w:space="0"/>
              <w:bottom w:val="single" w:color="auto" w:sz="4" w:space="0"/>
              <w:right w:val="single" w:color="auto" w:sz="4" w:space="0"/>
            </w:tcBorders>
            <w:shd w:val="clear" w:color="000000" w:fill="C2D69A"/>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 xml:space="preserve">　</w:t>
            </w:r>
          </w:p>
        </w:tc>
      </w:tr>
      <w:tr>
        <w:tblPrEx>
          <w:tblLayout w:type="fixed"/>
          <w:tblCellMar>
            <w:top w:w="0" w:type="dxa"/>
            <w:left w:w="108" w:type="dxa"/>
            <w:bottom w:w="0" w:type="dxa"/>
            <w:right w:w="108" w:type="dxa"/>
          </w:tblCellMar>
        </w:tblPrEx>
        <w:trPr>
          <w:trHeight w:val="1457" w:hRule="exact"/>
          <w:jc w:val="center"/>
        </w:trPr>
        <w:tc>
          <w:tcPr>
            <w:tcW w:w="785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合计</w:t>
            </w:r>
          </w:p>
        </w:tc>
        <w:tc>
          <w:tcPr>
            <w:tcW w:w="625" w:type="dxa"/>
            <w:tcBorders>
              <w:top w:val="single" w:color="auto" w:sz="4" w:space="0"/>
              <w:left w:val="nil"/>
              <w:bottom w:val="single" w:color="auto" w:sz="4" w:space="0"/>
              <w:right w:val="single" w:color="auto" w:sz="4" w:space="0"/>
            </w:tcBorders>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100%</w:t>
            </w:r>
          </w:p>
        </w:tc>
        <w:tc>
          <w:tcPr>
            <w:tcW w:w="625"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kern w:val="0"/>
                <w:sz w:val="24"/>
                <w:szCs w:val="24"/>
              </w:rPr>
            </w:pPr>
            <w:r>
              <w:rPr>
                <w:rFonts w:hint="eastAsia" w:ascii="SimHei" w:hAnsi="SimHei" w:eastAsia="黑体" w:cs="宋体"/>
                <w:b/>
                <w:kern w:val="0"/>
                <w:sz w:val="24"/>
                <w:szCs w:val="24"/>
              </w:rPr>
              <w:t xml:space="preserve">　</w:t>
            </w:r>
          </w:p>
        </w:tc>
      </w:tr>
    </w:tbl>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完成后，将工作量化表以平均权重汇总为季度分数，占比80%，360度考评占比20%，加权后得季度绩效总分，按照对应系数表得出个人绩效系数，继而测算得出季度绩效工资。</w:t>
      </w:r>
    </w:p>
    <w:p>
      <w:pPr>
        <w:tabs>
          <w:tab w:val="left" w:pos="709"/>
          <w:tab w:val="left" w:pos="851"/>
          <w:tab w:val="left" w:pos="8931"/>
        </w:tabs>
        <w:spacing w:line="360" w:lineRule="auto"/>
        <w:ind w:right="168" w:rightChars="80" w:firstLine="482" w:firstLineChars="200"/>
        <w:rPr>
          <w:rFonts w:ascii="楷体" w:hAnsi="楷体" w:eastAsia="楷体"/>
          <w:b/>
          <w:sz w:val="24"/>
          <w:szCs w:val="24"/>
        </w:rPr>
      </w:pPr>
      <w:r>
        <w:rPr>
          <w:rFonts w:hint="eastAsia" w:ascii="SimHei" w:hAnsi="SimHei" w:eastAsia="黑体"/>
          <w:b/>
          <w:sz w:val="24"/>
          <w:szCs w:val="24"/>
        </w:rPr>
        <w:t>（6）技术序列绩效工资</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sz w:val="24"/>
          <w:szCs w:val="24"/>
        </w:rPr>
        <w:t>技术岗位专业技能要求高，职能责任相对小，工作见效周期长，主要考察岗位人员的专业技能掌握程度、工作完成效率与质量以及团队协作精神等。本方案建议采取“季度考核，季度发放”，</w:t>
      </w:r>
      <w:r>
        <w:rPr>
          <w:rFonts w:hint="eastAsia" w:ascii="SimHei" w:hAnsi="SimHei" w:eastAsia="黑体" w:cs="黑体"/>
          <w:kern w:val="0"/>
          <w:sz w:val="24"/>
          <w:szCs w:val="24"/>
        </w:rPr>
        <w:t>同时仅采用“KPI量化考核”模式进行考核，不同于职能序列的，在于不需要每个岗位提交工作计划，而只根据公司规划分解目标后，设定不同维度和量化指标进行考核。</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例如：开发工程师的量化考核套表</w:t>
      </w:r>
    </w:p>
    <w:p>
      <w:pPr>
        <w:tabs>
          <w:tab w:val="left" w:pos="709"/>
          <w:tab w:val="left" w:pos="851"/>
          <w:tab w:val="left" w:pos="8931"/>
        </w:tabs>
        <w:spacing w:line="360" w:lineRule="auto"/>
        <w:ind w:right="168" w:rightChars="80" w:firstLine="482" w:firstLineChars="200"/>
        <w:rPr>
          <w:rFonts w:ascii="楷体" w:hAnsi="楷体" w:eastAsia="楷体" w:cs="黑体"/>
          <w:b/>
          <w:kern w:val="0"/>
          <w:sz w:val="24"/>
          <w:szCs w:val="24"/>
        </w:rPr>
      </w:pPr>
      <w:r>
        <w:rPr>
          <w:rFonts w:hint="eastAsia" w:ascii="SimHei" w:hAnsi="SimHei" w:eastAsia="黑体" w:cs="黑体"/>
          <w:b/>
          <w:kern w:val="0"/>
          <w:sz w:val="24"/>
          <w:szCs w:val="24"/>
        </w:rPr>
        <w:t>表一：技术研发部（软件）20XX第一季度关键任务目标（举例）</w:t>
      </w:r>
    </w:p>
    <w:tbl>
      <w:tblPr>
        <w:tblStyle w:val="28"/>
        <w:tblW w:w="9606" w:type="dxa"/>
        <w:jc w:val="center"/>
        <w:tblInd w:w="0" w:type="dxa"/>
        <w:tblLayout w:type="fixed"/>
        <w:tblCellMar>
          <w:top w:w="0" w:type="dxa"/>
          <w:left w:w="108" w:type="dxa"/>
          <w:bottom w:w="0" w:type="dxa"/>
          <w:right w:w="108" w:type="dxa"/>
        </w:tblCellMar>
      </w:tblPr>
      <w:tblGrid>
        <w:gridCol w:w="2049"/>
        <w:gridCol w:w="5289"/>
        <w:gridCol w:w="1134"/>
        <w:gridCol w:w="1134"/>
      </w:tblGrid>
      <w:tr>
        <w:tblPrEx>
          <w:tblLayout w:type="fixed"/>
          <w:tblCellMar>
            <w:top w:w="0" w:type="dxa"/>
            <w:left w:w="108" w:type="dxa"/>
            <w:bottom w:w="0" w:type="dxa"/>
            <w:right w:w="108" w:type="dxa"/>
          </w:tblCellMar>
        </w:tblPrEx>
        <w:trPr>
          <w:trHeight w:val="851" w:hRule="exact"/>
          <w:jc w:val="center"/>
        </w:trPr>
        <w:tc>
          <w:tcPr>
            <w:tcW w:w="20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维度</w:t>
            </w:r>
          </w:p>
        </w:tc>
        <w:tc>
          <w:tcPr>
            <w:tcW w:w="5289"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主要内容</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时间节点</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参与人员</w:t>
            </w:r>
          </w:p>
        </w:tc>
      </w:tr>
      <w:tr>
        <w:tblPrEx>
          <w:tblLayout w:type="fixed"/>
          <w:tblCellMar>
            <w:top w:w="0" w:type="dxa"/>
            <w:left w:w="108" w:type="dxa"/>
            <w:bottom w:w="0" w:type="dxa"/>
            <w:right w:w="108" w:type="dxa"/>
          </w:tblCellMar>
        </w:tblPrEx>
        <w:trPr>
          <w:trHeight w:val="3201" w:hRule="exact"/>
          <w:jc w:val="center"/>
        </w:trPr>
        <w:tc>
          <w:tcPr>
            <w:tcW w:w="2049"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Times New Roman"/>
                <w:sz w:val="24"/>
                <w:szCs w:val="24"/>
              </w:rPr>
              <w:t>关于20XX年的工作总结和20XX年的工作计划</w:t>
            </w:r>
          </w:p>
        </w:tc>
        <w:tc>
          <w:tcPr>
            <w:tcW w:w="5289" w:type="dxa"/>
            <w:tcBorders>
              <w:top w:val="nil"/>
              <w:left w:val="nil"/>
              <w:bottom w:val="single" w:color="auto" w:sz="4" w:space="0"/>
              <w:right w:val="single" w:color="auto" w:sz="4" w:space="0"/>
            </w:tcBorders>
            <w:shd w:val="clear" w:color="auto" w:fill="auto"/>
            <w:vAlign w:val="center"/>
          </w:tcPr>
          <w:p>
            <w:pPr>
              <w:tabs>
                <w:tab w:val="left" w:pos="709"/>
                <w:tab w:val="left" w:pos="851"/>
                <w:tab w:val="left" w:pos="8931"/>
              </w:tabs>
              <w:spacing w:line="360" w:lineRule="auto"/>
              <w:rPr>
                <w:rFonts w:ascii="楷体" w:hAnsi="楷体" w:eastAsia="楷体"/>
                <w:sz w:val="24"/>
                <w:szCs w:val="24"/>
              </w:rPr>
            </w:pPr>
            <w:r>
              <w:rPr>
                <w:rFonts w:hint="eastAsia" w:ascii="SimHei" w:hAnsi="SimHei" w:eastAsia="黑体"/>
                <w:sz w:val="24"/>
                <w:szCs w:val="24"/>
              </w:rPr>
              <w:t>1、</w:t>
            </w:r>
            <w:r>
              <w:rPr>
                <w:rFonts w:hint="eastAsia" w:ascii="SimHei" w:hAnsi="SimHei" w:eastAsia="黑体" w:cs="Times New Roman"/>
                <w:sz w:val="24"/>
                <w:szCs w:val="24"/>
              </w:rPr>
              <w:t>20XX年个人工作总结</w:t>
            </w:r>
            <w:r>
              <w:rPr>
                <w:rFonts w:hint="eastAsia" w:ascii="SimHei" w:hAnsi="SimHei" w:eastAsia="黑体"/>
                <w:b/>
                <w:sz w:val="24"/>
                <w:szCs w:val="24"/>
              </w:rPr>
              <w:t>（考核点：工作总结的质量评估）</w:t>
            </w:r>
          </w:p>
          <w:p>
            <w:pPr>
              <w:tabs>
                <w:tab w:val="left" w:pos="709"/>
                <w:tab w:val="left" w:pos="851"/>
                <w:tab w:val="left" w:pos="8931"/>
              </w:tabs>
              <w:spacing w:line="360" w:lineRule="auto"/>
              <w:rPr>
                <w:rFonts w:ascii="楷体" w:hAnsi="楷体" w:eastAsia="楷体" w:cs="Times New Roman"/>
                <w:sz w:val="24"/>
                <w:szCs w:val="24"/>
              </w:rPr>
            </w:pPr>
            <w:r>
              <w:rPr>
                <w:rFonts w:hint="eastAsia" w:ascii="SimHei" w:hAnsi="SimHei" w:eastAsia="黑体" w:cs="Times New Roman"/>
                <w:sz w:val="24"/>
                <w:szCs w:val="24"/>
              </w:rPr>
              <w:t>涵盖内容：项目的主要工作成果，工作中走的弯路或典型的问题对自己的触动，工作的改进想法，对公司管理的建议，工作岗位职能的履行情况等等</w:t>
            </w:r>
          </w:p>
          <w:p>
            <w:pPr>
              <w:tabs>
                <w:tab w:val="left" w:pos="709"/>
                <w:tab w:val="left" w:pos="851"/>
                <w:tab w:val="left" w:pos="8931"/>
              </w:tabs>
              <w:spacing w:line="360" w:lineRule="auto"/>
              <w:rPr>
                <w:rFonts w:ascii="楷体" w:hAnsi="楷体" w:eastAsia="楷体" w:cs="Times New Roman"/>
                <w:sz w:val="24"/>
                <w:szCs w:val="24"/>
              </w:rPr>
            </w:pPr>
            <w:r>
              <w:rPr>
                <w:rFonts w:hint="eastAsia" w:ascii="SimHei" w:hAnsi="SimHei" w:eastAsia="黑体" w:cs="Times New Roman"/>
                <w:sz w:val="24"/>
                <w:szCs w:val="24"/>
              </w:rPr>
              <w:t>挑重点——体现个人的贡献和价值，自我反省工作问题</w:t>
            </w:r>
          </w:p>
          <w:p>
            <w:pPr>
              <w:tabs>
                <w:tab w:val="left" w:pos="709"/>
                <w:tab w:val="left" w:pos="851"/>
                <w:tab w:val="left" w:pos="8931"/>
              </w:tabs>
              <w:spacing w:line="360" w:lineRule="auto"/>
              <w:rPr>
                <w:rFonts w:ascii="楷体" w:hAnsi="楷体" w:eastAsia="楷体"/>
                <w:sz w:val="24"/>
                <w:szCs w:val="24"/>
              </w:rPr>
            </w:pPr>
            <w:r>
              <w:rPr>
                <w:rFonts w:hint="eastAsia" w:ascii="SimHei" w:hAnsi="SimHei" w:eastAsia="黑体"/>
                <w:sz w:val="24"/>
                <w:szCs w:val="24"/>
              </w:rPr>
              <w:t>2、</w:t>
            </w:r>
            <w:r>
              <w:rPr>
                <w:rFonts w:hint="eastAsia" w:ascii="SimHei" w:hAnsi="SimHei" w:eastAsia="黑体" w:cs="Times New Roman"/>
                <w:sz w:val="24"/>
                <w:szCs w:val="24"/>
              </w:rPr>
              <w:t>20XX年个人工作计划</w:t>
            </w:r>
            <w:r>
              <w:rPr>
                <w:rFonts w:hint="eastAsia" w:ascii="SimHei" w:hAnsi="SimHei" w:eastAsia="黑体"/>
                <w:b/>
                <w:sz w:val="24"/>
                <w:szCs w:val="24"/>
              </w:rPr>
              <w:t>（考核点：工作计划的质量评估）</w:t>
            </w:r>
          </w:p>
          <w:p>
            <w:pPr>
              <w:tabs>
                <w:tab w:val="left" w:pos="709"/>
                <w:tab w:val="left" w:pos="851"/>
                <w:tab w:val="left" w:pos="8931"/>
              </w:tabs>
              <w:spacing w:line="360" w:lineRule="auto"/>
              <w:rPr>
                <w:rFonts w:ascii="楷体" w:hAnsi="楷体" w:eastAsia="楷体" w:cs="Times New Roman"/>
                <w:sz w:val="24"/>
                <w:szCs w:val="24"/>
              </w:rPr>
            </w:pPr>
            <w:r>
              <w:rPr>
                <w:rFonts w:hint="eastAsia" w:ascii="SimHei" w:hAnsi="SimHei" w:eastAsia="黑体" w:cs="Times New Roman"/>
                <w:sz w:val="24"/>
                <w:szCs w:val="24"/>
              </w:rPr>
              <w:t>涵盖内容：要实施的项目工作以及工作的进度、目标、成果体现等，学习和自身素质提升方面，工作岗位的职能发挥，质量体系的贯彻，</w:t>
            </w:r>
          </w:p>
          <w:p>
            <w:pPr>
              <w:tabs>
                <w:tab w:val="left" w:pos="709"/>
                <w:tab w:val="left" w:pos="851"/>
                <w:tab w:val="left" w:pos="8931"/>
              </w:tabs>
              <w:spacing w:line="360" w:lineRule="auto"/>
              <w:rPr>
                <w:rFonts w:ascii="楷体" w:hAnsi="楷体" w:eastAsia="楷体"/>
                <w:sz w:val="24"/>
                <w:szCs w:val="24"/>
              </w:rPr>
            </w:pPr>
            <w:r>
              <w:rPr>
                <w:rFonts w:hint="eastAsia" w:ascii="SimHei" w:hAnsi="SimHei" w:eastAsia="黑体" w:cs="Times New Roman"/>
                <w:sz w:val="24"/>
                <w:szCs w:val="24"/>
              </w:rPr>
              <w:t>挑重点——体现个人的贡献和价值</w:t>
            </w:r>
          </w:p>
        </w:tc>
        <w:tc>
          <w:tcPr>
            <w:tcW w:w="113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1月编制</w:t>
            </w:r>
          </w:p>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2月上交小组</w:t>
            </w:r>
          </w:p>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3月提交人事部</w:t>
            </w:r>
          </w:p>
        </w:tc>
        <w:tc>
          <w:tcPr>
            <w:tcW w:w="113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赵广兴</w:t>
            </w:r>
          </w:p>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王小云</w:t>
            </w:r>
          </w:p>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孙飞虎</w:t>
            </w:r>
          </w:p>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庞秋</w:t>
            </w:r>
          </w:p>
        </w:tc>
      </w:tr>
      <w:tr>
        <w:tblPrEx>
          <w:tblLayout w:type="fixed"/>
          <w:tblCellMar>
            <w:top w:w="0" w:type="dxa"/>
            <w:left w:w="108" w:type="dxa"/>
            <w:bottom w:w="0" w:type="dxa"/>
            <w:right w:w="108" w:type="dxa"/>
          </w:tblCellMar>
        </w:tblPrEx>
        <w:trPr>
          <w:trHeight w:val="567" w:hRule="exact"/>
          <w:jc w:val="center"/>
        </w:trPr>
        <w:tc>
          <w:tcPr>
            <w:tcW w:w="2049" w:type="dxa"/>
            <w:vMerge w:val="restart"/>
            <w:tcBorders>
              <w:top w:val="nil"/>
              <w:left w:val="single" w:color="auto" w:sz="4" w:space="0"/>
              <w:right w:val="single" w:color="auto" w:sz="4" w:space="0"/>
            </w:tcBorders>
            <w:shd w:val="clear" w:color="auto" w:fill="auto"/>
            <w:vAlign w:val="center"/>
          </w:tcPr>
          <w:p>
            <w:pPr>
              <w:tabs>
                <w:tab w:val="left" w:pos="709"/>
                <w:tab w:val="left" w:pos="851"/>
                <w:tab w:val="left" w:pos="8931"/>
              </w:tabs>
              <w:spacing w:line="360" w:lineRule="auto"/>
              <w:jc w:val="center"/>
              <w:rPr>
                <w:rFonts w:ascii="楷体" w:hAnsi="楷体" w:eastAsia="楷体"/>
                <w:sz w:val="24"/>
                <w:szCs w:val="24"/>
              </w:rPr>
            </w:pPr>
            <w:r>
              <w:rPr>
                <w:rFonts w:hint="eastAsia" w:ascii="SimHei" w:hAnsi="SimHei" w:eastAsia="黑体" w:cs="Times New Roman"/>
                <w:sz w:val="24"/>
                <w:szCs w:val="24"/>
              </w:rPr>
              <w:t>XX电业局视频安防整合试点</w:t>
            </w:r>
          </w:p>
        </w:tc>
        <w:tc>
          <w:tcPr>
            <w:tcW w:w="528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Times New Roman"/>
                <w:sz w:val="24"/>
                <w:szCs w:val="24"/>
              </w:rPr>
              <w:t>完成软件的首轮调试，具备试运行条件。</w:t>
            </w:r>
          </w:p>
        </w:tc>
        <w:tc>
          <w:tcPr>
            <w:tcW w:w="113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3月15日</w:t>
            </w:r>
          </w:p>
        </w:tc>
        <w:tc>
          <w:tcPr>
            <w:tcW w:w="1134" w:type="dxa"/>
            <w:vMerge w:val="restart"/>
            <w:tcBorders>
              <w:top w:val="nil"/>
              <w:left w:val="nil"/>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赵广兴</w:t>
            </w:r>
          </w:p>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王小云</w:t>
            </w:r>
          </w:p>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孙飞虎</w:t>
            </w:r>
          </w:p>
          <w:p>
            <w:pPr>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庞秋</w:t>
            </w:r>
          </w:p>
        </w:tc>
      </w:tr>
      <w:tr>
        <w:tblPrEx>
          <w:tblLayout w:type="fixed"/>
          <w:tblCellMar>
            <w:top w:w="0" w:type="dxa"/>
            <w:left w:w="108" w:type="dxa"/>
            <w:bottom w:w="0" w:type="dxa"/>
            <w:right w:w="108" w:type="dxa"/>
          </w:tblCellMar>
        </w:tblPrEx>
        <w:trPr>
          <w:trHeight w:val="702" w:hRule="exact"/>
          <w:jc w:val="center"/>
        </w:trPr>
        <w:tc>
          <w:tcPr>
            <w:tcW w:w="2049" w:type="dxa"/>
            <w:vMerge w:val="continue"/>
            <w:tcBorders>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p>
        </w:tc>
        <w:tc>
          <w:tcPr>
            <w:tcW w:w="528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Times New Roman"/>
                <w:sz w:val="24"/>
                <w:szCs w:val="24"/>
              </w:rPr>
              <w:t>软件具备交付条件。</w:t>
            </w:r>
          </w:p>
        </w:tc>
        <w:tc>
          <w:tcPr>
            <w:tcW w:w="113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3月31日</w:t>
            </w:r>
          </w:p>
        </w:tc>
        <w:tc>
          <w:tcPr>
            <w:tcW w:w="1134" w:type="dxa"/>
            <w:vMerge w:val="continue"/>
            <w:tcBorders>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697" w:hRule="exact"/>
          <w:jc w:val="center"/>
        </w:trPr>
        <w:tc>
          <w:tcPr>
            <w:tcW w:w="2049" w:type="dxa"/>
            <w:vMerge w:val="restart"/>
            <w:tcBorders>
              <w:top w:val="nil"/>
              <w:left w:val="single" w:color="auto" w:sz="4" w:space="0"/>
              <w:right w:val="single" w:color="auto" w:sz="4" w:space="0"/>
            </w:tcBorders>
            <w:shd w:val="clear" w:color="auto" w:fill="auto"/>
            <w:vAlign w:val="center"/>
          </w:tcPr>
          <w:p>
            <w:pPr>
              <w:tabs>
                <w:tab w:val="left" w:pos="709"/>
                <w:tab w:val="left" w:pos="851"/>
                <w:tab w:val="left" w:pos="8931"/>
              </w:tabs>
              <w:spacing w:line="360" w:lineRule="auto"/>
              <w:jc w:val="center"/>
              <w:rPr>
                <w:rFonts w:ascii="楷体" w:hAnsi="楷体" w:eastAsia="楷体"/>
                <w:sz w:val="24"/>
                <w:szCs w:val="24"/>
              </w:rPr>
            </w:pPr>
            <w:r>
              <w:rPr>
                <w:rFonts w:hint="eastAsia" w:ascii="SimHei" w:hAnsi="SimHei" w:eastAsia="黑体" w:cs="Times New Roman"/>
                <w:sz w:val="24"/>
                <w:szCs w:val="24"/>
              </w:rPr>
              <w:t>配合（程彦清）变电站GIS巡检系统（赵广兴、庞秋）</w:t>
            </w:r>
          </w:p>
        </w:tc>
        <w:tc>
          <w:tcPr>
            <w:tcW w:w="528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Times New Roman"/>
                <w:sz w:val="24"/>
                <w:szCs w:val="24"/>
              </w:rPr>
              <w:t>软件具备交付条件</w:t>
            </w:r>
          </w:p>
        </w:tc>
        <w:tc>
          <w:tcPr>
            <w:tcW w:w="113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2月1日</w:t>
            </w:r>
          </w:p>
        </w:tc>
        <w:tc>
          <w:tcPr>
            <w:tcW w:w="1134" w:type="dxa"/>
            <w:vMerge w:val="restart"/>
            <w:tcBorders>
              <w:top w:val="nil"/>
              <w:left w:val="nil"/>
              <w:right w:val="single" w:color="auto" w:sz="4" w:space="0"/>
            </w:tcBorders>
            <w:shd w:val="clear" w:color="auto" w:fill="auto"/>
            <w:vAlign w:val="center"/>
          </w:tcPr>
          <w:p>
            <w:pPr>
              <w:widowControl/>
              <w:tabs>
                <w:tab w:val="left" w:pos="709"/>
                <w:tab w:val="left" w:pos="851"/>
                <w:tab w:val="left" w:pos="8931"/>
              </w:tabs>
              <w:spacing w:line="360" w:lineRule="auto"/>
              <w:ind w:left="-19" w:leftChars="-9"/>
              <w:jc w:val="center"/>
              <w:rPr>
                <w:rFonts w:ascii="楷体" w:hAnsi="楷体" w:eastAsia="楷体" w:cs="宋体"/>
                <w:kern w:val="0"/>
                <w:sz w:val="24"/>
                <w:szCs w:val="24"/>
              </w:rPr>
            </w:pPr>
            <w:r>
              <w:rPr>
                <w:rFonts w:hint="eastAsia" w:ascii="SimHei" w:hAnsi="SimHei" w:eastAsia="黑体" w:cs="宋体"/>
                <w:kern w:val="0"/>
                <w:sz w:val="24"/>
                <w:szCs w:val="24"/>
              </w:rPr>
              <w:t>赵广兴</w:t>
            </w:r>
          </w:p>
          <w:p>
            <w:pPr>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庞秋</w:t>
            </w:r>
          </w:p>
        </w:tc>
      </w:tr>
      <w:tr>
        <w:tblPrEx>
          <w:tblLayout w:type="fixed"/>
          <w:tblCellMar>
            <w:top w:w="0" w:type="dxa"/>
            <w:left w:w="108" w:type="dxa"/>
            <w:bottom w:w="0" w:type="dxa"/>
            <w:right w:w="108" w:type="dxa"/>
          </w:tblCellMar>
        </w:tblPrEx>
        <w:trPr>
          <w:trHeight w:val="862" w:hRule="exact"/>
          <w:jc w:val="center"/>
        </w:trPr>
        <w:tc>
          <w:tcPr>
            <w:tcW w:w="2049" w:type="dxa"/>
            <w:vMerge w:val="continue"/>
            <w:tcBorders>
              <w:left w:val="single" w:color="auto" w:sz="4" w:space="0"/>
              <w:right w:val="single" w:color="auto" w:sz="4" w:space="0"/>
            </w:tcBorders>
            <w:shd w:val="clear" w:color="auto" w:fill="auto"/>
            <w:vAlign w:val="center"/>
          </w:tcPr>
          <w:p>
            <w:pPr>
              <w:tabs>
                <w:tab w:val="left" w:pos="709"/>
                <w:tab w:val="left" w:pos="851"/>
                <w:tab w:val="left" w:pos="8931"/>
              </w:tabs>
              <w:spacing w:line="360" w:lineRule="auto"/>
              <w:jc w:val="center"/>
              <w:rPr>
                <w:rFonts w:ascii="楷体" w:hAnsi="楷体" w:eastAsia="楷体"/>
                <w:sz w:val="24"/>
                <w:szCs w:val="24"/>
              </w:rPr>
            </w:pPr>
          </w:p>
        </w:tc>
        <w:tc>
          <w:tcPr>
            <w:tcW w:w="528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Times New Roman"/>
                <w:sz w:val="24"/>
                <w:szCs w:val="24"/>
              </w:rPr>
              <w:t>完成1个变电站的初始化工作，引导变电站试运行。</w:t>
            </w:r>
          </w:p>
        </w:tc>
        <w:tc>
          <w:tcPr>
            <w:tcW w:w="113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2月15日</w:t>
            </w:r>
          </w:p>
        </w:tc>
        <w:tc>
          <w:tcPr>
            <w:tcW w:w="1134" w:type="dxa"/>
            <w:vMerge w:val="continue"/>
            <w:tcBorders>
              <w:left w:val="nil"/>
              <w:right w:val="single" w:color="auto" w:sz="4" w:space="0"/>
            </w:tcBorders>
            <w:shd w:val="clear" w:color="auto" w:fill="auto"/>
            <w:vAlign w:val="center"/>
          </w:tcPr>
          <w:p>
            <w:pPr>
              <w:tabs>
                <w:tab w:val="left" w:pos="709"/>
                <w:tab w:val="left" w:pos="851"/>
                <w:tab w:val="left" w:pos="8931"/>
              </w:tabs>
              <w:spacing w:line="360" w:lineRule="auto"/>
              <w:jc w:val="center"/>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563" w:hRule="exact"/>
          <w:jc w:val="center"/>
        </w:trPr>
        <w:tc>
          <w:tcPr>
            <w:tcW w:w="2049" w:type="dxa"/>
            <w:vMerge w:val="continue"/>
            <w:tcBorders>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kern w:val="0"/>
                <w:sz w:val="24"/>
                <w:szCs w:val="24"/>
              </w:rPr>
            </w:pPr>
          </w:p>
        </w:tc>
        <w:tc>
          <w:tcPr>
            <w:tcW w:w="5289"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rPr>
                <w:rFonts w:ascii="楷体" w:hAnsi="楷体" w:eastAsia="楷体" w:cs="宋体"/>
                <w:kern w:val="0"/>
                <w:sz w:val="24"/>
                <w:szCs w:val="24"/>
              </w:rPr>
            </w:pPr>
            <w:r>
              <w:rPr>
                <w:rFonts w:hint="eastAsia" w:ascii="SimHei" w:hAnsi="SimHei" w:eastAsia="黑体" w:cs="Times New Roman"/>
                <w:sz w:val="24"/>
                <w:szCs w:val="24"/>
              </w:rPr>
              <w:t>完成系统的交付工作。</w:t>
            </w:r>
          </w:p>
        </w:tc>
        <w:tc>
          <w:tcPr>
            <w:tcW w:w="113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3月31日</w:t>
            </w:r>
          </w:p>
        </w:tc>
        <w:tc>
          <w:tcPr>
            <w:tcW w:w="1134" w:type="dxa"/>
            <w:vMerge w:val="continue"/>
            <w:tcBorders>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p>
        </w:tc>
      </w:tr>
    </w:tbl>
    <w:p>
      <w:pPr>
        <w:tabs>
          <w:tab w:val="left" w:pos="709"/>
          <w:tab w:val="left" w:pos="851"/>
          <w:tab w:val="left" w:pos="8931"/>
        </w:tabs>
        <w:spacing w:line="360" w:lineRule="auto"/>
        <w:ind w:right="168" w:rightChars="80" w:firstLine="482" w:firstLineChars="200"/>
        <w:rPr>
          <w:rFonts w:ascii="楷体" w:hAnsi="楷体" w:eastAsia="楷体" w:cs="黑体"/>
          <w:b/>
          <w:kern w:val="0"/>
          <w:sz w:val="24"/>
          <w:szCs w:val="24"/>
        </w:rPr>
      </w:pPr>
      <w:r>
        <w:rPr>
          <w:rFonts w:hint="eastAsia" w:ascii="SimHei" w:hAnsi="SimHei" w:eastAsia="黑体" w:cs="黑体"/>
          <w:b/>
          <w:kern w:val="0"/>
          <w:sz w:val="24"/>
          <w:szCs w:val="24"/>
        </w:rPr>
        <w:t>表二：技术员季度KPI量化考核表（举例）</w:t>
      </w:r>
    </w:p>
    <w:tbl>
      <w:tblPr>
        <w:tblStyle w:val="28"/>
        <w:tblW w:w="9654" w:type="dxa"/>
        <w:jc w:val="center"/>
        <w:tblInd w:w="93" w:type="dxa"/>
        <w:tblLayout w:type="fixed"/>
        <w:tblCellMar>
          <w:top w:w="0" w:type="dxa"/>
          <w:left w:w="108" w:type="dxa"/>
          <w:bottom w:w="0" w:type="dxa"/>
          <w:right w:w="108" w:type="dxa"/>
        </w:tblCellMar>
      </w:tblPr>
      <w:tblGrid>
        <w:gridCol w:w="1433"/>
        <w:gridCol w:w="4394"/>
        <w:gridCol w:w="1559"/>
        <w:gridCol w:w="993"/>
        <w:gridCol w:w="1275"/>
      </w:tblGrid>
      <w:tr>
        <w:tblPrEx>
          <w:tblLayout w:type="fixed"/>
          <w:tblCellMar>
            <w:top w:w="0" w:type="dxa"/>
            <w:left w:w="108" w:type="dxa"/>
            <w:bottom w:w="0" w:type="dxa"/>
            <w:right w:w="108" w:type="dxa"/>
          </w:tblCellMar>
        </w:tblPrEx>
        <w:trPr>
          <w:trHeight w:val="645" w:hRule="atLeast"/>
          <w:jc w:val="center"/>
        </w:trPr>
        <w:tc>
          <w:tcPr>
            <w:tcW w:w="9654" w:type="dxa"/>
            <w:gridSpan w:val="5"/>
            <w:tcBorders>
              <w:top w:val="nil"/>
              <w:left w:val="nil"/>
              <w:bottom w:val="nil"/>
              <w:right w:val="nil"/>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技术部软件组技术员第一季度绩效考核总表</w:t>
            </w:r>
          </w:p>
        </w:tc>
      </w:tr>
      <w:tr>
        <w:tblPrEx>
          <w:tblLayout w:type="fixed"/>
          <w:tblCellMar>
            <w:top w:w="0" w:type="dxa"/>
            <w:left w:w="108" w:type="dxa"/>
            <w:bottom w:w="0" w:type="dxa"/>
            <w:right w:w="108" w:type="dxa"/>
          </w:tblCellMar>
        </w:tblPrEx>
        <w:trPr>
          <w:trHeight w:val="435" w:hRule="atLeast"/>
          <w:jc w:val="center"/>
        </w:trPr>
        <w:tc>
          <w:tcPr>
            <w:tcW w:w="9654" w:type="dxa"/>
            <w:gridSpan w:val="5"/>
            <w:tcBorders>
              <w:top w:val="nil"/>
              <w:left w:val="nil"/>
              <w:bottom w:val="single" w:color="auto" w:sz="4" w:space="0"/>
              <w:right w:val="nil"/>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ascii="SimHei" w:hAnsi="SimHei" w:eastAsia="黑体"/>
                <w:sz w:val="24"/>
                <w:szCs w:val="24"/>
              </w:rPr>
            </w:r>
            <w:r>
              <w:rPr>
                <w:rFonts w:hint="eastAsia" w:ascii="SimHei" w:hAnsi="SimHei" w:eastAsia="黑体" w:cs="宋体"/>
                <w:b/>
                <w:bCs/>
                <w:kern w:val="0"/>
                <w:sz w:val="24"/>
                <w:szCs w:val="24"/>
              </w:rPr>
              <w:t>姓名：                  考核期间：   年   月   日——   年   月   日</w:t>
            </w:r>
          </w:p>
        </w:tc>
      </w:tr>
      <w:tr>
        <w:tblPrEx>
          <w:tblLayout w:type="fixed"/>
          <w:tblCellMar>
            <w:top w:w="0" w:type="dxa"/>
            <w:left w:w="108" w:type="dxa"/>
            <w:bottom w:w="0" w:type="dxa"/>
            <w:right w:w="108" w:type="dxa"/>
          </w:tblCellMar>
        </w:tblPrEx>
        <w:trPr>
          <w:trHeight w:val="630" w:hRule="atLeast"/>
          <w:jc w:val="center"/>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KPI</w:t>
            </w:r>
          </w:p>
        </w:tc>
        <w:tc>
          <w:tcPr>
            <w:tcW w:w="4394"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工作要求</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该项得分</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权重</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加权得分</w:t>
            </w:r>
          </w:p>
        </w:tc>
      </w:tr>
      <w:tr>
        <w:tblPrEx>
          <w:tblLayout w:type="fixed"/>
          <w:tblCellMar>
            <w:top w:w="0" w:type="dxa"/>
            <w:left w:w="108" w:type="dxa"/>
            <w:bottom w:w="0" w:type="dxa"/>
            <w:right w:w="108" w:type="dxa"/>
          </w:tblCellMar>
        </w:tblPrEx>
        <w:trPr>
          <w:trHeight w:val="1575" w:hRule="atLeast"/>
          <w:jc w:val="center"/>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20XX年个人工作总结</w:t>
            </w:r>
            <w:r>
              <w:rPr>
                <w:rFonts w:hint="eastAsia" w:ascii="SimHei" w:hAnsi="SimHei" w:eastAsia="黑体" w:cs="宋体"/>
                <w:b/>
                <w:bCs/>
                <w:kern w:val="0"/>
                <w:sz w:val="24"/>
                <w:szCs w:val="24"/>
              </w:rPr>
              <w:br/>
            </w:r>
            <w:r>
              <w:rPr>
                <w:rFonts w:hint="eastAsia" w:ascii="SimHei" w:hAnsi="SimHei" w:eastAsia="黑体" w:cs="宋体"/>
                <w:b/>
                <w:bCs/>
                <w:kern w:val="0"/>
                <w:sz w:val="24"/>
                <w:szCs w:val="24"/>
              </w:rPr>
              <w:t>考察点：工作成果自我剖析能力</w:t>
            </w:r>
          </w:p>
        </w:tc>
        <w:tc>
          <w:tcPr>
            <w:tcW w:w="4394"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1、及时交付无拖延，格式清晰，条理清楚，阅读性强</w:t>
            </w:r>
            <w:r>
              <w:rPr>
                <w:rFonts w:hint="eastAsia" w:ascii="SimHei" w:hAnsi="SimHei" w:eastAsia="黑体" w:cs="宋体"/>
                <w:kern w:val="0"/>
                <w:sz w:val="24"/>
                <w:szCs w:val="24"/>
              </w:rPr>
              <w:br/>
            </w:r>
            <w:r>
              <w:rPr>
                <w:rFonts w:hint="eastAsia" w:ascii="SimHei" w:hAnsi="SimHei" w:eastAsia="黑体" w:cs="宋体"/>
                <w:kern w:val="0"/>
                <w:sz w:val="24"/>
                <w:szCs w:val="24"/>
              </w:rPr>
              <w:t>2、阐述工作成果详略得当，数据准确，体现个人贡献于价值，客观实际；3、个人剖析问题，准确深刻，针对性强</w:t>
            </w:r>
            <w:r>
              <w:rPr>
                <w:rFonts w:hint="eastAsia" w:ascii="SimHei" w:hAnsi="SimHei" w:eastAsia="黑体" w:cs="宋体"/>
                <w:kern w:val="0"/>
                <w:sz w:val="24"/>
                <w:szCs w:val="24"/>
              </w:rPr>
              <w:br/>
            </w:r>
            <w:r>
              <w:rPr>
                <w:rFonts w:hint="eastAsia" w:ascii="SimHei" w:hAnsi="SimHei" w:eastAsia="黑体" w:cs="宋体"/>
                <w:kern w:val="0"/>
                <w:sz w:val="24"/>
                <w:szCs w:val="24"/>
              </w:rPr>
              <w:t>4、改进想法得当，解决思路明晰，对日后的工作有明显促进作用；</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0</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10%</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0</w:t>
            </w:r>
          </w:p>
        </w:tc>
      </w:tr>
      <w:tr>
        <w:tblPrEx>
          <w:tblLayout w:type="fixed"/>
          <w:tblCellMar>
            <w:top w:w="0" w:type="dxa"/>
            <w:left w:w="108" w:type="dxa"/>
            <w:bottom w:w="0" w:type="dxa"/>
            <w:right w:w="108" w:type="dxa"/>
          </w:tblCellMar>
        </w:tblPrEx>
        <w:trPr>
          <w:trHeight w:val="1770" w:hRule="atLeast"/>
          <w:jc w:val="center"/>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20XX年个人工作计划</w:t>
            </w:r>
            <w:r>
              <w:rPr>
                <w:rFonts w:hint="eastAsia" w:ascii="SimHei" w:hAnsi="SimHei" w:eastAsia="黑体" w:cs="宋体"/>
                <w:b/>
                <w:bCs/>
                <w:kern w:val="0"/>
                <w:sz w:val="24"/>
                <w:szCs w:val="24"/>
              </w:rPr>
              <w:br/>
            </w:r>
            <w:r>
              <w:rPr>
                <w:rFonts w:hint="eastAsia" w:ascii="SimHei" w:hAnsi="SimHei" w:eastAsia="黑体" w:cs="宋体"/>
                <w:b/>
                <w:bCs/>
                <w:kern w:val="0"/>
                <w:sz w:val="24"/>
                <w:szCs w:val="24"/>
              </w:rPr>
              <w:t>考察点：规划能力可实施性</w:t>
            </w:r>
          </w:p>
        </w:tc>
        <w:tc>
          <w:tcPr>
            <w:tcW w:w="4394"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1、及时交付无拖延，格式清晰，条理清楚，阅读性强</w:t>
            </w:r>
            <w:r>
              <w:rPr>
                <w:rFonts w:hint="eastAsia" w:ascii="SimHei" w:hAnsi="SimHei" w:eastAsia="黑体" w:cs="宋体"/>
                <w:kern w:val="0"/>
                <w:sz w:val="24"/>
                <w:szCs w:val="24"/>
              </w:rPr>
              <w:br/>
            </w:r>
            <w:r>
              <w:rPr>
                <w:rFonts w:hint="eastAsia" w:ascii="SimHei" w:hAnsi="SimHei" w:eastAsia="黑体" w:cs="宋体"/>
                <w:kern w:val="0"/>
                <w:sz w:val="24"/>
                <w:szCs w:val="24"/>
              </w:rPr>
              <w:t>2、20XX年项目计划性强，充分体现进度、目标与成果体现</w:t>
            </w:r>
            <w:r>
              <w:rPr>
                <w:rFonts w:hint="eastAsia" w:ascii="SimHei" w:hAnsi="SimHei" w:eastAsia="黑体" w:cs="宋体"/>
                <w:kern w:val="0"/>
                <w:sz w:val="24"/>
                <w:szCs w:val="24"/>
              </w:rPr>
              <w:br/>
            </w:r>
            <w:r>
              <w:rPr>
                <w:rFonts w:hint="eastAsia" w:ascii="SimHei" w:hAnsi="SimHei" w:eastAsia="黑体" w:cs="宋体"/>
                <w:kern w:val="0"/>
                <w:sz w:val="24"/>
                <w:szCs w:val="24"/>
              </w:rPr>
              <w:t>3、工作计划内容具体、可操作、可实现、与本职工作相关联，时间节点明确</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0</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10%</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0</w:t>
            </w:r>
          </w:p>
        </w:tc>
      </w:tr>
      <w:tr>
        <w:tblPrEx>
          <w:tblLayout w:type="fixed"/>
          <w:tblCellMar>
            <w:top w:w="0" w:type="dxa"/>
            <w:left w:w="108" w:type="dxa"/>
            <w:bottom w:w="0" w:type="dxa"/>
            <w:right w:w="108" w:type="dxa"/>
          </w:tblCellMar>
        </w:tblPrEx>
        <w:trPr>
          <w:trHeight w:val="1770" w:hRule="atLeast"/>
          <w:jc w:val="center"/>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XX电业局视频安防整合试点考察点：执行力工作结果</w:t>
            </w:r>
          </w:p>
        </w:tc>
        <w:tc>
          <w:tcPr>
            <w:tcW w:w="4394"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1、3月15日之前，完成软件的首轮调试，具备试运行条件，严格履行在此期间小组分配的工作职责，圆满完成工作任务2、3月31日之前，软件具备交付条件，严格履行在此期间小组分配的工作职责，圆满完成工作任务</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0</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50%</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0</w:t>
            </w:r>
          </w:p>
        </w:tc>
      </w:tr>
      <w:tr>
        <w:tblPrEx>
          <w:tblLayout w:type="fixed"/>
          <w:tblCellMar>
            <w:top w:w="0" w:type="dxa"/>
            <w:left w:w="108" w:type="dxa"/>
            <w:bottom w:w="0" w:type="dxa"/>
            <w:right w:w="108" w:type="dxa"/>
          </w:tblCellMar>
        </w:tblPrEx>
        <w:trPr>
          <w:trHeight w:val="1770" w:hRule="atLeast"/>
          <w:jc w:val="center"/>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配合（程彦清）变电站GIS巡检系统考察点：配合度工作成果</w:t>
            </w:r>
          </w:p>
        </w:tc>
        <w:tc>
          <w:tcPr>
            <w:tcW w:w="4394"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1、2月1日之前，软件具备交付条件，严格履行在此期间小组分配的工作职责，圆满完成工作任务2、2月15日之前完成1个变电站的初始化工作，引导变电站试运行，严格履行在此期间小组分配的工作职责，圆满完成工作任务3、3月31日之前完成系统的交付工作，严格履行在此期间小组分配的工作职责，圆满完成工作任务</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0</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30%</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0</w:t>
            </w:r>
          </w:p>
        </w:tc>
      </w:tr>
      <w:tr>
        <w:tblPrEx>
          <w:tblLayout w:type="fixed"/>
          <w:tblCellMar>
            <w:top w:w="0" w:type="dxa"/>
            <w:left w:w="108" w:type="dxa"/>
            <w:bottom w:w="0" w:type="dxa"/>
            <w:right w:w="108" w:type="dxa"/>
          </w:tblCellMar>
        </w:tblPrEx>
        <w:trPr>
          <w:trHeight w:val="495" w:hRule="atLeast"/>
          <w:jc w:val="center"/>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本季度绩效考核总得分</w:t>
            </w:r>
          </w:p>
        </w:tc>
        <w:tc>
          <w:tcPr>
            <w:tcW w:w="3827"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r>
    </w:tbl>
    <w:p>
      <w:pPr>
        <w:tabs>
          <w:tab w:val="left" w:pos="709"/>
          <w:tab w:val="left" w:pos="851"/>
          <w:tab w:val="left" w:pos="8931"/>
        </w:tabs>
        <w:spacing w:line="360" w:lineRule="auto"/>
        <w:ind w:right="168" w:rightChars="80" w:firstLine="482" w:firstLineChars="200"/>
        <w:rPr>
          <w:rFonts w:ascii="楷体" w:hAnsi="楷体" w:eastAsia="楷体" w:cs="黑体"/>
          <w:b/>
          <w:kern w:val="0"/>
          <w:sz w:val="24"/>
          <w:szCs w:val="24"/>
        </w:rPr>
      </w:pPr>
      <w:r>
        <w:rPr>
          <w:rFonts w:hint="eastAsia" w:ascii="SimHei" w:hAnsi="SimHei" w:eastAsia="黑体" w:cs="黑体"/>
          <w:b/>
          <w:kern w:val="0"/>
          <w:sz w:val="24"/>
          <w:szCs w:val="24"/>
        </w:rPr>
        <w:t>表三：分项量化表</w:t>
      </w:r>
    </w:p>
    <w:tbl>
      <w:tblPr>
        <w:tblStyle w:val="28"/>
        <w:tblW w:w="10480" w:type="dxa"/>
        <w:jc w:val="center"/>
        <w:tblInd w:w="93" w:type="dxa"/>
        <w:tblLayout w:type="fixed"/>
        <w:tblCellMar>
          <w:top w:w="0" w:type="dxa"/>
          <w:left w:w="108" w:type="dxa"/>
          <w:bottom w:w="0" w:type="dxa"/>
          <w:right w:w="108" w:type="dxa"/>
        </w:tblCellMar>
      </w:tblPr>
      <w:tblGrid>
        <w:gridCol w:w="880"/>
        <w:gridCol w:w="1660"/>
        <w:gridCol w:w="5196"/>
        <w:gridCol w:w="640"/>
        <w:gridCol w:w="744"/>
        <w:gridCol w:w="660"/>
        <w:gridCol w:w="700"/>
      </w:tblGrid>
      <w:tr>
        <w:tblPrEx>
          <w:tblLayout w:type="fixed"/>
          <w:tblCellMar>
            <w:top w:w="0" w:type="dxa"/>
            <w:left w:w="108" w:type="dxa"/>
            <w:bottom w:w="0" w:type="dxa"/>
            <w:right w:w="108" w:type="dxa"/>
          </w:tblCellMar>
        </w:tblPrEx>
        <w:trPr>
          <w:trHeight w:val="615" w:hRule="atLeast"/>
          <w:jc w:val="center"/>
        </w:trPr>
        <w:tc>
          <w:tcPr>
            <w:tcW w:w="10480" w:type="dxa"/>
            <w:gridSpan w:val="7"/>
            <w:tcBorders>
              <w:top w:val="nil"/>
              <w:left w:val="nil"/>
              <w:bottom w:val="single" w:color="auto" w:sz="4" w:space="0"/>
              <w:right w:val="nil"/>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技术部软件组技术员第一季度绩效指标分项量化</w:t>
            </w:r>
          </w:p>
        </w:tc>
      </w:tr>
      <w:tr>
        <w:tblPrEx>
          <w:tblLayout w:type="fixed"/>
          <w:tblCellMar>
            <w:top w:w="0" w:type="dxa"/>
            <w:left w:w="108" w:type="dxa"/>
            <w:bottom w:w="0" w:type="dxa"/>
            <w:right w:w="108" w:type="dxa"/>
          </w:tblCellMar>
        </w:tblPrEx>
        <w:trPr>
          <w:trHeight w:val="55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考核指标</w:t>
            </w:r>
          </w:p>
        </w:tc>
        <w:tc>
          <w:tcPr>
            <w:tcW w:w="1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要求</w:t>
            </w:r>
          </w:p>
        </w:tc>
        <w:tc>
          <w:tcPr>
            <w:tcW w:w="519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完成情况</w:t>
            </w:r>
          </w:p>
        </w:tc>
        <w:tc>
          <w:tcPr>
            <w:tcW w:w="64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小项得分</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权重</w:t>
            </w:r>
          </w:p>
        </w:tc>
        <w:tc>
          <w:tcPr>
            <w:tcW w:w="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加权分</w:t>
            </w:r>
          </w:p>
        </w:tc>
        <w:tc>
          <w:tcPr>
            <w:tcW w:w="70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该项合计</w:t>
            </w:r>
          </w:p>
        </w:tc>
      </w:tr>
      <w:tr>
        <w:tblPrEx>
          <w:tblLayout w:type="fixed"/>
          <w:tblCellMar>
            <w:top w:w="0" w:type="dxa"/>
            <w:left w:w="108" w:type="dxa"/>
            <w:bottom w:w="0" w:type="dxa"/>
            <w:right w:w="108" w:type="dxa"/>
          </w:tblCellMar>
        </w:tblPrEx>
        <w:trPr>
          <w:trHeight w:val="840" w:hRule="atLeast"/>
          <w:jc w:val="center"/>
        </w:trPr>
        <w:tc>
          <w:tcPr>
            <w:tcW w:w="880" w:type="dxa"/>
            <w:vMerge w:val="restart"/>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20XX年个人工作总结</w:t>
            </w:r>
          </w:p>
        </w:tc>
        <w:tc>
          <w:tcPr>
            <w:tcW w:w="1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及时交付无拖延，格式清晰，条理清楚，阅读性强</w:t>
            </w:r>
          </w:p>
        </w:tc>
        <w:tc>
          <w:tcPr>
            <w:tcW w:w="519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□项目工作质量完成度高且完成率在80%以上（90-100）□项目工作质量完成度较低且完成率在70%以上（60-89）</w:t>
            </w:r>
            <w:r>
              <w:rPr>
                <w:rFonts w:hint="eastAsia" w:ascii="SimHei" w:hAnsi="SimHei" w:eastAsia="黑体" w:cs="宋体"/>
                <w:kern w:val="0"/>
                <w:sz w:val="24"/>
                <w:szCs w:val="24"/>
              </w:rPr>
              <w:br/>
            </w:r>
            <w:r>
              <w:rPr>
                <w:rFonts w:hint="eastAsia" w:ascii="SimHei" w:hAnsi="SimHei" w:eastAsia="黑体" w:cs="宋体"/>
                <w:kern w:val="0"/>
                <w:sz w:val="24"/>
                <w:szCs w:val="24"/>
              </w:rPr>
              <w:t>□项目工作质量完成度低且完成率在60%以下（0-59）</w:t>
            </w:r>
          </w:p>
        </w:tc>
        <w:tc>
          <w:tcPr>
            <w:tcW w:w="64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10%</w:t>
            </w:r>
          </w:p>
        </w:tc>
        <w:tc>
          <w:tcPr>
            <w:tcW w:w="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00" w:type="dxa"/>
            <w:vMerge w:val="restart"/>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945"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p>
        </w:tc>
        <w:tc>
          <w:tcPr>
            <w:tcW w:w="1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阐述工作成果详略得当，数据准确，体现个人贡献于价值，客观实际</w:t>
            </w:r>
          </w:p>
        </w:tc>
        <w:tc>
          <w:tcPr>
            <w:tcW w:w="519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□工作总结十分深刻，对解决相关问题参考性大（90-100）</w:t>
            </w:r>
            <w:r>
              <w:rPr>
                <w:rFonts w:hint="eastAsia" w:ascii="SimHei" w:hAnsi="SimHei" w:eastAsia="黑体" w:cs="宋体"/>
                <w:kern w:val="0"/>
                <w:sz w:val="24"/>
                <w:szCs w:val="24"/>
              </w:rPr>
              <w:br/>
            </w:r>
            <w:r>
              <w:rPr>
                <w:rFonts w:hint="eastAsia" w:ascii="SimHei" w:hAnsi="SimHei" w:eastAsia="黑体" w:cs="宋体"/>
                <w:kern w:val="0"/>
                <w:sz w:val="24"/>
                <w:szCs w:val="24"/>
              </w:rPr>
              <w:t>□工作总结较深刻，对解决相关问题参考性较大（60-89）</w:t>
            </w:r>
            <w:r>
              <w:rPr>
                <w:rFonts w:hint="eastAsia" w:ascii="SimHei" w:hAnsi="SimHei" w:eastAsia="黑体" w:cs="宋体"/>
                <w:kern w:val="0"/>
                <w:sz w:val="24"/>
                <w:szCs w:val="24"/>
              </w:rPr>
              <w:br/>
            </w:r>
            <w:r>
              <w:rPr>
                <w:rFonts w:hint="eastAsia" w:ascii="SimHei" w:hAnsi="SimHei" w:eastAsia="黑体" w:cs="宋体"/>
                <w:kern w:val="0"/>
                <w:sz w:val="24"/>
                <w:szCs w:val="24"/>
              </w:rPr>
              <w:t>□工作总结不深刻，对解决相关问题参考性不大（0-59）</w:t>
            </w:r>
          </w:p>
        </w:tc>
        <w:tc>
          <w:tcPr>
            <w:tcW w:w="64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10%</w:t>
            </w:r>
          </w:p>
        </w:tc>
        <w:tc>
          <w:tcPr>
            <w:tcW w:w="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795"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p>
        </w:tc>
        <w:tc>
          <w:tcPr>
            <w:tcW w:w="1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个人剖析问题，准确深刻，针对性强</w:t>
            </w:r>
          </w:p>
        </w:tc>
        <w:tc>
          <w:tcPr>
            <w:tcW w:w="519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□剖析准确深刻，针对性强，对解决相关问题参考性大（90-100）</w:t>
            </w:r>
            <w:r>
              <w:rPr>
                <w:rFonts w:hint="eastAsia" w:ascii="SimHei" w:hAnsi="SimHei" w:eastAsia="黑体" w:cs="宋体"/>
                <w:kern w:val="0"/>
                <w:sz w:val="24"/>
                <w:szCs w:val="24"/>
              </w:rPr>
              <w:br/>
            </w:r>
            <w:r>
              <w:rPr>
                <w:rFonts w:hint="eastAsia" w:ascii="SimHei" w:hAnsi="SimHei" w:eastAsia="黑体" w:cs="宋体"/>
                <w:kern w:val="0"/>
                <w:sz w:val="24"/>
                <w:szCs w:val="24"/>
              </w:rPr>
              <w:t>□不够彻底深刻，针对性一般，对解决相关问题有一定参考性（60-89）</w:t>
            </w:r>
            <w:r>
              <w:rPr>
                <w:rFonts w:hint="eastAsia" w:ascii="SimHei" w:hAnsi="SimHei" w:eastAsia="黑体" w:cs="宋体"/>
                <w:kern w:val="0"/>
                <w:sz w:val="24"/>
                <w:szCs w:val="24"/>
              </w:rPr>
              <w:br/>
            </w:r>
            <w:r>
              <w:rPr>
                <w:rFonts w:hint="eastAsia" w:ascii="SimHei" w:hAnsi="SimHei" w:eastAsia="黑体" w:cs="宋体"/>
                <w:kern w:val="0"/>
                <w:sz w:val="24"/>
                <w:szCs w:val="24"/>
              </w:rPr>
              <w:t>□总结平铺直叙，没有针对性，敷衍了事（0-59）</w:t>
            </w:r>
          </w:p>
        </w:tc>
        <w:tc>
          <w:tcPr>
            <w:tcW w:w="64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147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p>
        </w:tc>
        <w:tc>
          <w:tcPr>
            <w:tcW w:w="1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改进想法得当，解决思路明晰，对日后的工作有明显促进作用</w:t>
            </w:r>
          </w:p>
        </w:tc>
        <w:tc>
          <w:tcPr>
            <w:tcW w:w="519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□积极履行本岗位工作职责，个人贡献度高，能充分体现个人在工作中的价值（90-100）</w:t>
            </w:r>
            <w:r>
              <w:rPr>
                <w:rFonts w:hint="eastAsia" w:ascii="SimHei" w:hAnsi="SimHei" w:eastAsia="黑体" w:cs="宋体"/>
                <w:kern w:val="0"/>
                <w:sz w:val="24"/>
                <w:szCs w:val="24"/>
              </w:rPr>
              <w:br/>
            </w:r>
            <w:r>
              <w:rPr>
                <w:rFonts w:hint="eastAsia" w:ascii="SimHei" w:hAnsi="SimHei" w:eastAsia="黑体" w:cs="宋体"/>
                <w:kern w:val="0"/>
                <w:sz w:val="24"/>
                <w:szCs w:val="24"/>
              </w:rPr>
              <w:t>□履行本岗位工作职责，个人贡献度较高，能体现个人在工作中的价值（60-89）</w:t>
            </w:r>
            <w:r>
              <w:rPr>
                <w:rFonts w:hint="eastAsia" w:ascii="SimHei" w:hAnsi="SimHei" w:eastAsia="黑体" w:cs="宋体"/>
                <w:kern w:val="0"/>
                <w:sz w:val="24"/>
                <w:szCs w:val="24"/>
              </w:rPr>
              <w:br/>
            </w:r>
            <w:r>
              <w:rPr>
                <w:rFonts w:hint="eastAsia" w:ascii="SimHei" w:hAnsi="SimHei" w:eastAsia="黑体" w:cs="宋体"/>
                <w:kern w:val="0"/>
                <w:sz w:val="24"/>
                <w:szCs w:val="24"/>
              </w:rPr>
              <w:t>□消极履行本岗位工作职责，个人贡献度低，不能体现个人在工作中的价值（0-59）</w:t>
            </w:r>
          </w:p>
        </w:tc>
        <w:tc>
          <w:tcPr>
            <w:tcW w:w="64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840" w:hRule="atLeast"/>
          <w:jc w:val="center"/>
        </w:trPr>
        <w:tc>
          <w:tcPr>
            <w:tcW w:w="880" w:type="dxa"/>
            <w:vMerge w:val="restart"/>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20XX年个人工作计划</w:t>
            </w:r>
          </w:p>
        </w:tc>
        <w:tc>
          <w:tcPr>
            <w:tcW w:w="1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项目计划性</w:t>
            </w:r>
          </w:p>
        </w:tc>
        <w:tc>
          <w:tcPr>
            <w:tcW w:w="519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□项目计划性强，可行性高（90-100）</w:t>
            </w:r>
            <w:r>
              <w:rPr>
                <w:rFonts w:hint="eastAsia" w:ascii="SimHei" w:hAnsi="SimHei" w:eastAsia="黑体" w:cs="宋体"/>
                <w:kern w:val="0"/>
                <w:sz w:val="24"/>
                <w:szCs w:val="24"/>
              </w:rPr>
              <w:br/>
            </w:r>
            <w:r>
              <w:rPr>
                <w:rFonts w:hint="eastAsia" w:ascii="SimHei" w:hAnsi="SimHei" w:eastAsia="黑体" w:cs="宋体"/>
                <w:kern w:val="0"/>
                <w:sz w:val="24"/>
                <w:szCs w:val="24"/>
              </w:rPr>
              <w:t>□项目计划性一般，可行性一般（60-89）</w:t>
            </w:r>
            <w:r>
              <w:rPr>
                <w:rFonts w:hint="eastAsia" w:ascii="SimHei" w:hAnsi="SimHei" w:eastAsia="黑体" w:cs="宋体"/>
                <w:kern w:val="0"/>
                <w:sz w:val="24"/>
                <w:szCs w:val="24"/>
              </w:rPr>
              <w:br/>
            </w:r>
            <w:r>
              <w:rPr>
                <w:rFonts w:hint="eastAsia" w:ascii="SimHei" w:hAnsi="SimHei" w:eastAsia="黑体" w:cs="宋体"/>
                <w:kern w:val="0"/>
                <w:sz w:val="24"/>
                <w:szCs w:val="24"/>
              </w:rPr>
              <w:t>□项目计划性差，可行性差（0-59）</w:t>
            </w:r>
          </w:p>
        </w:tc>
        <w:tc>
          <w:tcPr>
            <w:tcW w:w="64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00" w:type="dxa"/>
            <w:vMerge w:val="restart"/>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1455"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p>
        </w:tc>
        <w:tc>
          <w:tcPr>
            <w:tcW w:w="1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岗位价值高</w:t>
            </w:r>
          </w:p>
        </w:tc>
        <w:tc>
          <w:tcPr>
            <w:tcW w:w="519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□积极履行本岗位工作职责，个人贡献度高，能充分体现个人在工作中的价值（90-100）</w:t>
            </w:r>
            <w:r>
              <w:rPr>
                <w:rFonts w:hint="eastAsia" w:ascii="SimHei" w:hAnsi="SimHei" w:eastAsia="黑体" w:cs="宋体"/>
                <w:kern w:val="0"/>
                <w:sz w:val="24"/>
                <w:szCs w:val="24"/>
              </w:rPr>
              <w:br/>
            </w:r>
            <w:r>
              <w:rPr>
                <w:rFonts w:hint="eastAsia" w:ascii="SimHei" w:hAnsi="SimHei" w:eastAsia="黑体" w:cs="宋体"/>
                <w:kern w:val="0"/>
                <w:sz w:val="24"/>
                <w:szCs w:val="24"/>
              </w:rPr>
              <w:t>□履行本岗位工作职责，个人贡献度较高，能体现个人在工作中的价值（60-89）</w:t>
            </w:r>
            <w:r>
              <w:rPr>
                <w:rFonts w:hint="eastAsia" w:ascii="SimHei" w:hAnsi="SimHei" w:eastAsia="黑体" w:cs="宋体"/>
                <w:kern w:val="0"/>
                <w:sz w:val="24"/>
                <w:szCs w:val="24"/>
              </w:rPr>
              <w:br/>
            </w:r>
            <w:r>
              <w:rPr>
                <w:rFonts w:hint="eastAsia" w:ascii="SimHei" w:hAnsi="SimHei" w:eastAsia="黑体" w:cs="宋体"/>
                <w:kern w:val="0"/>
                <w:sz w:val="24"/>
                <w:szCs w:val="24"/>
              </w:rPr>
              <w:t>□消极履行本岗位工作职责，个人贡献度低，不能体现个人在工作中的价值（0-59）</w:t>
            </w:r>
          </w:p>
        </w:tc>
        <w:tc>
          <w:tcPr>
            <w:tcW w:w="64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1020" w:hRule="atLeast"/>
          <w:jc w:val="center"/>
        </w:trPr>
        <w:tc>
          <w:tcPr>
            <w:tcW w:w="880" w:type="dxa"/>
            <w:vMerge w:val="restart"/>
            <w:tcBorders>
              <w:top w:val="nil"/>
              <w:left w:val="single" w:color="auto" w:sz="4" w:space="0"/>
              <w:bottom w:val="single" w:color="000000"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XX电业局视频安防整合试点</w:t>
            </w:r>
          </w:p>
        </w:tc>
        <w:tc>
          <w:tcPr>
            <w:tcW w:w="1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调试完成，具备试运行条件</w:t>
            </w:r>
          </w:p>
        </w:tc>
        <w:tc>
          <w:tcPr>
            <w:tcW w:w="519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□3月15日之前，完成软件的首轮调试，具备试运行条件（90-100）</w:t>
            </w:r>
            <w:r>
              <w:rPr>
                <w:rFonts w:hint="eastAsia" w:ascii="SimHei" w:hAnsi="SimHei" w:eastAsia="黑体" w:cs="宋体"/>
                <w:kern w:val="0"/>
                <w:sz w:val="24"/>
                <w:szCs w:val="24"/>
              </w:rPr>
              <w:br/>
            </w:r>
            <w:r>
              <w:rPr>
                <w:rFonts w:hint="eastAsia" w:ascii="SimHei" w:hAnsi="SimHei" w:eastAsia="黑体" w:cs="宋体"/>
                <w:kern w:val="0"/>
                <w:sz w:val="24"/>
                <w:szCs w:val="24"/>
              </w:rPr>
              <w:t>□4月15日之前，完成软件的首轮调试，具备试运行条件（60-89）</w:t>
            </w:r>
            <w:r>
              <w:rPr>
                <w:rFonts w:hint="eastAsia" w:ascii="SimHei" w:hAnsi="SimHei" w:eastAsia="黑体" w:cs="宋体"/>
                <w:kern w:val="0"/>
                <w:sz w:val="24"/>
                <w:szCs w:val="24"/>
              </w:rPr>
              <w:br/>
            </w:r>
            <w:r>
              <w:rPr>
                <w:rFonts w:hint="eastAsia" w:ascii="SimHei" w:hAnsi="SimHei" w:eastAsia="黑体" w:cs="宋体"/>
                <w:kern w:val="0"/>
                <w:sz w:val="24"/>
                <w:szCs w:val="24"/>
              </w:rPr>
              <w:t>□5月15日之前，完成软件的首轮调试，具备试运行条件（0-59）</w:t>
            </w:r>
          </w:p>
        </w:tc>
        <w:tc>
          <w:tcPr>
            <w:tcW w:w="64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00" w:type="dxa"/>
            <w:vMerge w:val="restart"/>
            <w:tcBorders>
              <w:top w:val="nil"/>
              <w:left w:val="single" w:color="auto" w:sz="4" w:space="0"/>
              <w:bottom w:val="single" w:color="000000"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1020" w:hRule="atLeast"/>
          <w:jc w:val="center"/>
        </w:trPr>
        <w:tc>
          <w:tcPr>
            <w:tcW w:w="880" w:type="dxa"/>
            <w:vMerge w:val="continue"/>
            <w:tcBorders>
              <w:top w:val="nil"/>
              <w:left w:val="single" w:color="auto" w:sz="4" w:space="0"/>
              <w:bottom w:val="single" w:color="000000"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p>
        </w:tc>
        <w:tc>
          <w:tcPr>
            <w:tcW w:w="1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具备交付条件</w:t>
            </w:r>
          </w:p>
        </w:tc>
        <w:tc>
          <w:tcPr>
            <w:tcW w:w="519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□3月31日之前，软件具备交付条件（90-100）</w:t>
            </w:r>
            <w:r>
              <w:rPr>
                <w:rFonts w:hint="eastAsia" w:ascii="SimHei" w:hAnsi="SimHei" w:eastAsia="黑体" w:cs="宋体"/>
                <w:kern w:val="0"/>
                <w:sz w:val="24"/>
                <w:szCs w:val="24"/>
              </w:rPr>
              <w:br/>
            </w:r>
            <w:r>
              <w:rPr>
                <w:rFonts w:hint="eastAsia" w:ascii="SimHei" w:hAnsi="SimHei" w:eastAsia="黑体" w:cs="宋体"/>
                <w:kern w:val="0"/>
                <w:sz w:val="24"/>
                <w:szCs w:val="24"/>
              </w:rPr>
              <w:t>□4月31日之前，软件具备交付条件（60-89）</w:t>
            </w:r>
            <w:r>
              <w:rPr>
                <w:rFonts w:hint="eastAsia" w:ascii="SimHei" w:hAnsi="SimHei" w:eastAsia="黑体" w:cs="宋体"/>
                <w:kern w:val="0"/>
                <w:sz w:val="24"/>
                <w:szCs w:val="24"/>
              </w:rPr>
              <w:br/>
            </w:r>
            <w:r>
              <w:rPr>
                <w:rFonts w:hint="eastAsia" w:ascii="SimHei" w:hAnsi="SimHei" w:eastAsia="黑体" w:cs="宋体"/>
                <w:kern w:val="0"/>
                <w:sz w:val="24"/>
                <w:szCs w:val="24"/>
              </w:rPr>
              <w:t>□5月31日之前，软件具备交付条件（0-59）</w:t>
            </w:r>
          </w:p>
        </w:tc>
        <w:tc>
          <w:tcPr>
            <w:tcW w:w="64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00" w:type="dxa"/>
            <w:vMerge w:val="continue"/>
            <w:tcBorders>
              <w:top w:val="nil"/>
              <w:left w:val="single" w:color="auto" w:sz="4" w:space="0"/>
              <w:bottom w:val="single" w:color="000000"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825" w:hRule="atLeast"/>
          <w:jc w:val="center"/>
        </w:trPr>
        <w:tc>
          <w:tcPr>
            <w:tcW w:w="880" w:type="dxa"/>
            <w:vMerge w:val="restart"/>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配合（程彦清）变电站GIS巡检系统</w:t>
            </w:r>
          </w:p>
        </w:tc>
        <w:tc>
          <w:tcPr>
            <w:tcW w:w="1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具备交付条件</w:t>
            </w:r>
          </w:p>
        </w:tc>
        <w:tc>
          <w:tcPr>
            <w:tcW w:w="519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□2月1日之前，软件具备交付条件（90-100）</w:t>
            </w:r>
            <w:r>
              <w:rPr>
                <w:rFonts w:hint="eastAsia" w:ascii="SimHei" w:hAnsi="SimHei" w:eastAsia="黑体" w:cs="宋体"/>
                <w:kern w:val="0"/>
                <w:sz w:val="24"/>
                <w:szCs w:val="24"/>
              </w:rPr>
              <w:br/>
            </w:r>
            <w:r>
              <w:rPr>
                <w:rFonts w:hint="eastAsia" w:ascii="SimHei" w:hAnsi="SimHei" w:eastAsia="黑体" w:cs="宋体"/>
                <w:kern w:val="0"/>
                <w:sz w:val="24"/>
                <w:szCs w:val="24"/>
              </w:rPr>
              <w:t>□3月1日之前，软件具备交付条件（60-89）</w:t>
            </w:r>
            <w:r>
              <w:rPr>
                <w:rFonts w:hint="eastAsia" w:ascii="SimHei" w:hAnsi="SimHei" w:eastAsia="黑体" w:cs="宋体"/>
                <w:kern w:val="0"/>
                <w:sz w:val="24"/>
                <w:szCs w:val="24"/>
              </w:rPr>
              <w:br/>
            </w:r>
            <w:r>
              <w:rPr>
                <w:rFonts w:hint="eastAsia" w:ascii="SimHei" w:hAnsi="SimHei" w:eastAsia="黑体" w:cs="宋体"/>
                <w:kern w:val="0"/>
                <w:sz w:val="24"/>
                <w:szCs w:val="24"/>
              </w:rPr>
              <w:t>□4月1日之前，软件具备交付条件（0-60）</w:t>
            </w:r>
          </w:p>
        </w:tc>
        <w:tc>
          <w:tcPr>
            <w:tcW w:w="64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w:t>
            </w:r>
          </w:p>
        </w:tc>
        <w:tc>
          <w:tcPr>
            <w:tcW w:w="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00" w:type="dxa"/>
            <w:vMerge w:val="restart"/>
            <w:tcBorders>
              <w:top w:val="nil"/>
              <w:left w:val="single" w:color="auto" w:sz="4" w:space="0"/>
              <w:bottom w:val="single" w:color="000000"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1515"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p>
        </w:tc>
        <w:tc>
          <w:tcPr>
            <w:tcW w:w="1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完成初始化工作，具备试运行条件</w:t>
            </w:r>
          </w:p>
        </w:tc>
        <w:tc>
          <w:tcPr>
            <w:tcW w:w="519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□2月15日之前完成1个变电站的初始化工作，引导变电站试运行（90-100）</w:t>
            </w:r>
            <w:r>
              <w:rPr>
                <w:rFonts w:hint="eastAsia" w:ascii="SimHei" w:hAnsi="SimHei" w:eastAsia="黑体" w:cs="宋体"/>
                <w:kern w:val="0"/>
                <w:sz w:val="24"/>
                <w:szCs w:val="24"/>
              </w:rPr>
              <w:br/>
            </w:r>
            <w:r>
              <w:rPr>
                <w:rFonts w:hint="eastAsia" w:ascii="SimHei" w:hAnsi="SimHei" w:eastAsia="黑体" w:cs="宋体"/>
                <w:kern w:val="0"/>
                <w:sz w:val="24"/>
                <w:szCs w:val="24"/>
              </w:rPr>
              <w:t>□3月15日之前完成1个变电站的初始化工作，引导变电站试运行（60-89）</w:t>
            </w:r>
            <w:r>
              <w:rPr>
                <w:rFonts w:hint="eastAsia" w:ascii="SimHei" w:hAnsi="SimHei" w:eastAsia="黑体" w:cs="宋体"/>
                <w:kern w:val="0"/>
                <w:sz w:val="24"/>
                <w:szCs w:val="24"/>
              </w:rPr>
              <w:br/>
            </w:r>
            <w:r>
              <w:rPr>
                <w:rFonts w:hint="eastAsia" w:ascii="SimHei" w:hAnsi="SimHei" w:eastAsia="黑体" w:cs="宋体"/>
                <w:kern w:val="0"/>
                <w:sz w:val="24"/>
                <w:szCs w:val="24"/>
              </w:rPr>
              <w:t>□4月15日之前完成1个变电站的初始化工作，引导变电站试运行（0-59）</w:t>
            </w:r>
          </w:p>
        </w:tc>
        <w:tc>
          <w:tcPr>
            <w:tcW w:w="64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w:t>
            </w:r>
          </w:p>
        </w:tc>
        <w:tc>
          <w:tcPr>
            <w:tcW w:w="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00" w:type="dxa"/>
            <w:vMerge w:val="continue"/>
            <w:tcBorders>
              <w:top w:val="nil"/>
              <w:left w:val="single" w:color="auto" w:sz="4" w:space="0"/>
              <w:bottom w:val="single" w:color="000000"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945"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p>
        </w:tc>
        <w:tc>
          <w:tcPr>
            <w:tcW w:w="1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完成系统交付工作</w:t>
            </w:r>
          </w:p>
        </w:tc>
        <w:tc>
          <w:tcPr>
            <w:tcW w:w="5196"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□3月31日之前完成系统的交付工作（90-100）</w:t>
            </w:r>
            <w:r>
              <w:rPr>
                <w:rFonts w:hint="eastAsia" w:ascii="SimHei" w:hAnsi="SimHei" w:eastAsia="黑体" w:cs="宋体"/>
                <w:kern w:val="0"/>
                <w:sz w:val="24"/>
                <w:szCs w:val="24"/>
              </w:rPr>
              <w:br/>
            </w:r>
            <w:r>
              <w:rPr>
                <w:rFonts w:hint="eastAsia" w:ascii="SimHei" w:hAnsi="SimHei" w:eastAsia="黑体" w:cs="宋体"/>
                <w:kern w:val="0"/>
                <w:sz w:val="24"/>
                <w:szCs w:val="24"/>
              </w:rPr>
              <w:t>□4月31日之前完成系统的交付工作（60-89）</w:t>
            </w:r>
            <w:r>
              <w:rPr>
                <w:rFonts w:hint="eastAsia" w:ascii="SimHei" w:hAnsi="SimHei" w:eastAsia="黑体" w:cs="宋体"/>
                <w:kern w:val="0"/>
                <w:sz w:val="24"/>
                <w:szCs w:val="24"/>
              </w:rPr>
              <w:br/>
            </w:r>
            <w:r>
              <w:rPr>
                <w:rFonts w:hint="eastAsia" w:ascii="SimHei" w:hAnsi="SimHei" w:eastAsia="黑体" w:cs="宋体"/>
                <w:kern w:val="0"/>
                <w:sz w:val="24"/>
                <w:szCs w:val="24"/>
              </w:rPr>
              <w:t>□5月31日之前完成系统的交付工作（0-60）</w:t>
            </w:r>
          </w:p>
        </w:tc>
        <w:tc>
          <w:tcPr>
            <w:tcW w:w="64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66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00" w:type="dxa"/>
            <w:vMerge w:val="continue"/>
            <w:tcBorders>
              <w:top w:val="nil"/>
              <w:left w:val="single" w:color="auto" w:sz="4" w:space="0"/>
              <w:bottom w:val="single" w:color="000000"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r>
    </w:tbl>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完成后，将得分按照对应系数表得出个人绩效系数，继而测算得出季度绩效工资。</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公司技术部目前编制尚未完善，相应的策划、代码审核、测试、文档等岗位工作需要逐步增设和明确，因此，作为季度的绩效占比较小，在初期能够起到推动工作积极性和项目进度的作用。待会同技术部做好规划目标并分解后，岗位职责才能清晰划分，才可以将绩效指标逐步细化。</w:t>
      </w:r>
    </w:p>
    <w:p>
      <w:pPr>
        <w:tabs>
          <w:tab w:val="left" w:pos="709"/>
          <w:tab w:val="left" w:pos="851"/>
          <w:tab w:val="left" w:pos="8931"/>
        </w:tabs>
        <w:spacing w:line="360" w:lineRule="auto"/>
        <w:ind w:right="168" w:rightChars="80" w:firstLine="482" w:firstLineChars="200"/>
        <w:rPr>
          <w:rFonts w:ascii="楷体" w:hAnsi="楷体" w:eastAsia="楷体" w:cs="黑体"/>
          <w:b/>
          <w:kern w:val="0"/>
          <w:sz w:val="24"/>
          <w:szCs w:val="24"/>
        </w:rPr>
      </w:pPr>
      <w:r>
        <w:rPr>
          <w:rFonts w:hint="eastAsia" w:ascii="SimHei" w:hAnsi="SimHei" w:eastAsia="黑体" w:cs="黑体"/>
          <w:b/>
          <w:kern w:val="0"/>
          <w:sz w:val="24"/>
          <w:szCs w:val="24"/>
        </w:rPr>
        <w:t>（7）销售序列绩效工资</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销售部岗位工作针对性较强，且项目跟进周期较长，需要对日常工作进行阶段性的目标管理和把控，因此本方案建议也采取“季度考核、季度发放”、并采用“KPI关键绩效”的模式进行考核，不同于前两个序列的，在于仅考虑与工作目标相关联的关键工作进行量化考核，主观能动与素质暂不参评，放入年终统一考评。具体如下：</w:t>
      </w:r>
    </w:p>
    <w:p>
      <w:pPr>
        <w:tabs>
          <w:tab w:val="left" w:pos="709"/>
          <w:tab w:val="left" w:pos="851"/>
          <w:tab w:val="left" w:pos="8931"/>
        </w:tabs>
        <w:spacing w:line="360" w:lineRule="auto"/>
        <w:ind w:right="168" w:rightChars="80"/>
        <w:jc w:val="center"/>
        <w:rPr>
          <w:rFonts w:ascii="楷体" w:hAnsi="楷体" w:eastAsia="楷体" w:cs="黑体"/>
          <w:kern w:val="0"/>
          <w:sz w:val="24"/>
          <w:szCs w:val="24"/>
        </w:rPr>
      </w:pPr>
      <w:r>
        <w:rPr>
          <w:rFonts w:hint="eastAsia" w:ascii="SimHei" w:hAnsi="SimHei" w:eastAsia="黑体" w:cs="黑体"/>
          <w:kern w:val="0"/>
          <w:sz w:val="24"/>
          <w:szCs w:val="24"/>
        </w:rPr>
        <w:t>表一：销售部某季度关键任务目标（举例）</w:t>
      </w:r>
    </w:p>
    <w:tbl>
      <w:tblPr>
        <w:tblStyle w:val="28"/>
        <w:tblW w:w="9655" w:type="dxa"/>
        <w:jc w:val="center"/>
        <w:tblInd w:w="0" w:type="dxa"/>
        <w:tblLayout w:type="fixed"/>
        <w:tblCellMar>
          <w:top w:w="0" w:type="dxa"/>
          <w:left w:w="108" w:type="dxa"/>
          <w:bottom w:w="0" w:type="dxa"/>
          <w:right w:w="108" w:type="dxa"/>
        </w:tblCellMar>
      </w:tblPr>
      <w:tblGrid>
        <w:gridCol w:w="3652"/>
        <w:gridCol w:w="1701"/>
        <w:gridCol w:w="1701"/>
        <w:gridCol w:w="851"/>
        <w:gridCol w:w="992"/>
        <w:gridCol w:w="758"/>
      </w:tblGrid>
      <w:tr>
        <w:tblPrEx>
          <w:tblLayout w:type="fixed"/>
          <w:tblCellMar>
            <w:top w:w="0" w:type="dxa"/>
            <w:left w:w="108" w:type="dxa"/>
            <w:bottom w:w="0" w:type="dxa"/>
            <w:right w:w="108" w:type="dxa"/>
          </w:tblCellMar>
        </w:tblPrEx>
        <w:trPr>
          <w:trHeight w:val="567" w:hRule="exact"/>
          <w:jc w:val="center"/>
        </w:trPr>
        <w:tc>
          <w:tcPr>
            <w:tcW w:w="36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维度</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主要内容</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时间节点</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是否按时完成</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未完成原因</w:t>
            </w:r>
          </w:p>
        </w:tc>
        <w:tc>
          <w:tcPr>
            <w:tcW w:w="758"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
                <w:bCs/>
                <w:kern w:val="0"/>
                <w:sz w:val="24"/>
                <w:szCs w:val="24"/>
              </w:rPr>
            </w:pPr>
            <w:r>
              <w:rPr>
                <w:rFonts w:hint="eastAsia" w:ascii="SimHei" w:hAnsi="SimHei" w:eastAsia="黑体" w:cs="宋体"/>
                <w:b/>
                <w:bCs/>
                <w:kern w:val="0"/>
                <w:sz w:val="24"/>
                <w:szCs w:val="24"/>
              </w:rPr>
              <w:t>具体情况描述</w:t>
            </w:r>
          </w:p>
        </w:tc>
      </w:tr>
      <w:tr>
        <w:tblPrEx>
          <w:tblLayout w:type="fixed"/>
          <w:tblCellMar>
            <w:top w:w="0" w:type="dxa"/>
            <w:left w:w="108" w:type="dxa"/>
            <w:bottom w:w="0" w:type="dxa"/>
            <w:right w:w="108" w:type="dxa"/>
          </w:tblCellMar>
        </w:tblPrEx>
        <w:trPr>
          <w:trHeight w:val="567" w:hRule="exact"/>
          <w:jc w:val="center"/>
        </w:trPr>
        <w:tc>
          <w:tcPr>
            <w:tcW w:w="3652"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XX电业局GIS项目</w:t>
            </w:r>
          </w:p>
        </w:tc>
        <w:tc>
          <w:tcPr>
            <w:tcW w:w="170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p>
        </w:tc>
        <w:tc>
          <w:tcPr>
            <w:tcW w:w="170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1月20日</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p>
        </w:tc>
        <w:tc>
          <w:tcPr>
            <w:tcW w:w="99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p>
        </w:tc>
        <w:tc>
          <w:tcPr>
            <w:tcW w:w="75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567" w:hRule="exact"/>
          <w:jc w:val="center"/>
        </w:trPr>
        <w:tc>
          <w:tcPr>
            <w:tcW w:w="3652"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XX应急指挥系统项目</w:t>
            </w:r>
          </w:p>
        </w:tc>
        <w:tc>
          <w:tcPr>
            <w:tcW w:w="170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p>
        </w:tc>
        <w:tc>
          <w:tcPr>
            <w:tcW w:w="170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3月31日</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99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5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567" w:hRule="exact"/>
          <w:jc w:val="center"/>
        </w:trPr>
        <w:tc>
          <w:tcPr>
            <w:tcW w:w="3652"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某集团超高压防舞器</w:t>
            </w:r>
          </w:p>
        </w:tc>
        <w:tc>
          <w:tcPr>
            <w:tcW w:w="170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p>
        </w:tc>
        <w:tc>
          <w:tcPr>
            <w:tcW w:w="170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3月31日</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99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5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567" w:hRule="exact"/>
          <w:jc w:val="center"/>
        </w:trPr>
        <w:tc>
          <w:tcPr>
            <w:tcW w:w="3652"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XX变电站电暖气采购招标</w:t>
            </w:r>
          </w:p>
        </w:tc>
        <w:tc>
          <w:tcPr>
            <w:tcW w:w="170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p>
        </w:tc>
        <w:tc>
          <w:tcPr>
            <w:tcW w:w="170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3月31日</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99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5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r>
        <w:tblPrEx>
          <w:tblLayout w:type="fixed"/>
          <w:tblCellMar>
            <w:top w:w="0" w:type="dxa"/>
            <w:left w:w="108" w:type="dxa"/>
            <w:bottom w:w="0" w:type="dxa"/>
            <w:right w:w="108" w:type="dxa"/>
          </w:tblCellMar>
        </w:tblPrEx>
        <w:trPr>
          <w:trHeight w:val="567" w:hRule="exact"/>
          <w:jc w:val="center"/>
        </w:trPr>
        <w:tc>
          <w:tcPr>
            <w:tcW w:w="3652"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XX电业局59次非招标采购二次公告</w:t>
            </w:r>
          </w:p>
        </w:tc>
        <w:tc>
          <w:tcPr>
            <w:tcW w:w="170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p>
        </w:tc>
        <w:tc>
          <w:tcPr>
            <w:tcW w:w="170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随培训需求确定</w:t>
            </w:r>
          </w:p>
        </w:tc>
        <w:tc>
          <w:tcPr>
            <w:tcW w:w="851"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99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58"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r>
    </w:tbl>
    <w:p>
      <w:pPr>
        <w:tabs>
          <w:tab w:val="left" w:pos="709"/>
          <w:tab w:val="left" w:pos="851"/>
          <w:tab w:val="left" w:pos="8931"/>
        </w:tabs>
        <w:spacing w:line="360" w:lineRule="auto"/>
        <w:ind w:right="168" w:rightChars="80"/>
        <w:jc w:val="center"/>
        <w:rPr>
          <w:rFonts w:ascii="楷体" w:hAnsi="楷体" w:eastAsia="楷体" w:cs="黑体"/>
          <w:kern w:val="0"/>
          <w:sz w:val="24"/>
          <w:szCs w:val="24"/>
        </w:rPr>
      </w:pPr>
      <w:r>
        <w:rPr>
          <w:rFonts w:hint="eastAsia" w:ascii="SimHei" w:hAnsi="SimHei" w:eastAsia="黑体" w:cs="黑体"/>
          <w:kern w:val="0"/>
          <w:sz w:val="24"/>
          <w:szCs w:val="24"/>
        </w:rPr>
        <w:t>表二：某销售代表季度量化考核表</w:t>
      </w:r>
    </w:p>
    <w:p>
      <w:pPr>
        <w:tabs>
          <w:tab w:val="left" w:pos="709"/>
          <w:tab w:val="left" w:pos="851"/>
          <w:tab w:val="left" w:pos="8931"/>
        </w:tabs>
        <w:spacing w:line="360" w:lineRule="auto"/>
        <w:ind w:right="168" w:rightChars="80"/>
        <w:jc w:val="center"/>
        <w:rPr>
          <w:rFonts w:ascii="楷体" w:hAnsi="楷体" w:eastAsia="楷体" w:cs="黑体"/>
          <w:kern w:val="0"/>
          <w:sz w:val="24"/>
          <w:szCs w:val="24"/>
        </w:rPr>
      </w:pPr>
      <w:r>
        <w:rPr>
          <w:rFonts w:hint="eastAsia" w:ascii="SimHei" w:hAnsi="SimHei" w:eastAsia="黑体" w:cs="黑体"/>
          <w:kern w:val="0"/>
          <w:sz w:val="24"/>
          <w:szCs w:val="24"/>
        </w:rPr>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sz w:val="24"/>
          <w:szCs w:val="24"/>
        </w:rPr>
        <w:t>完成后，将得分按照对应系数表得出个人绩效系数，继而测算得出季度绩效工资。</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cs="黑体"/>
          <w:kern w:val="0"/>
          <w:sz w:val="24"/>
          <w:szCs w:val="24"/>
        </w:rPr>
        <w:t>销售部目前编制基本完善，但人员尚未充足，所以考核表可以尽量量化与细化，这样结果更具参考价值和客观性</w:t>
      </w:r>
    </w:p>
    <w:p>
      <w:pPr>
        <w:tabs>
          <w:tab w:val="left" w:pos="709"/>
          <w:tab w:val="left" w:pos="851"/>
          <w:tab w:val="left" w:pos="8931"/>
        </w:tabs>
        <w:spacing w:line="360" w:lineRule="auto"/>
        <w:ind w:right="168" w:rightChars="80" w:firstLine="482" w:firstLineChars="200"/>
        <w:rPr>
          <w:rFonts w:ascii="楷体" w:hAnsi="楷体" w:eastAsia="楷体" w:cs="黑体"/>
          <w:b/>
          <w:kern w:val="0"/>
          <w:sz w:val="24"/>
          <w:szCs w:val="24"/>
        </w:rPr>
      </w:pPr>
      <w:r>
        <w:rPr>
          <w:rFonts w:hint="eastAsia" w:ascii="SimHei" w:hAnsi="SimHei" w:eastAsia="黑体" w:cs="黑体"/>
          <w:b/>
          <w:kern w:val="0"/>
          <w:sz w:val="24"/>
          <w:szCs w:val="24"/>
        </w:rPr>
        <w:t>补充规定：当月缺勤超过10日（包含各种请假和法定节假日，不含公休日）的员工，当月绩效工资不予发放，包括离职员工。</w:t>
      </w:r>
    </w:p>
    <w:p>
      <w:pPr>
        <w:pStyle w:val="3"/>
        <w:tabs>
          <w:tab w:val="left" w:pos="709"/>
          <w:tab w:val="left" w:pos="851"/>
          <w:tab w:val="left" w:pos="8931"/>
        </w:tabs>
        <w:spacing w:before="0" w:after="0" w:line="360" w:lineRule="auto"/>
        <w:ind w:right="168" w:rightChars="80" w:firstLine="482" w:firstLineChars="200"/>
        <w:rPr>
          <w:rFonts w:ascii="楷体" w:hAnsi="楷体" w:eastAsia="楷体"/>
          <w:kern w:val="0"/>
          <w:sz w:val="24"/>
          <w:szCs w:val="24"/>
        </w:rPr>
      </w:pPr>
      <w:bookmarkStart w:id="72" w:name="_Toc408573191"/>
      <w:bookmarkStart w:id="73" w:name="_Toc407729194"/>
      <w:r>
        <w:rPr>
          <w:rFonts w:hint="eastAsia" w:ascii="SimHei" w:hAnsi="SimHei" w:eastAsia="黑体"/>
          <w:kern w:val="0"/>
          <w:sz w:val="24"/>
          <w:szCs w:val="24"/>
        </w:rPr>
        <w:t>五、考勤工资</w:t>
      </w:r>
      <w:bookmarkEnd w:id="72"/>
      <w:bookmarkEnd w:id="73"/>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74" w:name="_Toc407729195"/>
      <w:bookmarkStart w:id="75" w:name="_Toc408573192"/>
      <w:r>
        <w:rPr>
          <w:rFonts w:ascii="SimHei" w:hAnsi="SimHei" w:eastAsia="黑体" w:cs="黑体"/>
          <w:kern w:val="0"/>
          <w:sz w:val="24"/>
          <w:szCs w:val="24"/>
        </w:rPr>
      </w:r>
      <w:r>
        <w:rPr>
          <w:rFonts w:hint="eastAsia" w:ascii="SimHei" w:hAnsi="SimHei" w:eastAsia="黑体"/>
          <w:sz w:val="24"/>
          <w:szCs w:val="24"/>
        </w:rPr>
        <w:t>1、考勤范围</w:t>
      </w:r>
      <w:bookmarkEnd w:id="74"/>
      <w:bookmarkEnd w:id="75"/>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ascii="SimHei" w:hAnsi="SimHei" w:eastAsia="黑体" w:cs="黑体"/>
          <w:kern w:val="0"/>
          <w:sz w:val="24"/>
          <w:szCs w:val="24"/>
        </w:rPr>
      </w:r>
    </w:p>
    <w:p>
      <w:pPr>
        <w:pStyle w:val="12"/>
        <w:tabs>
          <w:tab w:val="left" w:pos="709"/>
          <w:tab w:val="left" w:pos="851"/>
          <w:tab w:val="left" w:pos="8931"/>
        </w:tabs>
        <w:spacing w:line="360" w:lineRule="auto"/>
        <w:ind w:right="168" w:rightChars="80" w:firstLine="480" w:firstLineChars="200"/>
        <w:jc w:val="both"/>
        <w:rPr>
          <w:rFonts w:ascii="楷体" w:hAnsi="楷体" w:eastAsia="楷体"/>
          <w:sz w:val="24"/>
          <w:szCs w:val="24"/>
        </w:rPr>
      </w:pPr>
    </w:p>
    <w:p>
      <w:pPr>
        <w:pStyle w:val="12"/>
        <w:tabs>
          <w:tab w:val="left" w:pos="709"/>
          <w:tab w:val="left" w:pos="851"/>
          <w:tab w:val="left" w:pos="8931"/>
        </w:tabs>
        <w:spacing w:line="360" w:lineRule="auto"/>
        <w:ind w:right="168" w:rightChars="80" w:firstLine="480" w:firstLineChars="200"/>
        <w:jc w:val="both"/>
        <w:rPr>
          <w:rFonts w:ascii="楷体" w:hAnsi="楷体" w:eastAsia="楷体"/>
          <w:sz w:val="24"/>
          <w:szCs w:val="24"/>
        </w:rPr>
      </w:pPr>
    </w:p>
    <w:p>
      <w:pPr>
        <w:pStyle w:val="12"/>
        <w:tabs>
          <w:tab w:val="left" w:pos="709"/>
          <w:tab w:val="left" w:pos="851"/>
          <w:tab w:val="left" w:pos="8931"/>
        </w:tabs>
        <w:spacing w:line="360" w:lineRule="auto"/>
        <w:ind w:right="168" w:rightChars="80" w:firstLine="480" w:firstLineChars="200"/>
        <w:jc w:val="both"/>
        <w:rPr>
          <w:rFonts w:ascii="楷体" w:hAnsi="楷体" w:eastAsia="楷体"/>
          <w:sz w:val="24"/>
          <w:szCs w:val="24"/>
        </w:rPr>
      </w:pPr>
    </w:p>
    <w:p>
      <w:pPr>
        <w:pStyle w:val="4"/>
        <w:tabs>
          <w:tab w:val="left" w:pos="709"/>
          <w:tab w:val="left" w:pos="851"/>
          <w:tab w:val="left" w:pos="8931"/>
        </w:tabs>
        <w:spacing w:before="0" w:after="0" w:line="360" w:lineRule="auto"/>
        <w:ind w:right="168" w:rightChars="80" w:firstLine="484" w:firstLineChars="201"/>
        <w:rPr>
          <w:rFonts w:ascii="楷体" w:hAnsi="楷体" w:eastAsia="楷体"/>
          <w:sz w:val="24"/>
          <w:szCs w:val="24"/>
        </w:rPr>
      </w:pPr>
      <w:bookmarkStart w:id="76" w:name="_Toc407729196"/>
      <w:bookmarkStart w:id="77" w:name="_Toc408573193"/>
      <w:r>
        <w:rPr>
          <w:rFonts w:hint="eastAsia" w:ascii="SimHei" w:hAnsi="SimHei" w:eastAsia="黑体"/>
          <w:sz w:val="24"/>
          <w:szCs w:val="24"/>
        </w:rPr>
        <w:t>2、评分标准</w:t>
      </w:r>
      <w:bookmarkEnd w:id="76"/>
      <w:bookmarkEnd w:id="77"/>
    </w:p>
    <w:p>
      <w:pPr>
        <w:pStyle w:val="12"/>
        <w:tabs>
          <w:tab w:val="left" w:pos="709"/>
          <w:tab w:val="left" w:pos="851"/>
          <w:tab w:val="left" w:pos="8931"/>
        </w:tabs>
        <w:spacing w:line="360" w:lineRule="auto"/>
        <w:ind w:left="0" w:right="168" w:rightChars="80" w:firstLine="484" w:firstLineChars="202"/>
        <w:jc w:val="both"/>
        <w:rPr>
          <w:rFonts w:hint="eastAsia" w:ascii="楷体" w:hAnsi="楷体" w:eastAsia="楷体"/>
          <w:sz w:val="24"/>
          <w:szCs w:val="24"/>
        </w:rPr>
      </w:pPr>
    </w:p>
    <w:p>
      <w:pPr>
        <w:pStyle w:val="12"/>
        <w:tabs>
          <w:tab w:val="left" w:pos="709"/>
          <w:tab w:val="left" w:pos="851"/>
          <w:tab w:val="left" w:pos="8931"/>
        </w:tabs>
        <w:spacing w:line="360" w:lineRule="auto"/>
        <w:ind w:left="0" w:right="168" w:rightChars="80" w:firstLine="484" w:firstLineChars="202"/>
        <w:jc w:val="both"/>
        <w:rPr>
          <w:rFonts w:ascii="楷体" w:hAnsi="楷体" w:eastAsia="楷体"/>
          <w:sz w:val="24"/>
          <w:szCs w:val="24"/>
        </w:rPr>
      </w:pPr>
      <w:r>
        <w:rPr>
          <w:rFonts w:hint="eastAsia" w:ascii="SimHei" w:hAnsi="SimHei" w:eastAsia="黑体"/>
          <w:sz w:val="24"/>
          <w:szCs w:val="24"/>
        </w:rPr>
        <w:t>考勤工资的计算采取评分制，由人事部门根据日考勤分数，累加进行每月的评分，具体如下：</w:t>
      </w:r>
    </w:p>
    <w:tbl>
      <w:tblPr>
        <w:tblStyle w:val="28"/>
        <w:tblW w:w="9228" w:type="dxa"/>
        <w:jc w:val="center"/>
        <w:tblInd w:w="0" w:type="dxa"/>
        <w:tblLayout w:type="fixed"/>
        <w:tblCellMar>
          <w:top w:w="0" w:type="dxa"/>
          <w:left w:w="108" w:type="dxa"/>
          <w:bottom w:w="0" w:type="dxa"/>
          <w:right w:w="108" w:type="dxa"/>
        </w:tblCellMar>
      </w:tblPr>
      <w:tblGrid>
        <w:gridCol w:w="2549"/>
        <w:gridCol w:w="812"/>
        <w:gridCol w:w="553"/>
        <w:gridCol w:w="552"/>
        <w:gridCol w:w="576"/>
        <w:gridCol w:w="576"/>
        <w:gridCol w:w="576"/>
        <w:gridCol w:w="576"/>
        <w:gridCol w:w="576"/>
        <w:gridCol w:w="576"/>
        <w:gridCol w:w="576"/>
        <w:gridCol w:w="730"/>
      </w:tblGrid>
      <w:tr>
        <w:tblPrEx>
          <w:tblLayout w:type="fixed"/>
          <w:tblCellMar>
            <w:top w:w="0" w:type="dxa"/>
            <w:left w:w="108" w:type="dxa"/>
            <w:bottom w:w="0" w:type="dxa"/>
            <w:right w:w="108" w:type="dxa"/>
          </w:tblCellMar>
        </w:tblPrEx>
        <w:trPr>
          <w:trHeight w:val="399" w:hRule="exact"/>
          <w:jc w:val="center"/>
        </w:trPr>
        <w:tc>
          <w:tcPr>
            <w:tcW w:w="9228" w:type="dxa"/>
            <w:gridSpan w:val="12"/>
            <w:tcBorders>
              <w:top w:val="nil"/>
              <w:left w:val="nil"/>
              <w:bottom w:val="single" w:color="auto" w:sz="4" w:space="0"/>
              <w:right w:val="nil"/>
            </w:tcBorders>
            <w:shd w:val="clear" w:color="auto" w:fill="auto"/>
            <w:noWrap/>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r>
              <w:rPr>
                <w:rFonts w:hint="eastAsia" w:ascii="SimHei" w:hAnsi="SimHei" w:eastAsia="黑体" w:cs="宋体"/>
                <w:bCs/>
                <w:kern w:val="0"/>
                <w:sz w:val="24"/>
                <w:szCs w:val="24"/>
              </w:rPr>
              <w:t>考勤评分表</w:t>
            </w:r>
          </w:p>
        </w:tc>
      </w:tr>
      <w:tr>
        <w:tblPrEx>
          <w:tblLayout w:type="fixed"/>
          <w:tblCellMar>
            <w:top w:w="0" w:type="dxa"/>
            <w:left w:w="108" w:type="dxa"/>
            <w:bottom w:w="0" w:type="dxa"/>
            <w:right w:w="108" w:type="dxa"/>
          </w:tblCellMar>
        </w:tblPrEx>
        <w:trPr>
          <w:trHeight w:val="399" w:hRule="exact"/>
          <w:jc w:val="center"/>
        </w:trPr>
        <w:tc>
          <w:tcPr>
            <w:tcW w:w="2549" w:type="dxa"/>
            <w:vMerge w:val="restart"/>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r>
              <w:rPr>
                <w:rFonts w:hint="eastAsia" w:ascii="SimHei" w:hAnsi="SimHei" w:eastAsia="黑体" w:cs="宋体"/>
                <w:bCs/>
                <w:kern w:val="0"/>
                <w:sz w:val="24"/>
                <w:szCs w:val="24"/>
              </w:rPr>
              <w:t>迟到、早退（分钟）</w:t>
            </w:r>
          </w:p>
        </w:tc>
        <w:tc>
          <w:tcPr>
            <w:tcW w:w="812" w:type="dxa"/>
            <w:vMerge w:val="restart"/>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r>
              <w:rPr>
                <w:rFonts w:hint="eastAsia" w:ascii="SimHei" w:hAnsi="SimHei" w:eastAsia="黑体" w:cs="宋体"/>
                <w:bCs/>
                <w:kern w:val="0"/>
                <w:sz w:val="24"/>
                <w:szCs w:val="24"/>
              </w:rPr>
              <w:t>扣分</w:t>
            </w:r>
          </w:p>
        </w:tc>
        <w:tc>
          <w:tcPr>
            <w:tcW w:w="5867" w:type="dxa"/>
            <w:gridSpan w:val="10"/>
            <w:tcBorders>
              <w:top w:val="single" w:color="auto" w:sz="4" w:space="0"/>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r>
              <w:rPr>
                <w:rFonts w:hint="eastAsia" w:ascii="SimHei" w:hAnsi="SimHei" w:eastAsia="黑体" w:cs="宋体"/>
                <w:bCs/>
                <w:kern w:val="0"/>
                <w:sz w:val="24"/>
                <w:szCs w:val="24"/>
              </w:rPr>
              <w:t>次数</w:t>
            </w:r>
          </w:p>
        </w:tc>
      </w:tr>
      <w:tr>
        <w:tblPrEx>
          <w:tblLayout w:type="fixed"/>
          <w:tblCellMar>
            <w:top w:w="0" w:type="dxa"/>
            <w:left w:w="108" w:type="dxa"/>
            <w:bottom w:w="0" w:type="dxa"/>
            <w:right w:w="108" w:type="dxa"/>
          </w:tblCellMar>
        </w:tblPrEx>
        <w:trPr>
          <w:trHeight w:val="399" w:hRule="exact"/>
          <w:jc w:val="center"/>
        </w:trPr>
        <w:tc>
          <w:tcPr>
            <w:tcW w:w="2549"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p>
        </w:tc>
        <w:tc>
          <w:tcPr>
            <w:tcW w:w="812"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p>
        </w:tc>
        <w:tc>
          <w:tcPr>
            <w:tcW w:w="55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r>
              <w:rPr>
                <w:rFonts w:hint="eastAsia" w:ascii="SimHei" w:hAnsi="SimHei" w:eastAsia="黑体" w:cs="宋体"/>
                <w:bCs/>
                <w:kern w:val="0"/>
                <w:sz w:val="24"/>
                <w:szCs w:val="24"/>
              </w:rPr>
              <w:t>1</w:t>
            </w:r>
          </w:p>
        </w:tc>
        <w:tc>
          <w:tcPr>
            <w:tcW w:w="552"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r>
              <w:rPr>
                <w:rFonts w:hint="eastAsia" w:ascii="SimHei" w:hAnsi="SimHei" w:eastAsia="黑体" w:cs="宋体"/>
                <w:bCs/>
                <w:kern w:val="0"/>
                <w:sz w:val="24"/>
                <w:szCs w:val="24"/>
              </w:rPr>
              <w:t>2</w:t>
            </w:r>
          </w:p>
        </w:tc>
        <w:tc>
          <w:tcPr>
            <w:tcW w:w="576"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r>
              <w:rPr>
                <w:rFonts w:hint="eastAsia" w:ascii="SimHei" w:hAnsi="SimHei" w:eastAsia="黑体" w:cs="宋体"/>
                <w:bCs/>
                <w:kern w:val="0"/>
                <w:sz w:val="24"/>
                <w:szCs w:val="24"/>
              </w:rPr>
              <w:t>3</w:t>
            </w:r>
          </w:p>
        </w:tc>
        <w:tc>
          <w:tcPr>
            <w:tcW w:w="576"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r>
              <w:rPr>
                <w:rFonts w:hint="eastAsia" w:ascii="SimHei" w:hAnsi="SimHei" w:eastAsia="黑体" w:cs="宋体"/>
                <w:bCs/>
                <w:kern w:val="0"/>
                <w:sz w:val="24"/>
                <w:szCs w:val="24"/>
              </w:rPr>
              <w:t>4</w:t>
            </w:r>
          </w:p>
        </w:tc>
        <w:tc>
          <w:tcPr>
            <w:tcW w:w="576"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r>
              <w:rPr>
                <w:rFonts w:hint="eastAsia" w:ascii="SimHei" w:hAnsi="SimHei" w:eastAsia="黑体" w:cs="宋体"/>
                <w:bCs/>
                <w:kern w:val="0"/>
                <w:sz w:val="24"/>
                <w:szCs w:val="24"/>
              </w:rPr>
              <w:t>5</w:t>
            </w:r>
          </w:p>
        </w:tc>
        <w:tc>
          <w:tcPr>
            <w:tcW w:w="576"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r>
              <w:rPr>
                <w:rFonts w:hint="eastAsia" w:ascii="SimHei" w:hAnsi="SimHei" w:eastAsia="黑体" w:cs="宋体"/>
                <w:bCs/>
                <w:kern w:val="0"/>
                <w:sz w:val="24"/>
                <w:szCs w:val="24"/>
              </w:rPr>
              <w:t>6</w:t>
            </w:r>
          </w:p>
        </w:tc>
        <w:tc>
          <w:tcPr>
            <w:tcW w:w="576"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r>
              <w:rPr>
                <w:rFonts w:hint="eastAsia" w:ascii="SimHei" w:hAnsi="SimHei" w:eastAsia="黑体" w:cs="宋体"/>
                <w:bCs/>
                <w:kern w:val="0"/>
                <w:sz w:val="24"/>
                <w:szCs w:val="24"/>
              </w:rPr>
              <w:t>7</w:t>
            </w:r>
          </w:p>
        </w:tc>
        <w:tc>
          <w:tcPr>
            <w:tcW w:w="576"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r>
              <w:rPr>
                <w:rFonts w:hint="eastAsia" w:ascii="SimHei" w:hAnsi="SimHei" w:eastAsia="黑体" w:cs="宋体"/>
                <w:bCs/>
                <w:kern w:val="0"/>
                <w:sz w:val="24"/>
                <w:szCs w:val="24"/>
              </w:rPr>
              <w:t>8</w:t>
            </w:r>
          </w:p>
        </w:tc>
        <w:tc>
          <w:tcPr>
            <w:tcW w:w="576"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r>
              <w:rPr>
                <w:rFonts w:hint="eastAsia" w:ascii="SimHei" w:hAnsi="SimHei" w:eastAsia="黑体" w:cs="宋体"/>
                <w:bCs/>
                <w:kern w:val="0"/>
                <w:sz w:val="24"/>
                <w:szCs w:val="24"/>
              </w:rPr>
              <w:t>9</w:t>
            </w:r>
          </w:p>
        </w:tc>
        <w:tc>
          <w:tcPr>
            <w:tcW w:w="73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jc w:val="center"/>
              <w:rPr>
                <w:rFonts w:ascii="楷体" w:hAnsi="楷体" w:eastAsia="楷体" w:cs="宋体"/>
                <w:bCs/>
                <w:kern w:val="0"/>
                <w:sz w:val="24"/>
                <w:szCs w:val="24"/>
              </w:rPr>
            </w:pPr>
            <w:r>
              <w:rPr>
                <w:rFonts w:hint="eastAsia" w:ascii="SimHei" w:hAnsi="SimHei" w:eastAsia="黑体" w:cs="宋体"/>
                <w:bCs/>
                <w:kern w:val="0"/>
                <w:sz w:val="24"/>
                <w:szCs w:val="24"/>
              </w:rPr>
              <w:t>10</w:t>
            </w:r>
          </w:p>
        </w:tc>
      </w:tr>
      <w:tr>
        <w:tblPrEx>
          <w:tblLayout w:type="fixed"/>
          <w:tblCellMar>
            <w:top w:w="0" w:type="dxa"/>
            <w:left w:w="108" w:type="dxa"/>
            <w:bottom w:w="0" w:type="dxa"/>
            <w:right w:w="108" w:type="dxa"/>
          </w:tblCellMar>
        </w:tblPrEx>
        <w:trPr>
          <w:trHeight w:val="399" w:hRule="exact"/>
          <w:jc w:val="center"/>
        </w:trPr>
        <w:tc>
          <w:tcPr>
            <w:tcW w:w="2549"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10以下</w:t>
            </w:r>
          </w:p>
        </w:tc>
        <w:tc>
          <w:tcPr>
            <w:tcW w:w="81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2</w:t>
            </w:r>
          </w:p>
        </w:tc>
        <w:tc>
          <w:tcPr>
            <w:tcW w:w="553"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2</w:t>
            </w:r>
          </w:p>
        </w:tc>
        <w:tc>
          <w:tcPr>
            <w:tcW w:w="552"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4</w:t>
            </w:r>
          </w:p>
        </w:tc>
        <w:tc>
          <w:tcPr>
            <w:tcW w:w="576"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6</w:t>
            </w:r>
          </w:p>
        </w:tc>
        <w:tc>
          <w:tcPr>
            <w:tcW w:w="576"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8</w:t>
            </w:r>
          </w:p>
        </w:tc>
        <w:tc>
          <w:tcPr>
            <w:tcW w:w="576"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10</w:t>
            </w:r>
          </w:p>
        </w:tc>
        <w:tc>
          <w:tcPr>
            <w:tcW w:w="576" w:type="dxa"/>
            <w:tcBorders>
              <w:top w:val="nil"/>
              <w:left w:val="nil"/>
              <w:bottom w:val="single" w:color="auto" w:sz="4" w:space="0"/>
              <w:right w:val="single" w:color="auto" w:sz="4" w:space="0"/>
            </w:tcBorders>
            <w:shd w:val="clear" w:color="000000" w:fill="00B0F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12</w:t>
            </w:r>
          </w:p>
        </w:tc>
        <w:tc>
          <w:tcPr>
            <w:tcW w:w="576" w:type="dxa"/>
            <w:tcBorders>
              <w:top w:val="nil"/>
              <w:left w:val="nil"/>
              <w:bottom w:val="single" w:color="auto" w:sz="4" w:space="0"/>
              <w:right w:val="single" w:color="auto" w:sz="4" w:space="0"/>
            </w:tcBorders>
            <w:shd w:val="clear" w:color="000000" w:fill="00B0F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14</w:t>
            </w:r>
          </w:p>
        </w:tc>
        <w:tc>
          <w:tcPr>
            <w:tcW w:w="576" w:type="dxa"/>
            <w:tcBorders>
              <w:top w:val="nil"/>
              <w:left w:val="nil"/>
              <w:bottom w:val="single" w:color="auto" w:sz="4" w:space="0"/>
              <w:right w:val="single" w:color="auto" w:sz="4" w:space="0"/>
            </w:tcBorders>
            <w:shd w:val="clear" w:color="000000" w:fill="00B0F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16</w:t>
            </w:r>
          </w:p>
        </w:tc>
        <w:tc>
          <w:tcPr>
            <w:tcW w:w="576" w:type="dxa"/>
            <w:tcBorders>
              <w:top w:val="nil"/>
              <w:left w:val="nil"/>
              <w:bottom w:val="single" w:color="auto" w:sz="4" w:space="0"/>
              <w:right w:val="single" w:color="auto" w:sz="4" w:space="0"/>
            </w:tcBorders>
            <w:shd w:val="clear" w:color="000000" w:fill="00B0F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18</w:t>
            </w:r>
          </w:p>
        </w:tc>
        <w:tc>
          <w:tcPr>
            <w:tcW w:w="730" w:type="dxa"/>
            <w:tcBorders>
              <w:top w:val="nil"/>
              <w:left w:val="nil"/>
              <w:bottom w:val="single" w:color="auto" w:sz="4" w:space="0"/>
              <w:right w:val="single" w:color="auto" w:sz="4" w:space="0"/>
            </w:tcBorders>
            <w:shd w:val="clear" w:color="000000" w:fill="00B0F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20</w:t>
            </w:r>
          </w:p>
        </w:tc>
      </w:tr>
      <w:tr>
        <w:tblPrEx>
          <w:tblLayout w:type="fixed"/>
          <w:tblCellMar>
            <w:top w:w="0" w:type="dxa"/>
            <w:left w:w="108" w:type="dxa"/>
            <w:bottom w:w="0" w:type="dxa"/>
            <w:right w:w="108" w:type="dxa"/>
          </w:tblCellMar>
        </w:tblPrEx>
        <w:trPr>
          <w:trHeight w:val="399" w:hRule="exact"/>
          <w:jc w:val="center"/>
        </w:trPr>
        <w:tc>
          <w:tcPr>
            <w:tcW w:w="2549"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11-30</w:t>
            </w:r>
          </w:p>
        </w:tc>
        <w:tc>
          <w:tcPr>
            <w:tcW w:w="81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5</w:t>
            </w:r>
          </w:p>
        </w:tc>
        <w:tc>
          <w:tcPr>
            <w:tcW w:w="553"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5</w:t>
            </w:r>
          </w:p>
        </w:tc>
        <w:tc>
          <w:tcPr>
            <w:tcW w:w="552"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10</w:t>
            </w:r>
          </w:p>
        </w:tc>
        <w:tc>
          <w:tcPr>
            <w:tcW w:w="576" w:type="dxa"/>
            <w:tcBorders>
              <w:top w:val="nil"/>
              <w:left w:val="nil"/>
              <w:bottom w:val="single" w:color="auto" w:sz="4" w:space="0"/>
              <w:right w:val="single" w:color="auto" w:sz="4" w:space="0"/>
            </w:tcBorders>
            <w:shd w:val="clear" w:color="000000" w:fill="00B0F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15</w:t>
            </w:r>
          </w:p>
        </w:tc>
        <w:tc>
          <w:tcPr>
            <w:tcW w:w="576" w:type="dxa"/>
            <w:tcBorders>
              <w:top w:val="nil"/>
              <w:left w:val="nil"/>
              <w:bottom w:val="single" w:color="auto" w:sz="4" w:space="0"/>
              <w:right w:val="single" w:color="auto" w:sz="4" w:space="0"/>
            </w:tcBorders>
            <w:shd w:val="clear" w:color="000000" w:fill="00B0F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20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25</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30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35</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45</w:t>
            </w:r>
          </w:p>
        </w:tc>
        <w:tc>
          <w:tcPr>
            <w:tcW w:w="730"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50</w:t>
            </w:r>
          </w:p>
        </w:tc>
      </w:tr>
      <w:tr>
        <w:tblPrEx>
          <w:tblLayout w:type="fixed"/>
          <w:tblCellMar>
            <w:top w:w="0" w:type="dxa"/>
            <w:left w:w="108" w:type="dxa"/>
            <w:bottom w:w="0" w:type="dxa"/>
            <w:right w:w="108" w:type="dxa"/>
          </w:tblCellMar>
        </w:tblPrEx>
        <w:trPr>
          <w:trHeight w:val="399" w:hRule="exact"/>
          <w:jc w:val="center"/>
        </w:trPr>
        <w:tc>
          <w:tcPr>
            <w:tcW w:w="2549"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31-60</w:t>
            </w:r>
          </w:p>
        </w:tc>
        <w:tc>
          <w:tcPr>
            <w:tcW w:w="81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10</w:t>
            </w:r>
          </w:p>
        </w:tc>
        <w:tc>
          <w:tcPr>
            <w:tcW w:w="553"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10</w:t>
            </w:r>
          </w:p>
        </w:tc>
        <w:tc>
          <w:tcPr>
            <w:tcW w:w="552" w:type="dxa"/>
            <w:tcBorders>
              <w:top w:val="nil"/>
              <w:left w:val="nil"/>
              <w:bottom w:val="single" w:color="auto" w:sz="4" w:space="0"/>
              <w:right w:val="single" w:color="auto" w:sz="4" w:space="0"/>
            </w:tcBorders>
            <w:shd w:val="clear" w:color="000000" w:fill="00B0F0"/>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20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30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50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70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80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90</w:t>
            </w:r>
          </w:p>
        </w:tc>
        <w:tc>
          <w:tcPr>
            <w:tcW w:w="730"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100</w:t>
            </w:r>
          </w:p>
        </w:tc>
      </w:tr>
      <w:tr>
        <w:tblPrEx>
          <w:tblLayout w:type="fixed"/>
          <w:tblCellMar>
            <w:top w:w="0" w:type="dxa"/>
            <w:left w:w="108" w:type="dxa"/>
            <w:bottom w:w="0" w:type="dxa"/>
            <w:right w:w="108" w:type="dxa"/>
          </w:tblCellMar>
        </w:tblPrEx>
        <w:trPr>
          <w:trHeight w:val="399" w:hRule="exact"/>
          <w:jc w:val="center"/>
        </w:trPr>
        <w:tc>
          <w:tcPr>
            <w:tcW w:w="2549"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61以上</w:t>
            </w:r>
          </w:p>
        </w:tc>
        <w:tc>
          <w:tcPr>
            <w:tcW w:w="812"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553"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40</w:t>
            </w:r>
          </w:p>
        </w:tc>
        <w:tc>
          <w:tcPr>
            <w:tcW w:w="552"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80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120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160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200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240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280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320</w:t>
            </w:r>
          </w:p>
        </w:tc>
        <w:tc>
          <w:tcPr>
            <w:tcW w:w="576"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360</w:t>
            </w:r>
          </w:p>
        </w:tc>
        <w:tc>
          <w:tcPr>
            <w:tcW w:w="730"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jc w:val="center"/>
              <w:rPr>
                <w:rFonts w:ascii="楷体" w:hAnsi="楷体" w:eastAsia="楷体" w:cs="宋体"/>
                <w:kern w:val="0"/>
                <w:sz w:val="24"/>
                <w:szCs w:val="24"/>
              </w:rPr>
            </w:pPr>
            <w:r>
              <w:rPr>
                <w:rFonts w:hint="eastAsia" w:ascii="SimHei" w:hAnsi="SimHei" w:eastAsia="黑体" w:cs="宋体"/>
                <w:kern w:val="0"/>
                <w:sz w:val="24"/>
                <w:szCs w:val="24"/>
              </w:rPr>
              <w:t>400</w:t>
            </w:r>
          </w:p>
        </w:tc>
      </w:tr>
    </w:tbl>
    <w:p>
      <w:pPr>
        <w:pStyle w:val="12"/>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对应上述评分得出如下考勤工资标准</w:t>
      </w:r>
    </w:p>
    <w:tbl>
      <w:tblPr>
        <w:tblStyle w:val="28"/>
        <w:tblW w:w="9189" w:type="dxa"/>
        <w:jc w:val="center"/>
        <w:tblInd w:w="0" w:type="dxa"/>
        <w:tblLayout w:type="fixed"/>
        <w:tblCellMar>
          <w:top w:w="0" w:type="dxa"/>
          <w:left w:w="108" w:type="dxa"/>
          <w:bottom w:w="0" w:type="dxa"/>
          <w:right w:w="108" w:type="dxa"/>
        </w:tblCellMar>
      </w:tblPr>
      <w:tblGrid>
        <w:gridCol w:w="2783"/>
        <w:gridCol w:w="1818"/>
        <w:gridCol w:w="1522"/>
        <w:gridCol w:w="992"/>
        <w:gridCol w:w="992"/>
        <w:gridCol w:w="1082"/>
      </w:tblGrid>
      <w:tr>
        <w:tblPrEx>
          <w:tblLayout w:type="fixed"/>
          <w:tblCellMar>
            <w:top w:w="0" w:type="dxa"/>
            <w:left w:w="108" w:type="dxa"/>
            <w:bottom w:w="0" w:type="dxa"/>
            <w:right w:w="108" w:type="dxa"/>
          </w:tblCellMar>
        </w:tblPrEx>
        <w:trPr>
          <w:trHeight w:val="397" w:hRule="exact"/>
          <w:jc w:val="center"/>
        </w:trPr>
        <w:tc>
          <w:tcPr>
            <w:tcW w:w="9189" w:type="dxa"/>
            <w:gridSpan w:val="6"/>
            <w:tcBorders>
              <w:top w:val="nil"/>
              <w:left w:val="nil"/>
              <w:bottom w:val="single" w:color="auto" w:sz="4" w:space="0"/>
              <w:right w:val="nil"/>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考勤薪资评定标准</w:t>
            </w:r>
          </w:p>
        </w:tc>
      </w:tr>
      <w:tr>
        <w:tblPrEx>
          <w:tblLayout w:type="fixed"/>
          <w:tblCellMar>
            <w:top w:w="0" w:type="dxa"/>
            <w:left w:w="108" w:type="dxa"/>
            <w:bottom w:w="0" w:type="dxa"/>
            <w:right w:w="108" w:type="dxa"/>
          </w:tblCellMar>
        </w:tblPrEx>
        <w:trPr>
          <w:trHeight w:val="397" w:hRule="exact"/>
          <w:jc w:val="center"/>
        </w:trPr>
        <w:tc>
          <w:tcPr>
            <w:tcW w:w="2783" w:type="dxa"/>
            <w:vMerge w:val="restart"/>
            <w:tcBorders>
              <w:top w:val="nil"/>
              <w:left w:val="single" w:color="auto" w:sz="4" w:space="0"/>
              <w:bottom w:val="single" w:color="000000" w:sz="4" w:space="0"/>
              <w:right w:val="single" w:color="auto" w:sz="4" w:space="0"/>
            </w:tcBorders>
            <w:shd w:val="clear" w:color="auto" w:fill="auto"/>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扣分</w:t>
            </w:r>
          </w:p>
        </w:tc>
        <w:tc>
          <w:tcPr>
            <w:tcW w:w="1818" w:type="dxa"/>
            <w:vMerge w:val="restart"/>
            <w:tcBorders>
              <w:top w:val="nil"/>
              <w:left w:val="single" w:color="auto" w:sz="4" w:space="0"/>
              <w:bottom w:val="single" w:color="000000" w:sz="4" w:space="0"/>
              <w:right w:val="single" w:color="auto" w:sz="4" w:space="0"/>
            </w:tcBorders>
            <w:shd w:val="clear" w:color="auto" w:fill="auto"/>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等级</w:t>
            </w:r>
          </w:p>
        </w:tc>
        <w:tc>
          <w:tcPr>
            <w:tcW w:w="1522" w:type="dxa"/>
            <w:vMerge w:val="restart"/>
            <w:tcBorders>
              <w:top w:val="nil"/>
              <w:left w:val="single" w:color="auto" w:sz="4" w:space="0"/>
              <w:bottom w:val="single" w:color="000000" w:sz="4" w:space="0"/>
              <w:right w:val="single" w:color="auto" w:sz="4" w:space="0"/>
            </w:tcBorders>
            <w:shd w:val="clear" w:color="auto" w:fill="auto"/>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考勤工资比例</w:t>
            </w:r>
          </w:p>
        </w:tc>
        <w:tc>
          <w:tcPr>
            <w:tcW w:w="3066"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考勤工资</w:t>
            </w:r>
          </w:p>
        </w:tc>
      </w:tr>
      <w:tr>
        <w:tblPrEx>
          <w:tblLayout w:type="fixed"/>
          <w:tblCellMar>
            <w:top w:w="0" w:type="dxa"/>
            <w:left w:w="108" w:type="dxa"/>
            <w:bottom w:w="0" w:type="dxa"/>
            <w:right w:w="108" w:type="dxa"/>
          </w:tblCellMar>
        </w:tblPrEx>
        <w:trPr>
          <w:trHeight w:val="397" w:hRule="exact"/>
          <w:jc w:val="center"/>
        </w:trPr>
        <w:tc>
          <w:tcPr>
            <w:tcW w:w="2783" w:type="dxa"/>
            <w:vMerge w:val="continue"/>
            <w:tcBorders>
              <w:top w:val="nil"/>
              <w:left w:val="single" w:color="auto" w:sz="4" w:space="0"/>
              <w:bottom w:val="single" w:color="000000"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p>
        </w:tc>
        <w:tc>
          <w:tcPr>
            <w:tcW w:w="1818" w:type="dxa"/>
            <w:vMerge w:val="continue"/>
            <w:tcBorders>
              <w:top w:val="nil"/>
              <w:left w:val="single" w:color="auto" w:sz="4" w:space="0"/>
              <w:bottom w:val="single" w:color="000000"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p>
        </w:tc>
        <w:tc>
          <w:tcPr>
            <w:tcW w:w="1522" w:type="dxa"/>
            <w:vMerge w:val="continue"/>
            <w:tcBorders>
              <w:top w:val="nil"/>
              <w:left w:val="single" w:color="auto" w:sz="4" w:space="0"/>
              <w:bottom w:val="single" w:color="000000"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p>
        </w:tc>
        <w:tc>
          <w:tcPr>
            <w:tcW w:w="992"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100</w:t>
            </w:r>
          </w:p>
        </w:tc>
        <w:tc>
          <w:tcPr>
            <w:tcW w:w="992"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200</w:t>
            </w:r>
          </w:p>
        </w:tc>
        <w:tc>
          <w:tcPr>
            <w:tcW w:w="1082"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300</w:t>
            </w:r>
          </w:p>
        </w:tc>
      </w:tr>
      <w:tr>
        <w:tblPrEx>
          <w:tblLayout w:type="fixed"/>
          <w:tblCellMar>
            <w:top w:w="0" w:type="dxa"/>
            <w:left w:w="108" w:type="dxa"/>
            <w:bottom w:w="0" w:type="dxa"/>
            <w:right w:w="108" w:type="dxa"/>
          </w:tblCellMar>
        </w:tblPrEx>
        <w:trPr>
          <w:trHeight w:val="397" w:hRule="exact"/>
          <w:jc w:val="center"/>
        </w:trPr>
        <w:tc>
          <w:tcPr>
            <w:tcW w:w="2783" w:type="dxa"/>
            <w:tcBorders>
              <w:top w:val="nil"/>
              <w:left w:val="single" w:color="auto" w:sz="4" w:space="0"/>
              <w:bottom w:val="single" w:color="auto" w:sz="4" w:space="0"/>
              <w:right w:val="single" w:color="auto" w:sz="4" w:space="0"/>
            </w:tcBorders>
            <w:shd w:val="clear" w:color="000000" w:fill="FFFF00"/>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0-5</w:t>
            </w:r>
          </w:p>
        </w:tc>
        <w:tc>
          <w:tcPr>
            <w:tcW w:w="1818" w:type="dxa"/>
            <w:tcBorders>
              <w:top w:val="nil"/>
              <w:left w:val="nil"/>
              <w:bottom w:val="single" w:color="auto" w:sz="4" w:space="0"/>
              <w:right w:val="single" w:color="auto" w:sz="4" w:space="0"/>
            </w:tcBorders>
            <w:shd w:val="clear" w:color="000000" w:fill="FFFF00"/>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优</w:t>
            </w:r>
          </w:p>
        </w:tc>
        <w:tc>
          <w:tcPr>
            <w:tcW w:w="1522" w:type="dxa"/>
            <w:tcBorders>
              <w:top w:val="nil"/>
              <w:left w:val="nil"/>
              <w:bottom w:val="single" w:color="auto" w:sz="4" w:space="0"/>
              <w:right w:val="single" w:color="auto" w:sz="4" w:space="0"/>
            </w:tcBorders>
            <w:shd w:val="clear" w:color="000000" w:fill="FFFF00"/>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100%</w:t>
            </w:r>
          </w:p>
        </w:tc>
        <w:tc>
          <w:tcPr>
            <w:tcW w:w="992"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100</w:t>
            </w:r>
          </w:p>
        </w:tc>
        <w:tc>
          <w:tcPr>
            <w:tcW w:w="992"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200</w:t>
            </w:r>
          </w:p>
        </w:tc>
        <w:tc>
          <w:tcPr>
            <w:tcW w:w="1082" w:type="dxa"/>
            <w:tcBorders>
              <w:top w:val="nil"/>
              <w:left w:val="nil"/>
              <w:bottom w:val="single" w:color="auto" w:sz="4" w:space="0"/>
              <w:right w:val="single" w:color="auto" w:sz="4" w:space="0"/>
            </w:tcBorders>
            <w:shd w:val="clear" w:color="000000" w:fill="FFFF0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300</w:t>
            </w:r>
          </w:p>
        </w:tc>
      </w:tr>
      <w:tr>
        <w:tblPrEx>
          <w:tblLayout w:type="fixed"/>
          <w:tblCellMar>
            <w:top w:w="0" w:type="dxa"/>
            <w:left w:w="108" w:type="dxa"/>
            <w:bottom w:w="0" w:type="dxa"/>
            <w:right w:w="108" w:type="dxa"/>
          </w:tblCellMar>
        </w:tblPrEx>
        <w:trPr>
          <w:trHeight w:val="397" w:hRule="exact"/>
          <w:jc w:val="center"/>
        </w:trPr>
        <w:tc>
          <w:tcPr>
            <w:tcW w:w="2783" w:type="dxa"/>
            <w:tcBorders>
              <w:top w:val="nil"/>
              <w:left w:val="single" w:color="auto" w:sz="4" w:space="0"/>
              <w:bottom w:val="single" w:color="auto" w:sz="4" w:space="0"/>
              <w:right w:val="single" w:color="auto" w:sz="4" w:space="0"/>
            </w:tcBorders>
            <w:shd w:val="clear" w:color="000000" w:fill="92D050"/>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6-10</w:t>
            </w:r>
          </w:p>
        </w:tc>
        <w:tc>
          <w:tcPr>
            <w:tcW w:w="1818" w:type="dxa"/>
            <w:tcBorders>
              <w:top w:val="nil"/>
              <w:left w:val="nil"/>
              <w:bottom w:val="single" w:color="auto" w:sz="4" w:space="0"/>
              <w:right w:val="single" w:color="auto" w:sz="4" w:space="0"/>
            </w:tcBorders>
            <w:shd w:val="clear" w:color="000000" w:fill="92D050"/>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良</w:t>
            </w:r>
          </w:p>
        </w:tc>
        <w:tc>
          <w:tcPr>
            <w:tcW w:w="1522" w:type="dxa"/>
            <w:tcBorders>
              <w:top w:val="nil"/>
              <w:left w:val="nil"/>
              <w:bottom w:val="single" w:color="auto" w:sz="4" w:space="0"/>
              <w:right w:val="single" w:color="auto" w:sz="4" w:space="0"/>
            </w:tcBorders>
            <w:shd w:val="clear" w:color="000000" w:fill="92D050"/>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992"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992"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120</w:t>
            </w:r>
          </w:p>
        </w:tc>
        <w:tc>
          <w:tcPr>
            <w:tcW w:w="1082" w:type="dxa"/>
            <w:tcBorders>
              <w:top w:val="nil"/>
              <w:left w:val="nil"/>
              <w:bottom w:val="single" w:color="auto" w:sz="4" w:space="0"/>
              <w:right w:val="single" w:color="auto" w:sz="4" w:space="0"/>
            </w:tcBorders>
            <w:shd w:val="clear" w:color="000000" w:fill="92D05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180</w:t>
            </w:r>
          </w:p>
        </w:tc>
      </w:tr>
      <w:tr>
        <w:tblPrEx>
          <w:tblLayout w:type="fixed"/>
          <w:tblCellMar>
            <w:top w:w="0" w:type="dxa"/>
            <w:left w:w="108" w:type="dxa"/>
            <w:bottom w:w="0" w:type="dxa"/>
            <w:right w:w="108" w:type="dxa"/>
          </w:tblCellMar>
        </w:tblPrEx>
        <w:trPr>
          <w:trHeight w:val="397" w:hRule="exact"/>
          <w:jc w:val="center"/>
        </w:trPr>
        <w:tc>
          <w:tcPr>
            <w:tcW w:w="2783" w:type="dxa"/>
            <w:tcBorders>
              <w:top w:val="nil"/>
              <w:left w:val="single" w:color="auto" w:sz="4" w:space="0"/>
              <w:bottom w:val="single" w:color="auto" w:sz="4" w:space="0"/>
              <w:right w:val="single" w:color="auto" w:sz="4" w:space="0"/>
            </w:tcBorders>
            <w:shd w:val="clear" w:color="000000" w:fill="00B0F0"/>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11-20</w:t>
            </w:r>
          </w:p>
        </w:tc>
        <w:tc>
          <w:tcPr>
            <w:tcW w:w="1818" w:type="dxa"/>
            <w:tcBorders>
              <w:top w:val="nil"/>
              <w:left w:val="nil"/>
              <w:bottom w:val="single" w:color="auto" w:sz="4" w:space="0"/>
              <w:right w:val="single" w:color="auto" w:sz="4" w:space="0"/>
            </w:tcBorders>
            <w:shd w:val="clear" w:color="000000" w:fill="00B0F0"/>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中</w:t>
            </w:r>
          </w:p>
        </w:tc>
        <w:tc>
          <w:tcPr>
            <w:tcW w:w="1522" w:type="dxa"/>
            <w:tcBorders>
              <w:top w:val="nil"/>
              <w:left w:val="nil"/>
              <w:bottom w:val="single" w:color="auto" w:sz="4" w:space="0"/>
              <w:right w:val="single" w:color="auto" w:sz="4" w:space="0"/>
            </w:tcBorders>
            <w:shd w:val="clear" w:color="000000" w:fill="00B0F0"/>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w:t>
            </w:r>
          </w:p>
        </w:tc>
        <w:tc>
          <w:tcPr>
            <w:tcW w:w="992" w:type="dxa"/>
            <w:tcBorders>
              <w:top w:val="nil"/>
              <w:left w:val="nil"/>
              <w:bottom w:val="single" w:color="auto" w:sz="4" w:space="0"/>
              <w:right w:val="single" w:color="auto" w:sz="4" w:space="0"/>
            </w:tcBorders>
            <w:shd w:val="clear" w:color="000000" w:fill="00B0F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w:t>
            </w:r>
          </w:p>
        </w:tc>
        <w:tc>
          <w:tcPr>
            <w:tcW w:w="992" w:type="dxa"/>
            <w:tcBorders>
              <w:top w:val="nil"/>
              <w:left w:val="nil"/>
              <w:bottom w:val="single" w:color="auto" w:sz="4" w:space="0"/>
              <w:right w:val="single" w:color="auto" w:sz="4" w:space="0"/>
            </w:tcBorders>
            <w:shd w:val="clear" w:color="000000" w:fill="00B0F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w:t>
            </w:r>
          </w:p>
        </w:tc>
        <w:tc>
          <w:tcPr>
            <w:tcW w:w="1082" w:type="dxa"/>
            <w:tcBorders>
              <w:top w:val="nil"/>
              <w:left w:val="nil"/>
              <w:bottom w:val="single" w:color="auto" w:sz="4" w:space="0"/>
              <w:right w:val="single" w:color="auto" w:sz="4" w:space="0"/>
            </w:tcBorders>
            <w:shd w:val="clear" w:color="000000" w:fill="00B0F0"/>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90</w:t>
            </w:r>
          </w:p>
        </w:tc>
      </w:tr>
      <w:tr>
        <w:tblPrEx>
          <w:tblLayout w:type="fixed"/>
          <w:tblCellMar>
            <w:top w:w="0" w:type="dxa"/>
            <w:left w:w="108" w:type="dxa"/>
            <w:bottom w:w="0" w:type="dxa"/>
            <w:right w:w="108" w:type="dxa"/>
          </w:tblCellMar>
        </w:tblPrEx>
        <w:trPr>
          <w:trHeight w:val="397" w:hRule="exact"/>
          <w:jc w:val="center"/>
        </w:trPr>
        <w:tc>
          <w:tcPr>
            <w:tcW w:w="2783" w:type="dxa"/>
            <w:tcBorders>
              <w:top w:val="nil"/>
              <w:left w:val="single" w:color="auto" w:sz="4" w:space="0"/>
              <w:bottom w:val="single" w:color="auto" w:sz="4" w:space="0"/>
              <w:right w:val="single" w:color="auto" w:sz="4" w:space="0"/>
            </w:tcBorders>
            <w:shd w:val="clear" w:color="000000" w:fill="60497B"/>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21以上</w:t>
            </w:r>
          </w:p>
        </w:tc>
        <w:tc>
          <w:tcPr>
            <w:tcW w:w="1818" w:type="dxa"/>
            <w:tcBorders>
              <w:top w:val="nil"/>
              <w:left w:val="nil"/>
              <w:bottom w:val="single" w:color="auto" w:sz="4" w:space="0"/>
              <w:right w:val="single" w:color="auto" w:sz="4" w:space="0"/>
            </w:tcBorders>
            <w:shd w:val="clear" w:color="000000" w:fill="60497B"/>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差</w:t>
            </w:r>
          </w:p>
        </w:tc>
        <w:tc>
          <w:tcPr>
            <w:tcW w:w="1522" w:type="dxa"/>
            <w:tcBorders>
              <w:top w:val="nil"/>
              <w:left w:val="nil"/>
              <w:bottom w:val="single" w:color="auto" w:sz="4" w:space="0"/>
              <w:right w:val="single" w:color="auto" w:sz="4" w:space="0"/>
            </w:tcBorders>
            <w:shd w:val="clear" w:color="000000" w:fill="60497B"/>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992"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992"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c>
          <w:tcPr>
            <w:tcW w:w="1082" w:type="dxa"/>
            <w:tcBorders>
              <w:top w:val="nil"/>
              <w:left w:val="nil"/>
              <w:bottom w:val="single" w:color="auto" w:sz="4" w:space="0"/>
              <w:right w:val="single" w:color="auto" w:sz="4" w:space="0"/>
            </w:tcBorders>
            <w:shd w:val="clear" w:color="000000" w:fill="60497B"/>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w:t>
            </w:r>
          </w:p>
        </w:tc>
      </w:tr>
    </w:tbl>
    <w:p>
      <w:pPr>
        <w:pStyle w:val="3"/>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78" w:name="_Toc407292481"/>
      <w:bookmarkStart w:id="79" w:name="_Toc407713976"/>
      <w:bookmarkStart w:id="80" w:name="_Toc407729197"/>
      <w:bookmarkStart w:id="81" w:name="_Toc408573194"/>
      <w:r>
        <w:rPr>
          <w:rFonts w:hint="eastAsia" w:ascii="SimHei" w:hAnsi="SimHei" w:eastAsia="黑体"/>
          <w:sz w:val="24"/>
          <w:szCs w:val="24"/>
        </w:rPr>
        <w:t>3、处罚级别</w:t>
      </w:r>
      <w:bookmarkEnd w:id="78"/>
      <w:bookmarkEnd w:id="79"/>
      <w:bookmarkEnd w:id="80"/>
      <w:bookmarkEnd w:id="81"/>
    </w:p>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kern w:val="2"/>
        </w:rPr>
      </w:pPr>
      <w:r>
        <w:rPr>
          <w:rFonts w:hint="eastAsia" w:ascii="SimHei" w:hAnsi="SimHei" w:eastAsia="黑体"/>
          <w:kern w:val="2"/>
        </w:rPr>
        <w:t>迟到或早退的处罚级别（按月计评）：</w:t>
      </w:r>
    </w:p>
    <w:tbl>
      <w:tblPr>
        <w:tblStyle w:val="28"/>
        <w:tblW w:w="9740" w:type="dxa"/>
        <w:jc w:val="center"/>
        <w:tblInd w:w="0" w:type="dxa"/>
        <w:tblLayout w:type="fixed"/>
        <w:tblCellMar>
          <w:top w:w="0" w:type="dxa"/>
          <w:left w:w="108" w:type="dxa"/>
          <w:bottom w:w="0" w:type="dxa"/>
          <w:right w:w="108" w:type="dxa"/>
        </w:tblCellMar>
      </w:tblPr>
      <w:tblGrid>
        <w:gridCol w:w="1424"/>
        <w:gridCol w:w="3006"/>
        <w:gridCol w:w="1707"/>
        <w:gridCol w:w="3603"/>
      </w:tblGrid>
      <w:tr>
        <w:tblPrEx>
          <w:tblLayout w:type="fixed"/>
          <w:tblCellMar>
            <w:top w:w="0" w:type="dxa"/>
            <w:left w:w="108" w:type="dxa"/>
            <w:bottom w:w="0" w:type="dxa"/>
            <w:right w:w="108" w:type="dxa"/>
          </w:tblCellMar>
        </w:tblPrEx>
        <w:trPr>
          <w:trHeight w:val="345" w:hRule="atLeast"/>
          <w:jc w:val="center"/>
        </w:trPr>
        <w:tc>
          <w:tcPr>
            <w:tcW w:w="974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30分钟（含）以内</w:t>
            </w:r>
          </w:p>
        </w:tc>
      </w:tr>
      <w:tr>
        <w:tblPrEx>
          <w:tblLayout w:type="fixed"/>
          <w:tblCellMar>
            <w:top w:w="0" w:type="dxa"/>
            <w:left w:w="108" w:type="dxa"/>
            <w:bottom w:w="0" w:type="dxa"/>
            <w:right w:w="108" w:type="dxa"/>
          </w:tblCellMar>
        </w:tblPrEx>
        <w:trPr>
          <w:trHeight w:val="375" w:hRule="atLeast"/>
          <w:jc w:val="center"/>
        </w:trPr>
        <w:tc>
          <w:tcPr>
            <w:tcW w:w="1424"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1次/月</w:t>
            </w:r>
          </w:p>
        </w:tc>
        <w:tc>
          <w:tcPr>
            <w:tcW w:w="3006"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2次/月</w:t>
            </w:r>
          </w:p>
        </w:tc>
        <w:tc>
          <w:tcPr>
            <w:tcW w:w="1707"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3次/月</w:t>
            </w:r>
          </w:p>
        </w:tc>
        <w:tc>
          <w:tcPr>
            <w:tcW w:w="360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4次/月以上</w:t>
            </w:r>
          </w:p>
        </w:tc>
      </w:tr>
      <w:tr>
        <w:tblPrEx>
          <w:tblLayout w:type="fixed"/>
          <w:tblCellMar>
            <w:top w:w="0" w:type="dxa"/>
            <w:left w:w="108" w:type="dxa"/>
            <w:bottom w:w="0" w:type="dxa"/>
            <w:right w:w="108" w:type="dxa"/>
          </w:tblCellMar>
        </w:tblPrEx>
        <w:trPr>
          <w:trHeight w:val="375" w:hRule="atLeast"/>
          <w:jc w:val="center"/>
        </w:trPr>
        <w:tc>
          <w:tcPr>
            <w:tcW w:w="1424"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提醒</w:t>
            </w:r>
          </w:p>
        </w:tc>
        <w:tc>
          <w:tcPr>
            <w:tcW w:w="3006"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警告</w:t>
            </w:r>
          </w:p>
        </w:tc>
        <w:tc>
          <w:tcPr>
            <w:tcW w:w="1707"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通报批评</w:t>
            </w:r>
          </w:p>
        </w:tc>
        <w:tc>
          <w:tcPr>
            <w:tcW w:w="3603"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通报批评+书面警告按照次数累加</w:t>
            </w:r>
          </w:p>
        </w:tc>
      </w:tr>
      <w:tr>
        <w:tblPrEx>
          <w:tblLayout w:type="fixed"/>
          <w:tblCellMar>
            <w:top w:w="0" w:type="dxa"/>
            <w:left w:w="108" w:type="dxa"/>
            <w:bottom w:w="0" w:type="dxa"/>
            <w:right w:w="108" w:type="dxa"/>
          </w:tblCellMar>
        </w:tblPrEx>
        <w:trPr>
          <w:trHeight w:val="375" w:hRule="atLeast"/>
          <w:jc w:val="center"/>
        </w:trPr>
        <w:tc>
          <w:tcPr>
            <w:tcW w:w="974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31-60分钟（含）</w:t>
            </w:r>
          </w:p>
        </w:tc>
      </w:tr>
      <w:tr>
        <w:tblPrEx>
          <w:tblLayout w:type="fixed"/>
          <w:tblCellMar>
            <w:top w:w="0" w:type="dxa"/>
            <w:left w:w="108" w:type="dxa"/>
            <w:bottom w:w="0" w:type="dxa"/>
            <w:right w:w="108" w:type="dxa"/>
          </w:tblCellMar>
        </w:tblPrEx>
        <w:trPr>
          <w:trHeight w:val="375" w:hRule="atLeast"/>
          <w:jc w:val="center"/>
        </w:trPr>
        <w:tc>
          <w:tcPr>
            <w:tcW w:w="1424"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1次/月</w:t>
            </w:r>
          </w:p>
        </w:tc>
        <w:tc>
          <w:tcPr>
            <w:tcW w:w="3006"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2次/月</w:t>
            </w:r>
          </w:p>
        </w:tc>
        <w:tc>
          <w:tcPr>
            <w:tcW w:w="5310"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3次/月以上</w:t>
            </w:r>
          </w:p>
        </w:tc>
      </w:tr>
      <w:tr>
        <w:tblPrEx>
          <w:tblLayout w:type="fixed"/>
          <w:tblCellMar>
            <w:top w:w="0" w:type="dxa"/>
            <w:left w:w="108" w:type="dxa"/>
            <w:bottom w:w="0" w:type="dxa"/>
            <w:right w:w="108" w:type="dxa"/>
          </w:tblCellMar>
        </w:tblPrEx>
        <w:trPr>
          <w:trHeight w:val="600" w:hRule="atLeast"/>
          <w:jc w:val="center"/>
        </w:trPr>
        <w:tc>
          <w:tcPr>
            <w:tcW w:w="1424"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通报批评</w:t>
            </w:r>
          </w:p>
        </w:tc>
        <w:tc>
          <w:tcPr>
            <w:tcW w:w="3006"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通报批评+书面警告</w:t>
            </w:r>
          </w:p>
        </w:tc>
        <w:tc>
          <w:tcPr>
            <w:tcW w:w="5310"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通报批评+书面警告按照次数累加，取消年度薪资评定，酌情下调基本工资至解除劳动关系</w:t>
            </w:r>
          </w:p>
        </w:tc>
      </w:tr>
    </w:tbl>
    <w:p>
      <w:pPr>
        <w:pStyle w:val="3"/>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82" w:name="_Toc407292482"/>
      <w:bookmarkStart w:id="83" w:name="_Toc407729198"/>
      <w:bookmarkStart w:id="84" w:name="_Toc407713977"/>
      <w:bookmarkStart w:id="85" w:name="_Toc408573195"/>
      <w:r>
        <w:rPr>
          <w:rFonts w:hint="eastAsia" w:ascii="SimHei" w:hAnsi="SimHei" w:eastAsia="黑体"/>
          <w:sz w:val="24"/>
          <w:szCs w:val="24"/>
        </w:rPr>
        <w:t>4、管理规定</w:t>
      </w:r>
      <w:bookmarkEnd w:id="82"/>
      <w:bookmarkEnd w:id="83"/>
      <w:bookmarkEnd w:id="84"/>
      <w:bookmarkEnd w:id="85"/>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工作期间因私人原因外出，半小时以上须填写请假单，半小时以上不足一小时按照一小时计算，以此类推，计入请假次数，请假工资按小时工资扣除；</w:t>
      </w:r>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因私人原因需要晚到或提前下班，可提前告知考勤负责人和部门主管，按照相应的时间，半小时以内参照考勤评分表”以迟到和早退计分，半小时以上须填写请假单，半小时以上不足一小时按照一小时计算，以此类推，计入请假次数，请假工资按小时工资扣除。</w:t>
      </w:r>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旷工半日，扣发1日工资，记旷工1次；</w:t>
      </w:r>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旷工半日以上至1日，扣发2日工资，记旷工2次，以此类推；</w:t>
      </w:r>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迟到或早退1小时以上至半日，按照旷工半日处理；</w:t>
      </w:r>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迟到或早退半日至1日，按照旷工1日处理，以此类推；</w:t>
      </w:r>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累计旷工3次或3日及以上，属严重违纪，解除劳动关系。</w:t>
      </w:r>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bookmarkStart w:id="86" w:name="_Toc407729199"/>
      <w:r>
        <w:rPr>
          <w:rFonts w:hint="eastAsia" w:ascii="SimHei" w:hAnsi="SimHei" w:eastAsia="黑体"/>
          <w:sz w:val="24"/>
          <w:szCs w:val="24"/>
        </w:rPr>
        <w:t>行政人事部每月初完成考勤工资的核算后，将相应考勤处罚予以公示；</w:t>
      </w:r>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两次提醒记一次警告，两次警告记一次通报批评，两次通报批评，记一次书面警告，按照次数累加；</w:t>
      </w:r>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年度累计书面警告2次，360度考评的考勤分数全部扣除；</w:t>
      </w:r>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年度累计书面警告3次，取消年终奖和薪资调整当中的360度考评资格；</w:t>
      </w:r>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年度累计书面警告4次，取消年终奖评定资格，同时取消年度薪资调整当中的360度与岗位适度考评资格；</w:t>
      </w:r>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年度累计书面警告5次以上，属于严重违纪，同时取消年终奖与薪资调整资格以及职位晋升资格，并酌情下调岗位工资或解除劳动关系；</w:t>
      </w:r>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年度内病事假超过30次（或满15天），年终奖和薪资调升幅度按50%执行，超过50次（或满30天）不参与年终奖和薪资调升并酌情下调工资；</w:t>
      </w:r>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参与公司项目的成员，在项目运作期间，不得随意请假，请假超过项目运作周期20%的工作日且影响整体项目进度和质量，项目奖金按照50%计发，超过50%且影响整体项目进度和质量，不计发项目奖金；</w:t>
      </w:r>
    </w:p>
    <w:p>
      <w:pPr>
        <w:pStyle w:val="12"/>
        <w:numPr>
          <w:ilvl w:val="0"/>
          <w:numId w:val="1"/>
        </w:numPr>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全年无任何扣分与缺勤，给予一次性奖励1000元。</w:t>
      </w:r>
    </w:p>
    <w:p>
      <w:pPr>
        <w:pStyle w:val="3"/>
        <w:tabs>
          <w:tab w:val="left" w:pos="709"/>
          <w:tab w:val="left" w:pos="851"/>
          <w:tab w:val="left" w:pos="8931"/>
        </w:tabs>
        <w:spacing w:before="0" w:after="0" w:line="360" w:lineRule="auto"/>
        <w:ind w:right="168" w:rightChars="80" w:firstLine="482" w:firstLineChars="200"/>
        <w:rPr>
          <w:rFonts w:ascii="楷体" w:hAnsi="楷体" w:eastAsia="楷体"/>
          <w:kern w:val="0"/>
          <w:sz w:val="24"/>
          <w:szCs w:val="24"/>
        </w:rPr>
      </w:pPr>
      <w:bookmarkStart w:id="87" w:name="_Toc408573196"/>
      <w:r>
        <w:rPr>
          <w:rFonts w:hint="eastAsia" w:ascii="SimHei" w:hAnsi="SimHei" w:eastAsia="黑体"/>
          <w:kern w:val="0"/>
          <w:sz w:val="24"/>
          <w:szCs w:val="24"/>
        </w:rPr>
        <w:t>六、工龄工资</w:t>
      </w:r>
      <w:bookmarkEnd w:id="86"/>
      <w:bookmarkEnd w:id="87"/>
    </w:p>
    <w:p>
      <w:pPr>
        <w:pStyle w:val="12"/>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1、根据员工在公司工作的年限设定，用以激励员工在公司劳动贡献程度和工作经验增长的价值体现，工龄工资只考虑工作年份，所以“一视同仁”，作为薪资结构组合中微小但不可或缺的一部分；</w:t>
      </w:r>
    </w:p>
    <w:p>
      <w:pPr>
        <w:pStyle w:val="12"/>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2、规定入职满一年的员工可享受50元/年累加的工龄工资，上不封顶，工龄工资的发放在满一年后的对应入职月份的次月执行；</w:t>
      </w:r>
    </w:p>
    <w:p>
      <w:pPr>
        <w:pStyle w:val="3"/>
        <w:tabs>
          <w:tab w:val="left" w:pos="709"/>
          <w:tab w:val="left" w:pos="851"/>
          <w:tab w:val="left" w:pos="8931"/>
        </w:tabs>
        <w:spacing w:before="0" w:after="0" w:line="360" w:lineRule="auto"/>
        <w:ind w:right="168" w:rightChars="80" w:firstLine="482" w:firstLineChars="200"/>
        <w:rPr>
          <w:rFonts w:ascii="楷体" w:hAnsi="楷体" w:eastAsia="楷体"/>
          <w:kern w:val="0"/>
          <w:sz w:val="24"/>
          <w:szCs w:val="24"/>
        </w:rPr>
      </w:pPr>
      <w:bookmarkStart w:id="88" w:name="_Toc407729200"/>
      <w:bookmarkStart w:id="89" w:name="_Toc408573197"/>
      <w:r>
        <w:rPr>
          <w:rFonts w:hint="eastAsia" w:ascii="SimHei" w:hAnsi="SimHei" w:eastAsia="黑体"/>
          <w:kern w:val="0"/>
          <w:sz w:val="24"/>
          <w:szCs w:val="24"/>
        </w:rPr>
        <w:t>七、补助</w:t>
      </w:r>
      <w:bookmarkEnd w:id="88"/>
      <w:bookmarkEnd w:id="89"/>
    </w:p>
    <w:p>
      <w:pPr>
        <w:pStyle w:val="12"/>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1、补助津贴是公司考虑到员工由于工作原因而产生的额外生活支出，一方面可以作为公司的福利提高员工的积极性，另一方面核算方式有别于工资体系，且公司可以另行政策，灵活掌握；</w:t>
      </w:r>
    </w:p>
    <w:p>
      <w:pPr>
        <w:pStyle w:val="12"/>
        <w:tabs>
          <w:tab w:val="left" w:pos="709"/>
          <w:tab w:val="left" w:pos="851"/>
          <w:tab w:val="left" w:pos="8931"/>
        </w:tabs>
        <w:spacing w:line="360" w:lineRule="auto"/>
        <w:ind w:left="0" w:right="168" w:rightChars="80" w:firstLine="480" w:firstLineChars="200"/>
        <w:jc w:val="both"/>
        <w:rPr>
          <w:rFonts w:ascii="楷体" w:hAnsi="楷体" w:eastAsia="楷体"/>
          <w:sz w:val="24"/>
          <w:szCs w:val="24"/>
        </w:rPr>
      </w:pPr>
      <w:r>
        <w:rPr>
          <w:rFonts w:hint="eastAsia" w:ascii="SimHei" w:hAnsi="SimHei" w:eastAsia="黑体"/>
          <w:sz w:val="24"/>
          <w:szCs w:val="24"/>
        </w:rPr>
        <w:t>2、于员工而言，发布薪资结构时，员工看到除工资提成外，还有若干项的补助津贴，可以吸引眼球，在公司人文管理和正规待遇方面起到积极的宣传作用，更有利于招聘工作的实施与开展；</w:t>
      </w:r>
    </w:p>
    <w:p>
      <w:pPr>
        <w:tabs>
          <w:tab w:val="left" w:pos="709"/>
          <w:tab w:val="left" w:pos="851"/>
          <w:tab w:val="left" w:pos="8931"/>
        </w:tabs>
        <w:spacing w:line="360" w:lineRule="auto"/>
        <w:ind w:right="168" w:rightChars="80" w:firstLine="480" w:firstLineChars="200"/>
        <w:rPr>
          <w:rFonts w:ascii="楷体" w:hAnsi="楷体" w:eastAsia="楷体" w:cs="宋体"/>
          <w:sz w:val="24"/>
          <w:szCs w:val="24"/>
        </w:rPr>
      </w:pPr>
      <w:r>
        <w:rPr>
          <w:rFonts w:hint="eastAsia" w:ascii="SimHei" w:hAnsi="SimHei" w:eastAsia="黑体" w:cs="宋体"/>
          <w:sz w:val="24"/>
          <w:szCs w:val="24"/>
        </w:rPr>
        <w:t>3、根据公司当前运营情况，补助暂时设立餐补+车补20元/天，按照当月的应出勤天数予以发放，无等级差别。</w:t>
      </w:r>
    </w:p>
    <w:p>
      <w:pPr>
        <w:pStyle w:val="3"/>
        <w:tabs>
          <w:tab w:val="left" w:pos="709"/>
          <w:tab w:val="left" w:pos="851"/>
          <w:tab w:val="left" w:pos="8931"/>
        </w:tabs>
        <w:spacing w:before="0" w:after="0" w:line="360" w:lineRule="auto"/>
        <w:ind w:right="168" w:rightChars="80" w:firstLine="482" w:firstLineChars="200"/>
        <w:rPr>
          <w:rFonts w:ascii="楷体" w:hAnsi="楷体" w:eastAsia="楷体"/>
          <w:kern w:val="0"/>
          <w:sz w:val="24"/>
          <w:szCs w:val="24"/>
        </w:rPr>
      </w:pPr>
      <w:bookmarkStart w:id="90" w:name="_八、项目奖金"/>
      <w:bookmarkEnd w:id="90"/>
      <w:bookmarkStart w:id="91" w:name="_Toc407729201"/>
      <w:bookmarkStart w:id="92" w:name="_Toc408573198"/>
      <w:r>
        <w:rPr>
          <w:rFonts w:hint="eastAsia" w:ascii="SimHei" w:hAnsi="SimHei" w:eastAsia="黑体"/>
          <w:kern w:val="0"/>
          <w:sz w:val="24"/>
          <w:szCs w:val="24"/>
        </w:rPr>
        <w:t>八、项目奖金</w:t>
      </w:r>
      <w:bookmarkEnd w:id="91"/>
      <w:bookmarkEnd w:id="92"/>
    </w:p>
    <w:p>
      <w:pPr>
        <w:tabs>
          <w:tab w:val="left" w:pos="709"/>
          <w:tab w:val="left" w:pos="851"/>
          <w:tab w:val="left" w:pos="8931"/>
        </w:tabs>
        <w:spacing w:line="360" w:lineRule="auto"/>
        <w:ind w:right="168" w:rightChars="80" w:firstLine="482" w:firstLineChars="200"/>
        <w:rPr>
          <w:rFonts w:ascii="楷体" w:hAnsi="楷体" w:eastAsia="楷体"/>
          <w:b/>
          <w:sz w:val="24"/>
          <w:szCs w:val="24"/>
        </w:rPr>
      </w:pPr>
      <w:r>
        <w:rPr>
          <w:rFonts w:hint="eastAsia" w:ascii="SimHei" w:hAnsi="SimHei" w:eastAsia="黑体"/>
          <w:b/>
          <w:sz w:val="24"/>
          <w:szCs w:val="24"/>
        </w:rPr>
        <w:t>本方案仅用于参考使用，不强制执行，以部门意见为主</w:t>
      </w:r>
    </w:p>
    <w:p>
      <w:pPr>
        <w:tabs>
          <w:tab w:val="left" w:pos="709"/>
          <w:tab w:val="left" w:pos="851"/>
          <w:tab w:val="left" w:pos="8931"/>
        </w:tabs>
        <w:spacing w:line="360" w:lineRule="auto"/>
        <w:ind w:left="-29" w:leftChars="-14" w:right="168" w:rightChars="80" w:firstLine="480" w:firstLineChars="200"/>
        <w:rPr>
          <w:rFonts w:ascii="楷体" w:hAnsi="楷体" w:eastAsia="楷体"/>
          <w:sz w:val="24"/>
          <w:szCs w:val="24"/>
        </w:rPr>
      </w:pPr>
      <w:r>
        <w:rPr>
          <w:rFonts w:hint="eastAsia" w:ascii="SimHei" w:hAnsi="SimHei" w:eastAsia="黑体"/>
          <w:sz w:val="24"/>
          <w:szCs w:val="24"/>
        </w:rPr>
        <w:t>1、针对公司开展的盈利性项目需求，设定项目周期与阶段性目标，同时抽调与项目职责匹配的人员，成立项目组，任命项目组长；</w:t>
      </w:r>
    </w:p>
    <w:p>
      <w:pPr>
        <w:tabs>
          <w:tab w:val="left" w:pos="709"/>
          <w:tab w:val="left" w:pos="851"/>
          <w:tab w:val="left" w:pos="8931"/>
        </w:tabs>
        <w:spacing w:line="360" w:lineRule="auto"/>
        <w:ind w:left="-29" w:leftChars="-14" w:right="168" w:rightChars="80" w:firstLine="480" w:firstLineChars="200"/>
        <w:rPr>
          <w:rFonts w:ascii="楷体" w:hAnsi="楷体" w:eastAsia="楷体"/>
          <w:sz w:val="24"/>
          <w:szCs w:val="24"/>
        </w:rPr>
      </w:pPr>
      <w:r>
        <w:rPr>
          <w:rFonts w:hint="eastAsia" w:ascii="SimHei" w:hAnsi="SimHei" w:eastAsia="黑体"/>
          <w:sz w:val="24"/>
          <w:szCs w:val="24"/>
        </w:rPr>
        <w:t>2、根据项目完成情况，以项目总收入为基数，抽拨一定比例作为奖励项目组成员的项目奖金</w:t>
      </w:r>
    </w:p>
    <w:p>
      <w:pPr>
        <w:tabs>
          <w:tab w:val="left" w:pos="709"/>
          <w:tab w:val="left" w:pos="851"/>
          <w:tab w:val="left" w:pos="8931"/>
        </w:tabs>
        <w:spacing w:line="360" w:lineRule="auto"/>
        <w:ind w:left="-29" w:leftChars="-14" w:right="168" w:rightChars="80" w:firstLine="480" w:firstLineChars="200"/>
        <w:rPr>
          <w:rFonts w:ascii="楷体" w:hAnsi="楷体" w:eastAsia="楷体"/>
          <w:sz w:val="24"/>
          <w:szCs w:val="24"/>
        </w:rPr>
      </w:pPr>
      <w:r>
        <w:rPr>
          <w:rFonts w:hint="eastAsia" w:ascii="SimHei" w:hAnsi="SimHei" w:eastAsia="黑体"/>
          <w:sz w:val="24"/>
          <w:szCs w:val="24"/>
        </w:rPr>
        <w:t>3、目前公司主要以技术项目为主，因此参与评定的人员基本归属于技术部门</w:t>
      </w:r>
    </w:p>
    <w:p>
      <w:pPr>
        <w:tabs>
          <w:tab w:val="left" w:pos="709"/>
          <w:tab w:val="left" w:pos="851"/>
          <w:tab w:val="left" w:pos="8931"/>
        </w:tabs>
        <w:spacing w:line="360" w:lineRule="auto"/>
        <w:ind w:left="-29" w:leftChars="-14" w:right="168" w:rightChars="80" w:firstLine="482" w:firstLineChars="200"/>
        <w:rPr>
          <w:rFonts w:ascii="楷体" w:hAnsi="楷体" w:eastAsia="楷体"/>
          <w:b/>
          <w:sz w:val="24"/>
          <w:szCs w:val="24"/>
        </w:rPr>
      </w:pPr>
      <w:r>
        <w:rPr>
          <w:rFonts w:hint="eastAsia" w:ascii="SimHei" w:hAnsi="SimHei" w:eastAsia="黑体"/>
          <w:b/>
          <w:sz w:val="24"/>
          <w:szCs w:val="24"/>
        </w:rPr>
        <w:t>4、项目奖金分配方案</w:t>
      </w:r>
    </w:p>
    <w:p>
      <w:pPr>
        <w:tabs>
          <w:tab w:val="left" w:pos="709"/>
          <w:tab w:val="left" w:pos="851"/>
          <w:tab w:val="left" w:pos="8931"/>
        </w:tabs>
        <w:spacing w:line="360" w:lineRule="auto"/>
        <w:ind w:left="-29" w:leftChars="-14" w:right="168" w:rightChars="80" w:firstLine="480" w:firstLineChars="200"/>
        <w:rPr>
          <w:rFonts w:ascii="楷体" w:hAnsi="楷体" w:eastAsia="楷体"/>
          <w:sz w:val="24"/>
          <w:szCs w:val="24"/>
        </w:rPr>
      </w:pPr>
      <w:r>
        <w:rPr>
          <w:rFonts w:hint="eastAsia" w:ascii="SimHei" w:hAnsi="SimHei" w:eastAsia="黑体"/>
          <w:sz w:val="24"/>
          <w:szCs w:val="24"/>
        </w:rPr>
        <w:t>公司之前的项目奖金由项目组长自行分配，本次方案也以项目组长为主导，同时提供建议性的方案</w:t>
      </w:r>
    </w:p>
    <w:p>
      <w:pPr>
        <w:tabs>
          <w:tab w:val="left" w:pos="709"/>
          <w:tab w:val="left" w:pos="851"/>
          <w:tab w:val="left" w:pos="8931"/>
        </w:tabs>
        <w:spacing w:line="360" w:lineRule="auto"/>
        <w:ind w:left="-29" w:leftChars="-14" w:right="168" w:rightChars="80" w:firstLine="480" w:firstLineChars="200"/>
        <w:rPr>
          <w:rFonts w:ascii="楷体" w:hAnsi="楷体" w:eastAsia="楷体"/>
          <w:sz w:val="24"/>
          <w:szCs w:val="24"/>
        </w:rPr>
      </w:pPr>
      <w:r>
        <w:rPr>
          <w:rFonts w:hint="eastAsia" w:ascii="SimHei" w:hAnsi="SimHei" w:eastAsia="黑体"/>
          <w:sz w:val="24"/>
          <w:szCs w:val="24"/>
        </w:rPr>
        <w:t>（1）确定项目组长奖金比例</w:t>
      </w:r>
    </w:p>
    <w:p>
      <w:pPr>
        <w:tabs>
          <w:tab w:val="left" w:pos="709"/>
          <w:tab w:val="left" w:pos="851"/>
          <w:tab w:val="left" w:pos="8931"/>
        </w:tabs>
        <w:spacing w:line="360" w:lineRule="auto"/>
        <w:ind w:left="-29" w:leftChars="-14" w:right="168" w:rightChars="80" w:firstLine="480" w:firstLineChars="200"/>
        <w:rPr>
          <w:rFonts w:ascii="楷体" w:hAnsi="楷体" w:eastAsia="楷体"/>
          <w:sz w:val="24"/>
          <w:szCs w:val="24"/>
        </w:rPr>
      </w:pPr>
      <w:r>
        <w:rPr>
          <w:rFonts w:hint="eastAsia" w:ascii="SimHei" w:hAnsi="SimHei" w:eastAsia="黑体"/>
          <w:sz w:val="24"/>
          <w:szCs w:val="24"/>
        </w:rPr>
        <w:t>（2）项目成员奖金总额=项目奖金总额-项目组长奖金</w:t>
      </w:r>
    </w:p>
    <w:p>
      <w:pPr>
        <w:tabs>
          <w:tab w:val="left" w:pos="709"/>
          <w:tab w:val="left" w:pos="851"/>
          <w:tab w:val="left" w:pos="8931"/>
        </w:tabs>
        <w:spacing w:line="360" w:lineRule="auto"/>
        <w:ind w:left="-29" w:leftChars="-14" w:right="168" w:rightChars="80" w:firstLine="480" w:firstLineChars="200"/>
        <w:rPr>
          <w:rFonts w:ascii="楷体" w:hAnsi="楷体" w:eastAsia="楷体"/>
          <w:sz w:val="24"/>
          <w:szCs w:val="24"/>
        </w:rPr>
      </w:pPr>
      <w:r>
        <w:rPr>
          <w:rFonts w:hint="eastAsia" w:ascii="SimHei" w:hAnsi="SimHei" w:eastAsia="黑体"/>
          <w:sz w:val="24"/>
          <w:szCs w:val="24"/>
        </w:rPr>
        <w:t>（3）将参考项目的成员在季度量化考核表中</w:t>
      </w:r>
      <w:r>
        <w:rPr>
          <w:rFonts w:ascii="SimHei" w:hAnsi="SimHei" w:eastAsia="黑体"/>
        </w:rPr>
      </w:r>
      <w:r>
        <w:rPr>
          <w:rFonts w:ascii="SimHei" w:hAnsi="SimHei" w:eastAsia="黑体"/>
        </w:rPr>
      </w:r>
      <w:r>
        <w:rPr>
          <w:rFonts w:ascii="SimHei" w:hAnsi="SimHei" w:eastAsia="黑体"/>
        </w:rPr>
      </w:r>
      <w:r>
        <w:rPr>
          <w:rStyle w:val="33"/>
          <w:rFonts w:hint="eastAsia" w:ascii="SimHei" w:hAnsi="SimHei" w:eastAsia="黑体"/>
          <w:color w:val="auto"/>
          <w:sz w:val="24"/>
          <w:szCs w:val="24"/>
          <w:u w:val="none"/>
        </w:rPr>
        <w:t>“项目参与”</w:t>
      </w:r>
      <w:r>
        <w:rPr>
          <w:rStyle w:val="33"/>
          <w:rFonts w:hint="eastAsia" w:ascii="SimHei" w:hAnsi="SimHei" w:eastAsia="黑体"/>
          <w:color w:val="auto"/>
          <w:sz w:val="24"/>
          <w:szCs w:val="24"/>
          <w:u w:val="none"/>
        </w:rPr>
      </w:r>
      <w:r>
        <w:rPr>
          <w:rFonts w:hint="eastAsia" w:ascii="SimHei" w:hAnsi="SimHei" w:eastAsia="黑体"/>
          <w:sz w:val="24"/>
          <w:szCs w:val="24"/>
        </w:rPr>
        <w:t>指标得分汇总平均分数，作为项目奖金评定参数之一，占比60%</w:t>
      </w:r>
    </w:p>
    <w:p>
      <w:pPr>
        <w:tabs>
          <w:tab w:val="left" w:pos="709"/>
          <w:tab w:val="left" w:pos="851"/>
          <w:tab w:val="left" w:pos="8931"/>
        </w:tabs>
        <w:spacing w:line="360" w:lineRule="auto"/>
        <w:ind w:left="-29" w:leftChars="-14" w:right="168" w:rightChars="80" w:firstLine="480" w:firstLineChars="200"/>
        <w:rPr>
          <w:rFonts w:ascii="楷体" w:hAnsi="楷体" w:eastAsia="楷体"/>
          <w:sz w:val="24"/>
          <w:szCs w:val="24"/>
        </w:rPr>
      </w:pPr>
      <w:r>
        <w:rPr>
          <w:rFonts w:hint="eastAsia" w:ascii="SimHei" w:hAnsi="SimHei" w:eastAsia="黑体"/>
          <w:sz w:val="24"/>
          <w:szCs w:val="24"/>
        </w:rPr>
        <w:t>（4）项目组长根据员工项目期间的表现情况自行裁定评分，占比40%</w:t>
      </w:r>
    </w:p>
    <w:p>
      <w:pPr>
        <w:tabs>
          <w:tab w:val="left" w:pos="709"/>
          <w:tab w:val="left" w:pos="851"/>
          <w:tab w:val="left" w:pos="8931"/>
        </w:tabs>
        <w:spacing w:line="360" w:lineRule="auto"/>
        <w:ind w:left="-29" w:leftChars="-14" w:right="168" w:rightChars="80" w:firstLine="480" w:firstLineChars="200"/>
        <w:rPr>
          <w:rFonts w:ascii="楷体" w:hAnsi="楷体" w:eastAsia="楷体"/>
          <w:sz w:val="24"/>
          <w:szCs w:val="24"/>
        </w:rPr>
      </w:pPr>
      <w:r>
        <w:rPr>
          <w:rFonts w:hint="eastAsia" w:ascii="SimHei" w:hAnsi="SimHei" w:eastAsia="黑体"/>
          <w:sz w:val="24"/>
          <w:szCs w:val="24"/>
        </w:rPr>
        <w:t>某项目成员评分表参考如下：</w:t>
      </w:r>
    </w:p>
    <w:tbl>
      <w:tblPr>
        <w:tblStyle w:val="28"/>
        <w:tblW w:w="9934" w:type="dxa"/>
        <w:jc w:val="center"/>
        <w:tblInd w:w="0" w:type="dxa"/>
        <w:tblLayout w:type="fixed"/>
        <w:tblCellMar>
          <w:top w:w="0" w:type="dxa"/>
          <w:left w:w="108" w:type="dxa"/>
          <w:bottom w:w="0" w:type="dxa"/>
          <w:right w:w="108" w:type="dxa"/>
        </w:tblCellMar>
      </w:tblPr>
      <w:tblGrid>
        <w:gridCol w:w="1300"/>
        <w:gridCol w:w="1584"/>
        <w:gridCol w:w="4890"/>
        <w:gridCol w:w="860"/>
        <w:gridCol w:w="1300"/>
      </w:tblGrid>
      <w:tr>
        <w:tblPrEx>
          <w:tblLayout w:type="fixed"/>
          <w:tblCellMar>
            <w:top w:w="0" w:type="dxa"/>
            <w:left w:w="108" w:type="dxa"/>
            <w:bottom w:w="0" w:type="dxa"/>
            <w:right w:w="108" w:type="dxa"/>
          </w:tblCellMar>
        </w:tblPrEx>
        <w:trPr>
          <w:trHeight w:val="450" w:hRule="atLeast"/>
          <w:jc w:val="center"/>
        </w:trPr>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维度</w:t>
            </w:r>
          </w:p>
        </w:tc>
        <w:tc>
          <w:tcPr>
            <w:tcW w:w="6474" w:type="dxa"/>
            <w:gridSpan w:val="2"/>
            <w:tcBorders>
              <w:top w:val="single" w:color="auto" w:sz="4" w:space="0"/>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评分参考标准</w:t>
            </w: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得分</w:t>
            </w:r>
          </w:p>
        </w:tc>
        <w:tc>
          <w:tcPr>
            <w:tcW w:w="1300" w:type="dxa"/>
            <w:tcBorders>
              <w:top w:val="single" w:color="auto" w:sz="4" w:space="0"/>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
                <w:bCs/>
                <w:kern w:val="0"/>
                <w:sz w:val="24"/>
                <w:szCs w:val="24"/>
              </w:rPr>
            </w:pPr>
            <w:r>
              <w:rPr>
                <w:rFonts w:hint="eastAsia" w:ascii="SimHei" w:hAnsi="SimHei" w:eastAsia="黑体" w:cs="宋体"/>
                <w:b/>
                <w:bCs/>
                <w:kern w:val="0"/>
                <w:sz w:val="24"/>
                <w:szCs w:val="24"/>
              </w:rPr>
              <w:t>权重</w:t>
            </w:r>
          </w:p>
        </w:tc>
      </w:tr>
      <w:tr>
        <w:tblPrEx>
          <w:tblLayout w:type="fixed"/>
          <w:tblCellMar>
            <w:top w:w="0" w:type="dxa"/>
            <w:left w:w="108" w:type="dxa"/>
            <w:bottom w:w="0" w:type="dxa"/>
            <w:right w:w="108" w:type="dxa"/>
          </w:tblCellMar>
        </w:tblPrEx>
        <w:trPr>
          <w:trHeight w:val="450" w:hRule="atLeast"/>
          <w:jc w:val="center"/>
        </w:trPr>
        <w:tc>
          <w:tcPr>
            <w:tcW w:w="130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项目进度</w:t>
            </w: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优（91-100）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及时或提前完成，无拖延</w:t>
            </w:r>
          </w:p>
        </w:tc>
        <w:tc>
          <w:tcPr>
            <w:tcW w:w="86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130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50%</w:t>
            </w:r>
          </w:p>
        </w:tc>
      </w:tr>
      <w:tr>
        <w:tblPrEx>
          <w:tblLayout w:type="fixed"/>
          <w:tblCellMar>
            <w:top w:w="0" w:type="dxa"/>
            <w:left w:w="108" w:type="dxa"/>
            <w:bottom w:w="0" w:type="dxa"/>
            <w:right w:w="108" w:type="dxa"/>
          </w:tblCellMar>
        </w:tblPrEx>
        <w:trPr>
          <w:trHeight w:val="450" w:hRule="atLeast"/>
          <w:jc w:val="center"/>
        </w:trPr>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良（81-90）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及时完成，无拖延</w:t>
            </w:r>
          </w:p>
        </w:tc>
        <w:tc>
          <w:tcPr>
            <w:tcW w:w="86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450" w:hRule="atLeast"/>
          <w:jc w:val="center"/>
        </w:trPr>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中（61-80）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有延误，有一定影响</w:t>
            </w:r>
          </w:p>
        </w:tc>
        <w:tc>
          <w:tcPr>
            <w:tcW w:w="86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450" w:hRule="atLeast"/>
          <w:jc w:val="center"/>
        </w:trPr>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差（0-60）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严重延迟，影响很大</w:t>
            </w:r>
          </w:p>
        </w:tc>
        <w:tc>
          <w:tcPr>
            <w:tcW w:w="86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450" w:hRule="atLeast"/>
          <w:jc w:val="center"/>
        </w:trPr>
        <w:tc>
          <w:tcPr>
            <w:tcW w:w="130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成本意识</w:t>
            </w: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优（91-100）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成本意识很强，工作高效，节约资源</w:t>
            </w:r>
          </w:p>
        </w:tc>
        <w:tc>
          <w:tcPr>
            <w:tcW w:w="86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130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20%</w:t>
            </w:r>
          </w:p>
        </w:tc>
      </w:tr>
      <w:tr>
        <w:tblPrEx>
          <w:tblLayout w:type="fixed"/>
          <w:tblCellMar>
            <w:top w:w="0" w:type="dxa"/>
            <w:left w:w="108" w:type="dxa"/>
            <w:bottom w:w="0" w:type="dxa"/>
            <w:right w:w="108" w:type="dxa"/>
          </w:tblCellMar>
        </w:tblPrEx>
        <w:trPr>
          <w:trHeight w:val="450" w:hRule="atLeast"/>
          <w:jc w:val="center"/>
        </w:trPr>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良（81-90）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成本意识较强，工作讲求效率</w:t>
            </w:r>
          </w:p>
        </w:tc>
        <w:tc>
          <w:tcPr>
            <w:tcW w:w="86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450" w:hRule="atLeast"/>
          <w:jc w:val="center"/>
        </w:trPr>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中（61-80）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成本意识一般，工作效率较差</w:t>
            </w:r>
          </w:p>
        </w:tc>
        <w:tc>
          <w:tcPr>
            <w:tcW w:w="86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450" w:hRule="atLeast"/>
          <w:jc w:val="center"/>
        </w:trPr>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差（0-60）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成本意识很差，浪费资源</w:t>
            </w:r>
          </w:p>
        </w:tc>
        <w:tc>
          <w:tcPr>
            <w:tcW w:w="86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450" w:hRule="atLeast"/>
          <w:jc w:val="center"/>
        </w:trPr>
        <w:tc>
          <w:tcPr>
            <w:tcW w:w="130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工作质量</w:t>
            </w: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优（91-100）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及时出色的完成任务，出错率0</w:t>
            </w:r>
          </w:p>
        </w:tc>
        <w:tc>
          <w:tcPr>
            <w:tcW w:w="86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130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20%</w:t>
            </w:r>
          </w:p>
        </w:tc>
      </w:tr>
      <w:tr>
        <w:tblPrEx>
          <w:tblLayout w:type="fixed"/>
          <w:tblCellMar>
            <w:top w:w="0" w:type="dxa"/>
            <w:left w:w="108" w:type="dxa"/>
            <w:bottom w:w="0" w:type="dxa"/>
            <w:right w:w="108" w:type="dxa"/>
          </w:tblCellMar>
        </w:tblPrEx>
        <w:trPr>
          <w:trHeight w:val="450" w:hRule="atLeast"/>
          <w:jc w:val="center"/>
        </w:trPr>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良（81-90）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工作质量较好，很少出错</w:t>
            </w:r>
          </w:p>
        </w:tc>
        <w:tc>
          <w:tcPr>
            <w:tcW w:w="86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450" w:hRule="atLeast"/>
          <w:jc w:val="center"/>
        </w:trPr>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中（61-80）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工作质量一般，时常出错</w:t>
            </w:r>
          </w:p>
        </w:tc>
        <w:tc>
          <w:tcPr>
            <w:tcW w:w="86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450" w:hRule="atLeast"/>
          <w:jc w:val="center"/>
        </w:trPr>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差（0-60）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工作质量较差，频繁出错</w:t>
            </w:r>
          </w:p>
        </w:tc>
        <w:tc>
          <w:tcPr>
            <w:tcW w:w="86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450" w:hRule="atLeast"/>
          <w:jc w:val="center"/>
        </w:trPr>
        <w:tc>
          <w:tcPr>
            <w:tcW w:w="130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工作态度</w:t>
            </w: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优（91-100）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工作态度认真积极、执行力强、优秀的团队精神</w:t>
            </w:r>
          </w:p>
        </w:tc>
        <w:tc>
          <w:tcPr>
            <w:tcW w:w="86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130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10%</w:t>
            </w:r>
          </w:p>
        </w:tc>
      </w:tr>
      <w:tr>
        <w:tblPrEx>
          <w:tblLayout w:type="fixed"/>
          <w:tblCellMar>
            <w:top w:w="0" w:type="dxa"/>
            <w:left w:w="108" w:type="dxa"/>
            <w:bottom w:w="0" w:type="dxa"/>
            <w:right w:w="108" w:type="dxa"/>
          </w:tblCellMar>
        </w:tblPrEx>
        <w:trPr>
          <w:trHeight w:val="450" w:hRule="atLeast"/>
          <w:jc w:val="center"/>
        </w:trPr>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良（81-90）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工作态度积极，执行力较好，能主动与他人协作</w:t>
            </w:r>
          </w:p>
        </w:tc>
        <w:tc>
          <w:tcPr>
            <w:tcW w:w="86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450" w:hRule="atLeast"/>
          <w:jc w:val="center"/>
        </w:trPr>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中（61-80）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工作态度一般，执行力一般，被动合作</w:t>
            </w:r>
          </w:p>
        </w:tc>
        <w:tc>
          <w:tcPr>
            <w:tcW w:w="86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450" w:hRule="atLeast"/>
          <w:jc w:val="center"/>
        </w:trPr>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差（0-60）</w:t>
            </w:r>
          </w:p>
        </w:tc>
        <w:tc>
          <w:tcPr>
            <w:tcW w:w="4890"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工作态度差，执行力差，从不主动协作</w:t>
            </w:r>
          </w:p>
        </w:tc>
        <w:tc>
          <w:tcPr>
            <w:tcW w:w="86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450" w:hRule="atLeast"/>
          <w:jc w:val="center"/>
        </w:trPr>
        <w:tc>
          <w:tcPr>
            <w:tcW w:w="1300" w:type="dxa"/>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考核得分</w:t>
            </w:r>
          </w:p>
        </w:tc>
        <w:tc>
          <w:tcPr>
            <w:tcW w:w="158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 xml:space="preserve">　</w:t>
            </w:r>
          </w:p>
        </w:tc>
        <w:tc>
          <w:tcPr>
            <w:tcW w:w="7050" w:type="dxa"/>
            <w:gridSpan w:val="3"/>
            <w:tcBorders>
              <w:top w:val="single" w:color="auto" w:sz="4" w:space="0"/>
              <w:left w:val="nil"/>
              <w:bottom w:val="single" w:color="auto" w:sz="4" w:space="0"/>
              <w:right w:val="single" w:color="000000" w:sz="4" w:space="0"/>
            </w:tcBorders>
            <w:shd w:val="clear" w:color="auto" w:fill="auto"/>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被考核人签字：                    考核人签字：</w:t>
            </w:r>
          </w:p>
        </w:tc>
      </w:tr>
    </w:tbl>
    <w:p>
      <w:pPr>
        <w:pStyle w:val="3"/>
        <w:tabs>
          <w:tab w:val="left" w:pos="709"/>
          <w:tab w:val="left" w:pos="851"/>
          <w:tab w:val="left" w:pos="8931"/>
        </w:tabs>
        <w:spacing w:before="0" w:after="0" w:line="360" w:lineRule="auto"/>
        <w:ind w:right="168" w:rightChars="80" w:firstLine="482" w:firstLineChars="200"/>
        <w:rPr>
          <w:rFonts w:ascii="楷体" w:hAnsi="楷体" w:eastAsia="楷体"/>
          <w:kern w:val="0"/>
          <w:sz w:val="24"/>
          <w:szCs w:val="24"/>
        </w:rPr>
      </w:pPr>
      <w:bookmarkStart w:id="93" w:name="_Toc408573199"/>
      <w:bookmarkStart w:id="94" w:name="_Toc407729202"/>
      <w:r>
        <w:rPr>
          <w:rFonts w:hint="eastAsia" w:ascii="SimHei" w:hAnsi="SimHei" w:eastAsia="黑体"/>
          <w:kern w:val="0"/>
          <w:sz w:val="24"/>
          <w:szCs w:val="24"/>
        </w:rPr>
        <w:t>九、年终奖金</w:t>
      </w:r>
      <w:bookmarkEnd w:id="93"/>
      <w:bookmarkEnd w:id="94"/>
    </w:p>
    <w:p>
      <w:pPr>
        <w:tabs>
          <w:tab w:val="left" w:pos="709"/>
          <w:tab w:val="left" w:pos="851"/>
          <w:tab w:val="left" w:pos="8931"/>
        </w:tabs>
        <w:spacing w:line="360" w:lineRule="auto"/>
        <w:ind w:right="168" w:rightChars="80" w:firstLine="482" w:firstLineChars="200"/>
        <w:rPr>
          <w:rFonts w:ascii="楷体" w:hAnsi="楷体" w:eastAsia="楷体"/>
          <w:b/>
          <w:sz w:val="24"/>
          <w:szCs w:val="24"/>
        </w:rPr>
      </w:pPr>
      <w:r>
        <w:rPr>
          <w:rFonts w:hint="eastAsia" w:ascii="SimHei" w:hAnsi="SimHei" w:eastAsia="黑体"/>
          <w:b/>
          <w:sz w:val="24"/>
          <w:szCs w:val="24"/>
        </w:rPr>
        <w:t>本方案仅作为销售部与职能部门奖金发放的依据，技术部的年终奖金自行裁定</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95" w:name="_Toc408573200"/>
      <w:bookmarkStart w:id="96" w:name="_Toc407729203"/>
      <w:r>
        <w:rPr>
          <w:rFonts w:hint="eastAsia" w:ascii="SimHei" w:hAnsi="SimHei" w:eastAsia="黑体"/>
          <w:sz w:val="24"/>
          <w:szCs w:val="24"/>
        </w:rPr>
        <w:t>1、提取办法</w:t>
      </w:r>
      <w:bookmarkEnd w:id="95"/>
      <w:bookmarkEnd w:id="96"/>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（1）公司根据年度销售总收入与回款率，抽拨一定比例作为年终发放的“公司奖金总额”；</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（2）根据各部门的职责体现与贡献程度，分别向部门分配“部门奖金总额”；</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（3）各部门根据员工的工作表现与贡献程度并结合员工当年个人绩效系数评定情况，合理分配个人年终奖金。</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97" w:name="_Toc408573201"/>
      <w:bookmarkStart w:id="98" w:name="_Toc407729204"/>
      <w:r>
        <w:rPr>
          <w:rFonts w:hint="eastAsia" w:ascii="SimHei" w:hAnsi="SimHei" w:eastAsia="黑体"/>
          <w:sz w:val="24"/>
          <w:szCs w:val="24"/>
        </w:rPr>
        <w:t>2、分配方案</w:t>
      </w:r>
      <w:bookmarkEnd w:id="97"/>
      <w:bookmarkEnd w:id="98"/>
      <w:r>
        <w:rPr>
          <w:rFonts w:hint="eastAsia" w:ascii="SimHei" w:hAnsi="SimHei" w:eastAsia="黑体"/>
          <w:sz w:val="24"/>
          <w:szCs w:val="24"/>
        </w:rPr>
        <w:t>（“360度考评“结合”季度绩效“加权得分进行评比）</w:t>
      </w:r>
    </w:p>
    <w:p>
      <w:pPr>
        <w:tabs>
          <w:tab w:val="left" w:pos="709"/>
          <w:tab w:val="left" w:pos="851"/>
          <w:tab w:val="left" w:pos="8931"/>
        </w:tabs>
        <w:spacing w:line="360" w:lineRule="auto"/>
        <w:ind w:right="168" w:rightChars="80" w:firstLine="482" w:firstLineChars="200"/>
        <w:rPr>
          <w:rFonts w:ascii="楷体" w:hAnsi="楷体" w:eastAsia="楷体"/>
          <w:b/>
          <w:sz w:val="24"/>
          <w:szCs w:val="24"/>
        </w:rPr>
      </w:pPr>
      <w:r>
        <w:rPr>
          <w:rFonts w:hint="eastAsia" w:ascii="SimHei" w:hAnsi="SimHei" w:eastAsia="黑体"/>
          <w:b/>
          <w:sz w:val="24"/>
          <w:szCs w:val="24"/>
        </w:rPr>
        <w:t>部门年终奖金发放比例由公司高层会议讨论决定</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个人年终奖金发放比例参考如下方案：</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（1）以年终360度考评方式得出年度评定分数，占比40%</w:t>
      </w:r>
    </w:p>
    <w:tbl>
      <w:tblPr>
        <w:tblStyle w:val="28"/>
        <w:tblW w:w="9989" w:type="dxa"/>
        <w:jc w:val="center"/>
        <w:tblInd w:w="472" w:type="dxa"/>
        <w:tblLayout w:type="fixed"/>
        <w:tblCellMar>
          <w:top w:w="0" w:type="dxa"/>
          <w:left w:w="108" w:type="dxa"/>
          <w:bottom w:w="0" w:type="dxa"/>
          <w:right w:w="108" w:type="dxa"/>
        </w:tblCellMar>
      </w:tblPr>
      <w:tblGrid>
        <w:gridCol w:w="1224"/>
        <w:gridCol w:w="884"/>
        <w:gridCol w:w="2907"/>
        <w:gridCol w:w="1940"/>
        <w:gridCol w:w="1666"/>
        <w:gridCol w:w="744"/>
        <w:gridCol w:w="624"/>
      </w:tblGrid>
      <w:tr>
        <w:tblPrEx>
          <w:tblLayout w:type="fixed"/>
          <w:tblCellMar>
            <w:top w:w="0" w:type="dxa"/>
            <w:left w:w="108" w:type="dxa"/>
            <w:bottom w:w="0" w:type="dxa"/>
            <w:right w:w="108" w:type="dxa"/>
          </w:tblCellMar>
        </w:tblPrEx>
        <w:trPr>
          <w:trHeight w:val="20" w:hRule="atLeast"/>
          <w:jc w:val="center"/>
        </w:trPr>
        <w:tc>
          <w:tcPr>
            <w:tcW w:w="9989"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20XX年度考核评定表-销售（仅供参考）</w:t>
            </w:r>
          </w:p>
        </w:tc>
      </w:tr>
      <w:tr>
        <w:tblPrEx>
          <w:tblLayout w:type="fixed"/>
          <w:tblCellMar>
            <w:top w:w="0" w:type="dxa"/>
            <w:left w:w="108" w:type="dxa"/>
            <w:bottom w:w="0" w:type="dxa"/>
            <w:right w:w="108" w:type="dxa"/>
          </w:tblCellMar>
        </w:tblPrEx>
        <w:trPr>
          <w:trHeight w:val="20" w:hRule="atLeast"/>
          <w:jc w:val="center"/>
        </w:trPr>
        <w:tc>
          <w:tcPr>
            <w:tcW w:w="1224" w:type="dxa"/>
            <w:vMerge w:val="restart"/>
            <w:tcBorders>
              <w:top w:val="nil"/>
              <w:left w:val="single" w:color="auto" w:sz="4" w:space="0"/>
              <w:bottom w:val="single" w:color="auto" w:sz="4" w:space="0"/>
              <w:right w:val="single" w:color="auto" w:sz="4" w:space="0"/>
            </w:tcBorders>
            <w:shd w:val="clear" w:color="000000" w:fill="93CDDD"/>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考核</w:t>
            </w:r>
            <w:r>
              <w:rPr>
                <w:rFonts w:hint="eastAsia" w:ascii="SimHei" w:hAnsi="SimHei" w:eastAsia="黑体" w:cs="宋体"/>
                <w:kern w:val="0"/>
                <w:sz w:val="24"/>
                <w:szCs w:val="24"/>
              </w:rPr>
              <w:br/>
            </w:r>
            <w:r>
              <w:rPr>
                <w:rFonts w:hint="eastAsia" w:ascii="SimHei" w:hAnsi="SimHei" w:eastAsia="黑体" w:cs="宋体"/>
                <w:kern w:val="0"/>
                <w:sz w:val="24"/>
                <w:szCs w:val="24"/>
              </w:rPr>
              <w:t>项目</w:t>
            </w:r>
          </w:p>
        </w:tc>
        <w:tc>
          <w:tcPr>
            <w:tcW w:w="884" w:type="dxa"/>
            <w:vMerge w:val="restart"/>
            <w:tcBorders>
              <w:top w:val="nil"/>
              <w:left w:val="single" w:color="auto" w:sz="4" w:space="0"/>
              <w:bottom w:val="single" w:color="auto" w:sz="4" w:space="0"/>
              <w:right w:val="single" w:color="auto" w:sz="4" w:space="0"/>
            </w:tcBorders>
            <w:shd w:val="clear" w:color="000000" w:fill="93CDDD"/>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考核指标</w:t>
            </w:r>
          </w:p>
        </w:tc>
        <w:tc>
          <w:tcPr>
            <w:tcW w:w="6513" w:type="dxa"/>
            <w:gridSpan w:val="3"/>
            <w:tcBorders>
              <w:top w:val="single" w:color="auto" w:sz="4" w:space="0"/>
              <w:left w:val="nil"/>
              <w:bottom w:val="single" w:color="auto" w:sz="4" w:space="0"/>
              <w:right w:val="single" w:color="auto" w:sz="4" w:space="0"/>
            </w:tcBorders>
            <w:shd w:val="clear" w:color="000000" w:fill="93CDDD"/>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考核标准</w:t>
            </w:r>
          </w:p>
        </w:tc>
        <w:tc>
          <w:tcPr>
            <w:tcW w:w="744" w:type="dxa"/>
            <w:vMerge w:val="restart"/>
            <w:tcBorders>
              <w:top w:val="nil"/>
              <w:left w:val="single" w:color="auto" w:sz="4" w:space="0"/>
              <w:bottom w:val="single" w:color="auto" w:sz="4" w:space="0"/>
              <w:right w:val="single" w:color="auto" w:sz="4" w:space="0"/>
            </w:tcBorders>
            <w:shd w:val="clear" w:color="000000" w:fill="93CDDD"/>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标准分值</w:t>
            </w:r>
          </w:p>
        </w:tc>
        <w:tc>
          <w:tcPr>
            <w:tcW w:w="624" w:type="dxa"/>
            <w:vMerge w:val="restart"/>
            <w:tcBorders>
              <w:top w:val="nil"/>
              <w:left w:val="nil"/>
              <w:right w:val="single" w:color="auto" w:sz="4" w:space="0"/>
            </w:tcBorders>
            <w:shd w:val="clear" w:color="000000" w:fill="93CDDD"/>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得分</w:t>
            </w:r>
          </w:p>
        </w:tc>
      </w:tr>
      <w:tr>
        <w:tblPrEx>
          <w:tblLayout w:type="fixed"/>
          <w:tblCellMar>
            <w:top w:w="0" w:type="dxa"/>
            <w:left w:w="108" w:type="dxa"/>
            <w:bottom w:w="0" w:type="dxa"/>
            <w:right w:w="108" w:type="dxa"/>
          </w:tblCellMar>
        </w:tblPrEx>
        <w:trPr>
          <w:trHeight w:val="20" w:hRule="atLeast"/>
          <w:jc w:val="center"/>
        </w:trPr>
        <w:tc>
          <w:tcPr>
            <w:tcW w:w="1224"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884"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2907" w:type="dxa"/>
            <w:tcBorders>
              <w:top w:val="nil"/>
              <w:left w:val="nil"/>
              <w:bottom w:val="single" w:color="auto" w:sz="4" w:space="0"/>
              <w:right w:val="single" w:color="auto" w:sz="4" w:space="0"/>
            </w:tcBorders>
            <w:shd w:val="clear" w:color="000000" w:fill="93CDDD"/>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优秀</w:t>
            </w:r>
          </w:p>
        </w:tc>
        <w:tc>
          <w:tcPr>
            <w:tcW w:w="1940" w:type="dxa"/>
            <w:tcBorders>
              <w:top w:val="nil"/>
              <w:left w:val="nil"/>
              <w:bottom w:val="single" w:color="auto" w:sz="4" w:space="0"/>
              <w:right w:val="single" w:color="auto" w:sz="4" w:space="0"/>
            </w:tcBorders>
            <w:shd w:val="clear" w:color="000000" w:fill="93CDDD"/>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合格</w:t>
            </w:r>
          </w:p>
        </w:tc>
        <w:tc>
          <w:tcPr>
            <w:tcW w:w="1666" w:type="dxa"/>
            <w:tcBorders>
              <w:top w:val="nil"/>
              <w:left w:val="nil"/>
              <w:bottom w:val="single" w:color="auto" w:sz="4" w:space="0"/>
              <w:right w:val="single" w:color="auto" w:sz="4" w:space="0"/>
            </w:tcBorders>
            <w:shd w:val="clear" w:color="000000" w:fill="93CDDD"/>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不合格</w:t>
            </w:r>
          </w:p>
        </w:tc>
        <w:tc>
          <w:tcPr>
            <w:tcW w:w="744"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624" w:type="dxa"/>
            <w:vMerge w:val="continue"/>
            <w:tcBorders>
              <w:left w:val="nil"/>
              <w:bottom w:val="single" w:color="auto" w:sz="4" w:space="0"/>
              <w:right w:val="single" w:color="auto" w:sz="4" w:space="0"/>
            </w:tcBorders>
            <w:shd w:val="clear" w:color="000000" w:fill="93CDDD"/>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r>
      <w:tr>
        <w:tblPrEx>
          <w:tblLayout w:type="fixed"/>
          <w:tblCellMar>
            <w:top w:w="0" w:type="dxa"/>
            <w:left w:w="108" w:type="dxa"/>
            <w:bottom w:w="0" w:type="dxa"/>
            <w:right w:w="108" w:type="dxa"/>
          </w:tblCellMar>
        </w:tblPrEx>
        <w:trPr>
          <w:trHeight w:val="20" w:hRule="atLeast"/>
          <w:jc w:val="center"/>
        </w:trPr>
        <w:tc>
          <w:tcPr>
            <w:tcW w:w="1224" w:type="dxa"/>
            <w:vMerge w:val="restart"/>
            <w:tcBorders>
              <w:top w:val="nil"/>
              <w:left w:val="single" w:color="auto" w:sz="4" w:space="0"/>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工作态度（30%）</w:t>
            </w:r>
          </w:p>
        </w:tc>
        <w:tc>
          <w:tcPr>
            <w:tcW w:w="884" w:type="dxa"/>
            <w:tcBorders>
              <w:top w:val="nil"/>
              <w:left w:val="nil"/>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忠诚度/责任心</w:t>
            </w:r>
          </w:p>
        </w:tc>
        <w:tc>
          <w:tcPr>
            <w:tcW w:w="2907"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对公司忠诚，维护公司整体形象，对于听到或看到不利于公司的情况能够及时做出有效的解释；工作一丝不苟，勇于承担上司赋予的责任，除了做好自己的本职工作外，还主动承担公司内部额外的工作</w:t>
            </w:r>
          </w:p>
        </w:tc>
        <w:tc>
          <w:tcPr>
            <w:tcW w:w="1940"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对公司忠诚，维护公司整体形象；工作勤奋，责任心较强，基本能完成日常工作，自觉地完成工作任务且对自己的行为负责</w:t>
            </w:r>
          </w:p>
        </w:tc>
        <w:tc>
          <w:tcPr>
            <w:tcW w:w="1666"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对公司不忠诚，常发表不利于公司的言论，造谣生事工作敷衍、马虎、责任不强，工作马虎，不能保质、保量地完成工作任务且工作态度极不认真</w:t>
            </w:r>
          </w:p>
        </w:tc>
        <w:tc>
          <w:tcPr>
            <w:tcW w:w="744" w:type="dxa"/>
            <w:tcBorders>
              <w:top w:val="nil"/>
              <w:left w:val="nil"/>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8</w:t>
            </w:r>
          </w:p>
        </w:tc>
        <w:tc>
          <w:tcPr>
            <w:tcW w:w="624" w:type="dxa"/>
            <w:tcBorders>
              <w:top w:val="nil"/>
              <w:left w:val="nil"/>
              <w:bottom w:val="single" w:color="auto" w:sz="4" w:space="0"/>
              <w:right w:val="single" w:color="auto" w:sz="4" w:space="0"/>
            </w:tcBorders>
            <w:shd w:val="clear" w:color="000000" w:fill="FCD5B4"/>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 xml:space="preserve">6　</w:t>
            </w:r>
          </w:p>
        </w:tc>
      </w:tr>
      <w:tr>
        <w:tblPrEx>
          <w:tblLayout w:type="fixed"/>
          <w:tblCellMar>
            <w:top w:w="0" w:type="dxa"/>
            <w:left w:w="108" w:type="dxa"/>
            <w:bottom w:w="0" w:type="dxa"/>
            <w:right w:w="108" w:type="dxa"/>
          </w:tblCellMar>
        </w:tblPrEx>
        <w:trPr>
          <w:trHeight w:val="20" w:hRule="atLeast"/>
          <w:jc w:val="center"/>
        </w:trPr>
        <w:tc>
          <w:tcPr>
            <w:tcW w:w="1224"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884" w:type="dxa"/>
            <w:tcBorders>
              <w:top w:val="nil"/>
              <w:left w:val="nil"/>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纪律性</w:t>
            </w:r>
          </w:p>
        </w:tc>
        <w:tc>
          <w:tcPr>
            <w:tcW w:w="2907"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全勤（年度考勤评分）、无违纪现象，没有处罚、严格遵守公司各项规章制度</w:t>
            </w:r>
          </w:p>
        </w:tc>
        <w:tc>
          <w:tcPr>
            <w:tcW w:w="1940"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无处罚，无违纪行为、能够遵守公司各项规章制度，偶尔请假或迟到</w:t>
            </w:r>
          </w:p>
        </w:tc>
        <w:tc>
          <w:tcPr>
            <w:tcW w:w="1666"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经常有请假、迟到、早退等有处罚，不遵守公司各项规章制度、有一次以上书面警告</w:t>
            </w:r>
          </w:p>
        </w:tc>
        <w:tc>
          <w:tcPr>
            <w:tcW w:w="744" w:type="dxa"/>
            <w:tcBorders>
              <w:top w:val="nil"/>
              <w:left w:val="nil"/>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8</w:t>
            </w:r>
          </w:p>
        </w:tc>
        <w:tc>
          <w:tcPr>
            <w:tcW w:w="624" w:type="dxa"/>
            <w:tcBorders>
              <w:top w:val="nil"/>
              <w:left w:val="nil"/>
              <w:bottom w:val="single" w:color="auto" w:sz="4" w:space="0"/>
              <w:right w:val="single" w:color="auto" w:sz="4" w:space="0"/>
            </w:tcBorders>
            <w:shd w:val="clear" w:color="000000" w:fill="FCD5B4"/>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 xml:space="preserve">6　</w:t>
            </w:r>
          </w:p>
        </w:tc>
      </w:tr>
      <w:tr>
        <w:tblPrEx>
          <w:tblLayout w:type="fixed"/>
          <w:tblCellMar>
            <w:top w:w="0" w:type="dxa"/>
            <w:left w:w="108" w:type="dxa"/>
            <w:bottom w:w="0" w:type="dxa"/>
            <w:right w:w="108" w:type="dxa"/>
          </w:tblCellMar>
        </w:tblPrEx>
        <w:trPr>
          <w:trHeight w:val="20" w:hRule="atLeast"/>
          <w:jc w:val="center"/>
        </w:trPr>
        <w:tc>
          <w:tcPr>
            <w:tcW w:w="1224"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884" w:type="dxa"/>
            <w:tcBorders>
              <w:top w:val="nil"/>
              <w:left w:val="nil"/>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积极主动性/执行力</w:t>
            </w:r>
          </w:p>
        </w:tc>
        <w:tc>
          <w:tcPr>
            <w:tcW w:w="2907"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工作热情，积极主动，能够积极主动地开展工作，完成分内分外工作；无条件服从领导安排，并有效的配合领导完成各项工作</w:t>
            </w:r>
          </w:p>
        </w:tc>
        <w:tc>
          <w:tcPr>
            <w:tcW w:w="1940"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工作较主动，基本能主动完成本职工作；虽然心存不满但仍能完成领导所分配原任务</w:t>
            </w:r>
          </w:p>
        </w:tc>
        <w:tc>
          <w:tcPr>
            <w:tcW w:w="1666"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工作被动，懈怠，不能按时按量完成领导分配的任务</w:t>
            </w:r>
          </w:p>
        </w:tc>
        <w:tc>
          <w:tcPr>
            <w:tcW w:w="744" w:type="dxa"/>
            <w:tcBorders>
              <w:top w:val="nil"/>
              <w:left w:val="nil"/>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10</w:t>
            </w:r>
          </w:p>
        </w:tc>
        <w:tc>
          <w:tcPr>
            <w:tcW w:w="624" w:type="dxa"/>
            <w:tcBorders>
              <w:top w:val="nil"/>
              <w:left w:val="nil"/>
              <w:bottom w:val="single" w:color="auto" w:sz="4" w:space="0"/>
              <w:right w:val="single" w:color="auto" w:sz="4" w:space="0"/>
            </w:tcBorders>
            <w:shd w:val="clear" w:color="000000" w:fill="FCD5B4"/>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 xml:space="preserve">6　</w:t>
            </w:r>
          </w:p>
        </w:tc>
      </w:tr>
      <w:tr>
        <w:tblPrEx>
          <w:tblLayout w:type="fixed"/>
          <w:tblCellMar>
            <w:top w:w="0" w:type="dxa"/>
            <w:left w:w="108" w:type="dxa"/>
            <w:bottom w:w="0" w:type="dxa"/>
            <w:right w:w="108" w:type="dxa"/>
          </w:tblCellMar>
        </w:tblPrEx>
        <w:trPr>
          <w:trHeight w:val="20" w:hRule="atLeast"/>
          <w:jc w:val="center"/>
        </w:trPr>
        <w:tc>
          <w:tcPr>
            <w:tcW w:w="1224"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884" w:type="dxa"/>
            <w:tcBorders>
              <w:top w:val="nil"/>
              <w:left w:val="nil"/>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团队意识/配合度</w:t>
            </w:r>
          </w:p>
        </w:tc>
        <w:tc>
          <w:tcPr>
            <w:tcW w:w="2907"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顾全大局，工作中能够积极主动配合团队工作乐于助人，个人利益服从集体利益。</w:t>
            </w:r>
          </w:p>
        </w:tc>
        <w:tc>
          <w:tcPr>
            <w:tcW w:w="1940"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比较计较个人得失，但服从规定，愿意配合，需要监督</w:t>
            </w:r>
          </w:p>
        </w:tc>
        <w:tc>
          <w:tcPr>
            <w:tcW w:w="1666" w:type="dxa"/>
            <w:tcBorders>
              <w:top w:val="nil"/>
              <w:left w:val="nil"/>
              <w:bottom w:val="single" w:color="auto" w:sz="4" w:space="0"/>
              <w:right w:val="single" w:color="auto" w:sz="4" w:space="0"/>
            </w:tcBorders>
            <w:shd w:val="clear" w:color="000000" w:fill="FCD5B4"/>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不积极配合团队工作，因个人原因而影响整个团队工作</w:t>
            </w:r>
          </w:p>
        </w:tc>
        <w:tc>
          <w:tcPr>
            <w:tcW w:w="744" w:type="dxa"/>
            <w:tcBorders>
              <w:top w:val="nil"/>
              <w:left w:val="nil"/>
              <w:bottom w:val="single" w:color="auto" w:sz="4" w:space="0"/>
              <w:right w:val="single" w:color="auto" w:sz="4" w:space="0"/>
            </w:tcBorders>
            <w:shd w:val="clear" w:color="000000" w:fill="FCD5B4"/>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4</w:t>
            </w:r>
          </w:p>
        </w:tc>
        <w:tc>
          <w:tcPr>
            <w:tcW w:w="624" w:type="dxa"/>
            <w:tcBorders>
              <w:top w:val="nil"/>
              <w:left w:val="nil"/>
              <w:bottom w:val="single" w:color="auto" w:sz="4" w:space="0"/>
              <w:right w:val="single" w:color="auto" w:sz="4" w:space="0"/>
            </w:tcBorders>
            <w:shd w:val="clear" w:color="000000" w:fill="FCD5B4"/>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 xml:space="preserve">2　</w:t>
            </w:r>
          </w:p>
        </w:tc>
      </w:tr>
      <w:tr>
        <w:tblPrEx>
          <w:tblLayout w:type="fixed"/>
          <w:tblCellMar>
            <w:top w:w="0" w:type="dxa"/>
            <w:left w:w="108" w:type="dxa"/>
            <w:bottom w:w="0" w:type="dxa"/>
            <w:right w:w="108" w:type="dxa"/>
          </w:tblCellMar>
        </w:tblPrEx>
        <w:trPr>
          <w:trHeight w:val="20" w:hRule="atLeast"/>
          <w:jc w:val="center"/>
        </w:trPr>
        <w:tc>
          <w:tcPr>
            <w:tcW w:w="1224" w:type="dxa"/>
            <w:vMerge w:val="restart"/>
            <w:tcBorders>
              <w:top w:val="nil"/>
              <w:left w:val="single" w:color="auto" w:sz="4" w:space="0"/>
              <w:bottom w:val="single" w:color="auto" w:sz="4" w:space="0"/>
              <w:right w:val="single" w:color="auto" w:sz="4" w:space="0"/>
            </w:tcBorders>
            <w:shd w:val="clear" w:color="000000" w:fill="C2D69A"/>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综合能力（70%）</w:t>
            </w:r>
          </w:p>
        </w:tc>
        <w:tc>
          <w:tcPr>
            <w:tcW w:w="884" w:type="dxa"/>
            <w:tcBorders>
              <w:top w:val="nil"/>
              <w:left w:val="nil"/>
              <w:bottom w:val="single" w:color="auto" w:sz="4" w:space="0"/>
              <w:right w:val="single" w:color="auto" w:sz="4" w:space="0"/>
            </w:tcBorders>
            <w:shd w:val="clear" w:color="000000" w:fill="C2D69A"/>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理解、分析判断能力</w:t>
            </w:r>
          </w:p>
        </w:tc>
        <w:tc>
          <w:tcPr>
            <w:tcW w:w="2907" w:type="dxa"/>
            <w:tcBorders>
              <w:top w:val="nil"/>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能迅速掌握分配的工作和新知识，理解深刻；分析判断能力强，能迅速的对客观环境做出较为正确的判断</w:t>
            </w:r>
          </w:p>
        </w:tc>
        <w:tc>
          <w:tcPr>
            <w:tcW w:w="1940" w:type="dxa"/>
            <w:tcBorders>
              <w:top w:val="nil"/>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能够掌握分配的工作和新知识；分析判断能力较强，能对复杂的问题进行分析和判断，但不能灵活的运用到实际工作中</w:t>
            </w:r>
          </w:p>
        </w:tc>
        <w:tc>
          <w:tcPr>
            <w:tcW w:w="1666" w:type="dxa"/>
            <w:tcBorders>
              <w:top w:val="nil"/>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对分配的工作和新知识掌握慢，不得要领；分析判断能力较弱，不能及时的做出正确的分析与判断</w:t>
            </w:r>
          </w:p>
        </w:tc>
        <w:tc>
          <w:tcPr>
            <w:tcW w:w="744" w:type="dxa"/>
            <w:tcBorders>
              <w:top w:val="nil"/>
              <w:left w:val="nil"/>
              <w:bottom w:val="single" w:color="auto" w:sz="4" w:space="0"/>
              <w:right w:val="single" w:color="auto" w:sz="4" w:space="0"/>
            </w:tcBorders>
            <w:shd w:val="clear" w:color="000000" w:fill="C2D69A"/>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20</w:t>
            </w:r>
          </w:p>
        </w:tc>
        <w:tc>
          <w:tcPr>
            <w:tcW w:w="624" w:type="dxa"/>
            <w:tcBorders>
              <w:top w:val="nil"/>
              <w:left w:val="nil"/>
              <w:bottom w:val="single" w:color="auto" w:sz="4" w:space="0"/>
              <w:right w:val="single" w:color="auto" w:sz="4" w:space="0"/>
            </w:tcBorders>
            <w:shd w:val="clear" w:color="000000" w:fill="C2D69A"/>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 xml:space="preserve">15　</w:t>
            </w:r>
          </w:p>
        </w:tc>
      </w:tr>
      <w:tr>
        <w:tblPrEx>
          <w:tblLayout w:type="fixed"/>
          <w:tblCellMar>
            <w:top w:w="0" w:type="dxa"/>
            <w:left w:w="108" w:type="dxa"/>
            <w:bottom w:w="0" w:type="dxa"/>
            <w:right w:w="108" w:type="dxa"/>
          </w:tblCellMar>
        </w:tblPrEx>
        <w:trPr>
          <w:trHeight w:val="20" w:hRule="atLeast"/>
          <w:jc w:val="center"/>
        </w:trPr>
        <w:tc>
          <w:tcPr>
            <w:tcW w:w="1224"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884" w:type="dxa"/>
            <w:tcBorders>
              <w:top w:val="nil"/>
              <w:left w:val="nil"/>
              <w:bottom w:val="single" w:color="auto" w:sz="4" w:space="0"/>
              <w:right w:val="single" w:color="auto" w:sz="4" w:space="0"/>
            </w:tcBorders>
            <w:shd w:val="clear" w:color="000000" w:fill="C2D69A"/>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应变和沟通能力</w:t>
            </w:r>
          </w:p>
        </w:tc>
        <w:tc>
          <w:tcPr>
            <w:tcW w:w="2907" w:type="dxa"/>
            <w:tcBorders>
              <w:top w:val="nil"/>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很灵活，应对客观环境的变化，能灵活的采取相应的措施，对提出的问题能快速反应处理能灵活运用多种谈话技巧和他人进行，能有效地化解矛盾</w:t>
            </w:r>
          </w:p>
        </w:tc>
        <w:tc>
          <w:tcPr>
            <w:tcW w:w="1940" w:type="dxa"/>
            <w:tcBorders>
              <w:top w:val="nil"/>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较强，工作中遇到的突发事件基本上都可以处理，但有时也有失误，对个别问题能处理，有一定的应变能力。有一定的说服能力，但问题依然得不到解决</w:t>
            </w:r>
          </w:p>
        </w:tc>
        <w:tc>
          <w:tcPr>
            <w:tcW w:w="1666" w:type="dxa"/>
            <w:tcBorders>
              <w:top w:val="nil"/>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缺少变通能力，反应不灵活不能清晰的表达自己的思想和想法</w:t>
            </w:r>
          </w:p>
        </w:tc>
        <w:tc>
          <w:tcPr>
            <w:tcW w:w="744" w:type="dxa"/>
            <w:tcBorders>
              <w:top w:val="nil"/>
              <w:left w:val="nil"/>
              <w:bottom w:val="single" w:color="auto" w:sz="4" w:space="0"/>
              <w:right w:val="single" w:color="auto" w:sz="4" w:space="0"/>
            </w:tcBorders>
            <w:shd w:val="clear" w:color="000000" w:fill="C2D69A"/>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20</w:t>
            </w:r>
          </w:p>
        </w:tc>
        <w:tc>
          <w:tcPr>
            <w:tcW w:w="624" w:type="dxa"/>
            <w:tcBorders>
              <w:top w:val="nil"/>
              <w:left w:val="nil"/>
              <w:bottom w:val="single" w:color="auto" w:sz="4" w:space="0"/>
              <w:right w:val="single" w:color="auto" w:sz="4" w:space="0"/>
            </w:tcBorders>
            <w:shd w:val="clear" w:color="000000" w:fill="C2D69A"/>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 xml:space="preserve">15　</w:t>
            </w:r>
          </w:p>
        </w:tc>
      </w:tr>
      <w:tr>
        <w:tblPrEx>
          <w:tblLayout w:type="fixed"/>
          <w:tblCellMar>
            <w:top w:w="0" w:type="dxa"/>
            <w:left w:w="108" w:type="dxa"/>
            <w:bottom w:w="0" w:type="dxa"/>
            <w:right w:w="108" w:type="dxa"/>
          </w:tblCellMar>
        </w:tblPrEx>
        <w:trPr>
          <w:trHeight w:val="20" w:hRule="atLeast"/>
          <w:jc w:val="center"/>
        </w:trPr>
        <w:tc>
          <w:tcPr>
            <w:tcW w:w="1224" w:type="dxa"/>
            <w:vMerge w:val="continue"/>
            <w:tcBorders>
              <w:top w:val="nil"/>
              <w:left w:val="single" w:color="auto" w:sz="4" w:space="0"/>
              <w:bottom w:val="single" w:color="auto" w:sz="4" w:space="0"/>
              <w:right w:val="single" w:color="auto" w:sz="4" w:space="0"/>
            </w:tcBorders>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884" w:type="dxa"/>
            <w:tcBorders>
              <w:top w:val="nil"/>
              <w:left w:val="nil"/>
              <w:bottom w:val="single" w:color="auto" w:sz="4" w:space="0"/>
              <w:right w:val="single" w:color="auto" w:sz="4" w:space="0"/>
            </w:tcBorders>
            <w:shd w:val="clear" w:color="000000" w:fill="C2D69A"/>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客户满意度</w:t>
            </w:r>
          </w:p>
        </w:tc>
        <w:tc>
          <w:tcPr>
            <w:tcW w:w="2907" w:type="dxa"/>
            <w:tcBorders>
              <w:top w:val="nil"/>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常有客户有书面表扬或向上层主管反应；顾客无投诉；微笑服务，举止得体，有亲和力，</w:t>
            </w:r>
          </w:p>
        </w:tc>
        <w:tc>
          <w:tcPr>
            <w:tcW w:w="1940" w:type="dxa"/>
            <w:tcBorders>
              <w:top w:val="nil"/>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客户无投诉；态度亲切，对客户的咨询不厌烦，微笑服务，亲切自然，能够快速有效的解决客户反应的问题</w:t>
            </w:r>
          </w:p>
        </w:tc>
        <w:tc>
          <w:tcPr>
            <w:tcW w:w="1666" w:type="dxa"/>
            <w:tcBorders>
              <w:top w:val="nil"/>
              <w:left w:val="nil"/>
              <w:bottom w:val="single" w:color="auto" w:sz="4" w:space="0"/>
              <w:right w:val="single" w:color="auto" w:sz="4" w:space="0"/>
            </w:tcBorders>
            <w:shd w:val="clear" w:color="000000" w:fill="C2D69A"/>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顾客有投诉；与客户发生争执，训斥客户，不礼貌，对客户指手画脚，给公司带来不良声誉影响。</w:t>
            </w:r>
          </w:p>
        </w:tc>
        <w:tc>
          <w:tcPr>
            <w:tcW w:w="744" w:type="dxa"/>
            <w:tcBorders>
              <w:top w:val="nil"/>
              <w:left w:val="nil"/>
              <w:bottom w:val="single" w:color="auto" w:sz="4" w:space="0"/>
              <w:right w:val="single" w:color="auto" w:sz="4" w:space="0"/>
            </w:tcBorders>
            <w:shd w:val="clear" w:color="000000" w:fill="C2D69A"/>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30</w:t>
            </w:r>
          </w:p>
        </w:tc>
        <w:tc>
          <w:tcPr>
            <w:tcW w:w="624" w:type="dxa"/>
            <w:tcBorders>
              <w:top w:val="nil"/>
              <w:left w:val="nil"/>
              <w:bottom w:val="single" w:color="auto" w:sz="4" w:space="0"/>
              <w:right w:val="single" w:color="auto" w:sz="4" w:space="0"/>
            </w:tcBorders>
            <w:shd w:val="clear" w:color="000000" w:fill="C2D69A"/>
            <w:noWrap/>
            <w:vAlign w:val="center"/>
          </w:tcPr>
          <w:p>
            <w:pPr>
              <w:widowControl/>
              <w:tabs>
                <w:tab w:val="left" w:pos="709"/>
                <w:tab w:val="left" w:pos="851"/>
                <w:tab w:val="left" w:pos="8931"/>
              </w:tabs>
              <w:spacing w:line="360" w:lineRule="auto"/>
              <w:ind w:right="168" w:rightChars="80"/>
              <w:rPr>
                <w:rFonts w:ascii="楷体" w:hAnsi="楷体" w:eastAsia="楷体" w:cs="宋体"/>
                <w:kern w:val="0"/>
                <w:sz w:val="24"/>
                <w:szCs w:val="24"/>
              </w:rPr>
            </w:pPr>
            <w:r>
              <w:rPr>
                <w:rFonts w:hint="eastAsia" w:ascii="SimHei" w:hAnsi="SimHei" w:eastAsia="黑体" w:cs="宋体"/>
                <w:kern w:val="0"/>
                <w:sz w:val="24"/>
                <w:szCs w:val="24"/>
              </w:rPr>
              <w:t xml:space="preserve">20　</w:t>
            </w:r>
          </w:p>
        </w:tc>
      </w:tr>
      <w:tr>
        <w:tblPrEx>
          <w:tblLayout w:type="fixed"/>
          <w:tblCellMar>
            <w:top w:w="0" w:type="dxa"/>
            <w:left w:w="108" w:type="dxa"/>
            <w:bottom w:w="0" w:type="dxa"/>
            <w:right w:w="108" w:type="dxa"/>
          </w:tblCellMar>
        </w:tblPrEx>
        <w:trPr>
          <w:trHeight w:val="20" w:hRule="atLeast"/>
          <w:jc w:val="center"/>
        </w:trPr>
        <w:tc>
          <w:tcPr>
            <w:tcW w:w="862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合计</w:t>
            </w:r>
          </w:p>
        </w:tc>
        <w:tc>
          <w:tcPr>
            <w:tcW w:w="744"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100</w:t>
            </w:r>
          </w:p>
        </w:tc>
        <w:tc>
          <w:tcPr>
            <w:tcW w:w="624"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70</w:t>
            </w:r>
          </w:p>
        </w:tc>
      </w:tr>
    </w:tbl>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（2）以每一期绩效考核分数加权汇总得出绩效分数，占比60%</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例如某行政人事专员年度360评定分数为70分，则年终得分如下图所示：</w:t>
      </w:r>
    </w:p>
    <w:tbl>
      <w:tblPr>
        <w:tblStyle w:val="28"/>
        <w:tblW w:w="8508" w:type="dxa"/>
        <w:jc w:val="center"/>
        <w:tblInd w:w="0" w:type="dxa"/>
        <w:tblLayout w:type="fixed"/>
        <w:tblCellMar>
          <w:top w:w="0" w:type="dxa"/>
          <w:left w:w="108" w:type="dxa"/>
          <w:bottom w:w="0" w:type="dxa"/>
          <w:right w:w="108" w:type="dxa"/>
        </w:tblCellMar>
      </w:tblPr>
      <w:tblGrid>
        <w:gridCol w:w="1418"/>
        <w:gridCol w:w="1561"/>
        <w:gridCol w:w="1275"/>
        <w:gridCol w:w="1418"/>
        <w:gridCol w:w="1418"/>
        <w:gridCol w:w="1418"/>
      </w:tblGrid>
      <w:tr>
        <w:tblPrEx>
          <w:tblLayout w:type="fixed"/>
          <w:tblCellMar>
            <w:top w:w="0" w:type="dxa"/>
            <w:left w:w="108" w:type="dxa"/>
            <w:bottom w:w="0" w:type="dxa"/>
            <w:right w:w="108" w:type="dxa"/>
          </w:tblCellMar>
        </w:tblPrEx>
        <w:trPr>
          <w:trHeight w:val="450" w:hRule="atLeast"/>
          <w:jc w:val="center"/>
        </w:trPr>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总权重</w:t>
            </w:r>
          </w:p>
        </w:tc>
        <w:tc>
          <w:tcPr>
            <w:tcW w:w="1561" w:type="dxa"/>
            <w:tcBorders>
              <w:top w:val="single" w:color="auto" w:sz="4" w:space="0"/>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40%</w:t>
            </w:r>
          </w:p>
        </w:tc>
        <w:tc>
          <w:tcPr>
            <w:tcW w:w="5529" w:type="dxa"/>
            <w:gridSpan w:val="4"/>
            <w:tcBorders>
              <w:top w:val="single" w:color="auto" w:sz="4" w:space="0"/>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60%</w:t>
            </w:r>
          </w:p>
        </w:tc>
      </w:tr>
      <w:tr>
        <w:tblPrEx>
          <w:tblLayout w:type="fixed"/>
          <w:tblCellMar>
            <w:top w:w="0" w:type="dxa"/>
            <w:left w:w="108" w:type="dxa"/>
            <w:bottom w:w="0" w:type="dxa"/>
            <w:right w:w="108" w:type="dxa"/>
          </w:tblCellMar>
        </w:tblPrEx>
        <w:trPr>
          <w:trHeight w:val="450" w:hRule="atLeast"/>
          <w:jc w:val="center"/>
        </w:trPr>
        <w:tc>
          <w:tcPr>
            <w:tcW w:w="1418" w:type="dxa"/>
            <w:tcBorders>
              <w:top w:val="nil"/>
              <w:left w:val="single" w:color="auto" w:sz="4" w:space="0"/>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考核方式</w:t>
            </w:r>
          </w:p>
        </w:tc>
        <w:tc>
          <w:tcPr>
            <w:tcW w:w="1561"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年终360考评</w:t>
            </w:r>
          </w:p>
        </w:tc>
        <w:tc>
          <w:tcPr>
            <w:tcW w:w="1275"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第一期</w:t>
            </w:r>
          </w:p>
        </w:tc>
        <w:tc>
          <w:tcPr>
            <w:tcW w:w="1418"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第二期</w:t>
            </w:r>
          </w:p>
        </w:tc>
        <w:tc>
          <w:tcPr>
            <w:tcW w:w="1418"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第三期</w:t>
            </w:r>
          </w:p>
        </w:tc>
        <w:tc>
          <w:tcPr>
            <w:tcW w:w="1418"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第四期</w:t>
            </w:r>
          </w:p>
        </w:tc>
      </w:tr>
      <w:tr>
        <w:tblPrEx>
          <w:tblLayout w:type="fixed"/>
          <w:tblCellMar>
            <w:top w:w="0" w:type="dxa"/>
            <w:left w:w="108" w:type="dxa"/>
            <w:bottom w:w="0" w:type="dxa"/>
            <w:right w:w="108" w:type="dxa"/>
          </w:tblCellMar>
        </w:tblPrEx>
        <w:trPr>
          <w:trHeight w:val="450" w:hRule="atLeast"/>
          <w:jc w:val="center"/>
        </w:trPr>
        <w:tc>
          <w:tcPr>
            <w:tcW w:w="1418" w:type="dxa"/>
            <w:tcBorders>
              <w:top w:val="nil"/>
              <w:left w:val="single" w:color="auto" w:sz="4" w:space="0"/>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分权重</w:t>
            </w:r>
          </w:p>
        </w:tc>
        <w:tc>
          <w:tcPr>
            <w:tcW w:w="1561"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100%</w:t>
            </w:r>
          </w:p>
        </w:tc>
        <w:tc>
          <w:tcPr>
            <w:tcW w:w="1275"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25%</w:t>
            </w:r>
          </w:p>
        </w:tc>
        <w:tc>
          <w:tcPr>
            <w:tcW w:w="1418"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25%</w:t>
            </w:r>
          </w:p>
        </w:tc>
        <w:tc>
          <w:tcPr>
            <w:tcW w:w="1418"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25%</w:t>
            </w:r>
          </w:p>
        </w:tc>
        <w:tc>
          <w:tcPr>
            <w:tcW w:w="1418"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25%</w:t>
            </w:r>
          </w:p>
        </w:tc>
      </w:tr>
      <w:tr>
        <w:tblPrEx>
          <w:tblLayout w:type="fixed"/>
          <w:tblCellMar>
            <w:top w:w="0" w:type="dxa"/>
            <w:left w:w="108" w:type="dxa"/>
            <w:bottom w:w="0" w:type="dxa"/>
            <w:right w:w="108" w:type="dxa"/>
          </w:tblCellMar>
        </w:tblPrEx>
        <w:trPr>
          <w:trHeight w:val="450" w:hRule="atLeast"/>
          <w:jc w:val="center"/>
        </w:trPr>
        <w:tc>
          <w:tcPr>
            <w:tcW w:w="1418" w:type="dxa"/>
            <w:tcBorders>
              <w:top w:val="nil"/>
              <w:left w:val="single" w:color="auto" w:sz="4" w:space="0"/>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得分</w:t>
            </w:r>
          </w:p>
        </w:tc>
        <w:tc>
          <w:tcPr>
            <w:tcW w:w="1561"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70</w:t>
            </w:r>
          </w:p>
        </w:tc>
        <w:tc>
          <w:tcPr>
            <w:tcW w:w="1275"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60</w:t>
            </w:r>
          </w:p>
        </w:tc>
        <w:tc>
          <w:tcPr>
            <w:tcW w:w="1418"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80</w:t>
            </w:r>
          </w:p>
        </w:tc>
        <w:tc>
          <w:tcPr>
            <w:tcW w:w="1418"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90</w:t>
            </w:r>
          </w:p>
        </w:tc>
        <w:tc>
          <w:tcPr>
            <w:tcW w:w="1418"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80</w:t>
            </w:r>
          </w:p>
        </w:tc>
      </w:tr>
      <w:tr>
        <w:tblPrEx>
          <w:tblLayout w:type="fixed"/>
          <w:tblCellMar>
            <w:top w:w="0" w:type="dxa"/>
            <w:left w:w="108" w:type="dxa"/>
            <w:bottom w:w="0" w:type="dxa"/>
            <w:right w:w="108" w:type="dxa"/>
          </w:tblCellMar>
        </w:tblPrEx>
        <w:trPr>
          <w:trHeight w:val="450" w:hRule="atLeast"/>
          <w:jc w:val="center"/>
        </w:trPr>
        <w:tc>
          <w:tcPr>
            <w:tcW w:w="1418" w:type="dxa"/>
            <w:tcBorders>
              <w:top w:val="nil"/>
              <w:left w:val="single" w:color="auto" w:sz="4" w:space="0"/>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加权</w:t>
            </w:r>
          </w:p>
        </w:tc>
        <w:tc>
          <w:tcPr>
            <w:tcW w:w="1561"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70</w:t>
            </w:r>
          </w:p>
        </w:tc>
        <w:tc>
          <w:tcPr>
            <w:tcW w:w="1275"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15</w:t>
            </w:r>
          </w:p>
        </w:tc>
        <w:tc>
          <w:tcPr>
            <w:tcW w:w="1418"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20</w:t>
            </w:r>
          </w:p>
        </w:tc>
        <w:tc>
          <w:tcPr>
            <w:tcW w:w="1418"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22.5</w:t>
            </w:r>
          </w:p>
        </w:tc>
        <w:tc>
          <w:tcPr>
            <w:tcW w:w="1418"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20</w:t>
            </w:r>
          </w:p>
        </w:tc>
      </w:tr>
      <w:tr>
        <w:tblPrEx>
          <w:tblLayout w:type="fixed"/>
          <w:tblCellMar>
            <w:top w:w="0" w:type="dxa"/>
            <w:left w:w="108" w:type="dxa"/>
            <w:bottom w:w="0" w:type="dxa"/>
            <w:right w:w="108" w:type="dxa"/>
          </w:tblCellMar>
        </w:tblPrEx>
        <w:trPr>
          <w:trHeight w:val="450" w:hRule="atLeast"/>
          <w:jc w:val="center"/>
        </w:trPr>
        <w:tc>
          <w:tcPr>
            <w:tcW w:w="1418" w:type="dxa"/>
            <w:tcBorders>
              <w:top w:val="nil"/>
              <w:left w:val="single" w:color="auto" w:sz="4" w:space="0"/>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合计</w:t>
            </w:r>
          </w:p>
        </w:tc>
        <w:tc>
          <w:tcPr>
            <w:tcW w:w="1561" w:type="dxa"/>
            <w:tcBorders>
              <w:top w:val="nil"/>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70</w:t>
            </w:r>
          </w:p>
        </w:tc>
        <w:tc>
          <w:tcPr>
            <w:tcW w:w="5529" w:type="dxa"/>
            <w:gridSpan w:val="4"/>
            <w:tcBorders>
              <w:top w:val="single" w:color="auto" w:sz="4" w:space="0"/>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77.5</w:t>
            </w:r>
          </w:p>
        </w:tc>
      </w:tr>
      <w:tr>
        <w:tblPrEx>
          <w:tblLayout w:type="fixed"/>
          <w:tblCellMar>
            <w:top w:w="0" w:type="dxa"/>
            <w:left w:w="108" w:type="dxa"/>
            <w:bottom w:w="0" w:type="dxa"/>
            <w:right w:w="108" w:type="dxa"/>
          </w:tblCellMar>
        </w:tblPrEx>
        <w:trPr>
          <w:trHeight w:val="450" w:hRule="atLeast"/>
          <w:jc w:val="center"/>
        </w:trPr>
        <w:tc>
          <w:tcPr>
            <w:tcW w:w="1418" w:type="dxa"/>
            <w:tcBorders>
              <w:top w:val="nil"/>
              <w:left w:val="single" w:color="auto" w:sz="4" w:space="0"/>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总加权</w:t>
            </w:r>
          </w:p>
        </w:tc>
        <w:tc>
          <w:tcPr>
            <w:tcW w:w="7090" w:type="dxa"/>
            <w:gridSpan w:val="5"/>
            <w:tcBorders>
              <w:top w:val="single" w:color="auto" w:sz="4" w:space="0"/>
              <w:left w:val="nil"/>
              <w:bottom w:val="single" w:color="auto" w:sz="4" w:space="0"/>
              <w:right w:val="single" w:color="auto" w:sz="4" w:space="0"/>
            </w:tcBorders>
            <w:shd w:val="clear" w:color="auto" w:fill="auto"/>
            <w:noWrap/>
            <w:vAlign w:val="center"/>
          </w:tcPr>
          <w:p>
            <w:pPr>
              <w:tabs>
                <w:tab w:val="left" w:pos="709"/>
                <w:tab w:val="left" w:pos="851"/>
                <w:tab w:val="left" w:pos="8931"/>
              </w:tabs>
              <w:spacing w:line="360" w:lineRule="auto"/>
              <w:ind w:right="168" w:rightChars="80"/>
              <w:jc w:val="center"/>
              <w:rPr>
                <w:rFonts w:ascii="楷体" w:hAnsi="楷体" w:eastAsia="楷体" w:cs="宋体"/>
                <w:sz w:val="24"/>
                <w:szCs w:val="24"/>
              </w:rPr>
            </w:pPr>
            <w:r>
              <w:rPr>
                <w:rFonts w:hint="eastAsia" w:ascii="SimHei" w:hAnsi="SimHei" w:eastAsia="黑体"/>
                <w:sz w:val="24"/>
                <w:szCs w:val="24"/>
              </w:rPr>
              <w:t>74.5</w:t>
            </w:r>
          </w:p>
        </w:tc>
      </w:tr>
    </w:tbl>
    <w:p>
      <w:pPr>
        <w:tabs>
          <w:tab w:val="left" w:pos="709"/>
          <w:tab w:val="left" w:pos="851"/>
          <w:tab w:val="left" w:pos="8931"/>
        </w:tabs>
        <w:spacing w:line="360" w:lineRule="auto"/>
        <w:ind w:right="168" w:rightChars="80" w:firstLine="482" w:firstLineChars="200"/>
        <w:rPr>
          <w:rFonts w:ascii="楷体" w:hAnsi="楷体" w:eastAsia="楷体"/>
          <w:b/>
          <w:sz w:val="24"/>
          <w:szCs w:val="24"/>
        </w:rPr>
      </w:pPr>
      <w:r>
        <w:rPr>
          <w:rFonts w:hint="eastAsia" w:ascii="SimHei" w:hAnsi="SimHei" w:eastAsia="黑体"/>
          <w:b/>
          <w:sz w:val="24"/>
          <w:szCs w:val="24"/>
        </w:rPr>
        <w:t>（3）测算规定：各部门独立确定岗位绩效系数，继而确定岗位奖金基数，</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岗位基数=部门奖金总额*岗位绩效系数</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最后得分，确定个人年终绩效系数（与季度个人绩效系数一致），如下表</w:t>
      </w:r>
    </w:p>
    <w:tbl>
      <w:tblPr>
        <w:tblStyle w:val="28"/>
        <w:tblW w:w="9786" w:type="dxa"/>
        <w:jc w:val="center"/>
        <w:tblInd w:w="0" w:type="dxa"/>
        <w:tblLayout w:type="fixed"/>
        <w:tblCellMar>
          <w:top w:w="0" w:type="dxa"/>
          <w:left w:w="108" w:type="dxa"/>
          <w:bottom w:w="0" w:type="dxa"/>
          <w:right w:w="108" w:type="dxa"/>
        </w:tblCellMar>
      </w:tblPr>
      <w:tblGrid>
        <w:gridCol w:w="2830"/>
        <w:gridCol w:w="4405"/>
        <w:gridCol w:w="2551"/>
      </w:tblGrid>
      <w:tr>
        <w:tblPrEx>
          <w:tblLayout w:type="fixed"/>
          <w:tblCellMar>
            <w:top w:w="0" w:type="dxa"/>
            <w:left w:w="108" w:type="dxa"/>
            <w:bottom w:w="0" w:type="dxa"/>
            <w:right w:w="108" w:type="dxa"/>
          </w:tblCellMar>
        </w:tblPrEx>
        <w:trPr>
          <w:trHeight w:val="540" w:hRule="atLeast"/>
          <w:jc w:val="center"/>
        </w:trPr>
        <w:tc>
          <w:tcPr>
            <w:tcW w:w="283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周期</w:t>
            </w:r>
          </w:p>
        </w:tc>
        <w:tc>
          <w:tcPr>
            <w:tcW w:w="4405" w:type="dxa"/>
            <w:tcBorders>
              <w:top w:val="single" w:color="auto" w:sz="4" w:space="0"/>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绩效得分</w:t>
            </w:r>
          </w:p>
        </w:tc>
        <w:tc>
          <w:tcPr>
            <w:tcW w:w="2551" w:type="dxa"/>
            <w:tcBorders>
              <w:top w:val="single" w:color="auto" w:sz="4" w:space="0"/>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个人年终绩效系数</w:t>
            </w:r>
          </w:p>
        </w:tc>
      </w:tr>
      <w:tr>
        <w:tblPrEx>
          <w:tblLayout w:type="fixed"/>
          <w:tblCellMar>
            <w:top w:w="0" w:type="dxa"/>
            <w:left w:w="108" w:type="dxa"/>
            <w:bottom w:w="0" w:type="dxa"/>
            <w:right w:w="108" w:type="dxa"/>
          </w:tblCellMar>
        </w:tblPrEx>
        <w:trPr>
          <w:trHeight w:val="540" w:hRule="atLeast"/>
          <w:jc w:val="center"/>
        </w:trPr>
        <w:tc>
          <w:tcPr>
            <w:tcW w:w="283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20XX年度</w:t>
            </w:r>
          </w:p>
        </w:tc>
        <w:tc>
          <w:tcPr>
            <w:tcW w:w="4405"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50分以下</w:t>
            </w:r>
          </w:p>
        </w:tc>
        <w:tc>
          <w:tcPr>
            <w:tcW w:w="2551"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0.0</w:t>
            </w:r>
          </w:p>
        </w:tc>
      </w:tr>
      <w:tr>
        <w:tblPrEx>
          <w:tblLayout w:type="fixed"/>
          <w:tblCellMar>
            <w:top w:w="0" w:type="dxa"/>
            <w:left w:w="108" w:type="dxa"/>
            <w:bottom w:w="0" w:type="dxa"/>
            <w:right w:w="108" w:type="dxa"/>
          </w:tblCellMar>
        </w:tblPrEx>
        <w:trPr>
          <w:trHeight w:val="540" w:hRule="atLeast"/>
          <w:jc w:val="center"/>
        </w:trPr>
        <w:tc>
          <w:tcPr>
            <w:tcW w:w="2830" w:type="dxa"/>
            <w:vMerge w:val="continue"/>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4405"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60-69分</w:t>
            </w:r>
          </w:p>
        </w:tc>
        <w:tc>
          <w:tcPr>
            <w:tcW w:w="2551"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0.6</w:t>
            </w:r>
          </w:p>
        </w:tc>
      </w:tr>
      <w:tr>
        <w:tblPrEx>
          <w:tblLayout w:type="fixed"/>
          <w:tblCellMar>
            <w:top w:w="0" w:type="dxa"/>
            <w:left w:w="108" w:type="dxa"/>
            <w:bottom w:w="0" w:type="dxa"/>
            <w:right w:w="108" w:type="dxa"/>
          </w:tblCellMar>
        </w:tblPrEx>
        <w:trPr>
          <w:trHeight w:val="540" w:hRule="atLeast"/>
          <w:jc w:val="center"/>
        </w:trPr>
        <w:tc>
          <w:tcPr>
            <w:tcW w:w="2830" w:type="dxa"/>
            <w:vMerge w:val="continue"/>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4405"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70-79分</w:t>
            </w:r>
          </w:p>
        </w:tc>
        <w:tc>
          <w:tcPr>
            <w:tcW w:w="2551"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0.7</w:t>
            </w:r>
          </w:p>
        </w:tc>
      </w:tr>
      <w:tr>
        <w:tblPrEx>
          <w:tblLayout w:type="fixed"/>
          <w:tblCellMar>
            <w:top w:w="0" w:type="dxa"/>
            <w:left w:w="108" w:type="dxa"/>
            <w:bottom w:w="0" w:type="dxa"/>
            <w:right w:w="108" w:type="dxa"/>
          </w:tblCellMar>
        </w:tblPrEx>
        <w:trPr>
          <w:trHeight w:val="540" w:hRule="atLeast"/>
          <w:jc w:val="center"/>
        </w:trPr>
        <w:tc>
          <w:tcPr>
            <w:tcW w:w="2830" w:type="dxa"/>
            <w:vMerge w:val="continue"/>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4405"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80-89分</w:t>
            </w:r>
          </w:p>
        </w:tc>
        <w:tc>
          <w:tcPr>
            <w:tcW w:w="2551"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0.8</w:t>
            </w:r>
          </w:p>
        </w:tc>
      </w:tr>
      <w:tr>
        <w:tblPrEx>
          <w:tblLayout w:type="fixed"/>
          <w:tblCellMar>
            <w:top w:w="0" w:type="dxa"/>
            <w:left w:w="108" w:type="dxa"/>
            <w:bottom w:w="0" w:type="dxa"/>
            <w:right w:w="108" w:type="dxa"/>
          </w:tblCellMar>
        </w:tblPrEx>
        <w:trPr>
          <w:trHeight w:val="540" w:hRule="atLeast"/>
          <w:jc w:val="center"/>
        </w:trPr>
        <w:tc>
          <w:tcPr>
            <w:tcW w:w="2830" w:type="dxa"/>
            <w:vMerge w:val="continue"/>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4405"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90-100分</w:t>
            </w:r>
          </w:p>
        </w:tc>
        <w:tc>
          <w:tcPr>
            <w:tcW w:w="2551"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1.0</w:t>
            </w:r>
          </w:p>
        </w:tc>
      </w:tr>
      <w:tr>
        <w:tblPrEx>
          <w:tblLayout w:type="fixed"/>
          <w:tblCellMar>
            <w:top w:w="0" w:type="dxa"/>
            <w:left w:w="108" w:type="dxa"/>
            <w:bottom w:w="0" w:type="dxa"/>
            <w:right w:w="108" w:type="dxa"/>
          </w:tblCellMar>
        </w:tblPrEx>
        <w:trPr>
          <w:trHeight w:val="540" w:hRule="atLeast"/>
          <w:jc w:val="center"/>
        </w:trPr>
        <w:tc>
          <w:tcPr>
            <w:tcW w:w="2830" w:type="dxa"/>
            <w:vMerge w:val="continue"/>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4405"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101-110分</w:t>
            </w:r>
          </w:p>
        </w:tc>
        <w:tc>
          <w:tcPr>
            <w:tcW w:w="2551"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1.1</w:t>
            </w:r>
          </w:p>
        </w:tc>
      </w:tr>
      <w:tr>
        <w:tblPrEx>
          <w:tblLayout w:type="fixed"/>
          <w:tblCellMar>
            <w:top w:w="0" w:type="dxa"/>
            <w:left w:w="108" w:type="dxa"/>
            <w:bottom w:w="0" w:type="dxa"/>
            <w:right w:w="108" w:type="dxa"/>
          </w:tblCellMar>
        </w:tblPrEx>
        <w:trPr>
          <w:trHeight w:val="540" w:hRule="atLeast"/>
          <w:jc w:val="center"/>
        </w:trPr>
        <w:tc>
          <w:tcPr>
            <w:tcW w:w="2830" w:type="dxa"/>
            <w:vMerge w:val="continue"/>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p>
        </w:tc>
        <w:tc>
          <w:tcPr>
            <w:tcW w:w="4405"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111-120分</w:t>
            </w:r>
          </w:p>
        </w:tc>
        <w:tc>
          <w:tcPr>
            <w:tcW w:w="2551" w:type="dxa"/>
            <w:tcBorders>
              <w:top w:val="nil"/>
              <w:left w:val="nil"/>
              <w:bottom w:val="single" w:color="auto" w:sz="4" w:space="0"/>
              <w:right w:val="single" w:color="auto" w:sz="4" w:space="0"/>
            </w:tcBorders>
            <w:shd w:val="clear" w:color="auto" w:fill="auto"/>
            <w:noWrap/>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1.2</w:t>
            </w:r>
          </w:p>
        </w:tc>
      </w:tr>
    </w:tbl>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通过如下公式确定员工个人年终奖金额度</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个人年终奖=部门奖金总额*岗位奖金系数*个人年终绩效系数</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例如某部门奖金总额为20000元，该员工的个人年终绩效系数为0.7，则上述销售代表的个人年终奖=20000*0.13*0.7=1820元</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如果</w:t>
      </w:r>
      <m:oMath>
        <m:nary>
          <m:naryPr>
            <m:chr m:val="∑"/>
            <m:grow m:val="1"/>
            <m:subHide m:val="1"/>
            <m:supHide m:val="1"/>
            <m:ctrlPr>
              <w:rPr>
                <w:rFonts w:ascii="Cambria Math" w:hAnsi="Cambria Math" w:eastAsia="楷体"/>
                <w:sz w:val="24"/>
                <w:szCs w:val="24"/>
              </w:rPr>
            </m:ctrlPr>
          </m:naryPr>
          <m:sub>
            <m:ctrlPr>
              <w:rPr>
                <w:rFonts w:ascii="Cambria Math" w:hAnsi="Cambria Math" w:eastAsia="楷体"/>
                <w:sz w:val="24"/>
                <w:szCs w:val="24"/>
              </w:rPr>
            </m:ctrlPr>
          </m:sub>
          <m:sup>
            <m:ctrlPr>
              <w:rPr>
                <w:rFonts w:ascii="Cambria Math" w:hAnsi="Cambria Math" w:eastAsia="楷体"/>
                <w:sz w:val="24"/>
                <w:szCs w:val="24"/>
              </w:rPr>
            </m:ctrlPr>
          </m:sup>
          <m:e>
            <m:r>
              <m:rPr>
                <m:sty m:val="p"/>
              </m:rPr>
              <w:rPr>
                <w:rFonts w:ascii="Cambria Math" w:hAnsi="Cambria Math" w:eastAsia="楷体"/>
                <w:sz w:val="24"/>
                <w:szCs w:val="24"/>
              </w:rPr>
              <m:t>个人绩效系数</m:t>
            </m:r>
            <m:ctrlPr>
              <w:rPr>
                <w:rFonts w:ascii="Cambria Math" w:hAnsi="Cambria Math" w:eastAsia="楷体"/>
                <w:sz w:val="24"/>
                <w:szCs w:val="24"/>
              </w:rPr>
            </m:ctrlPr>
          </m:e>
        </m:nary>
      </m:oMath>
      <w:r>
        <w:rPr>
          <w:rFonts w:hint="eastAsia" w:ascii="SimHei" w:hAnsi="SimHei" w:eastAsia="黑体"/>
          <w:sz w:val="24"/>
          <w:szCs w:val="24"/>
        </w:rPr>
        <w:t>&lt;个人绩效*绩效个数，出现部门奖金存在剩余额的情况，由部门主管自行分配余额并向人事部门备案最终个人年终奖金额度以及分配方案。</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99" w:name="_Toc407729205"/>
      <w:bookmarkStart w:id="100" w:name="_Toc408573202"/>
      <w:r>
        <w:rPr>
          <w:rFonts w:hint="eastAsia" w:ascii="SimHei" w:hAnsi="SimHei" w:eastAsia="黑体"/>
          <w:sz w:val="24"/>
          <w:szCs w:val="24"/>
        </w:rPr>
        <w:t>3、管理规定</w:t>
      </w:r>
      <w:bookmarkEnd w:id="99"/>
      <w:bookmarkEnd w:id="100"/>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（1）年度累计书面警告2次，360度考评的考勤分数全部扣除；</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（2）年度累计书面警告3次，取消360度考评资格，占比40%；</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（3）年度累计书面警告4次，取消年终奖评定资格；</w:t>
      </w:r>
    </w:p>
    <w:p>
      <w:pPr>
        <w:tabs>
          <w:tab w:val="left" w:pos="709"/>
          <w:tab w:val="left" w:pos="851"/>
          <w:tab w:val="left" w:pos="8931"/>
        </w:tabs>
        <w:spacing w:line="360" w:lineRule="auto"/>
        <w:ind w:right="168" w:rightChars="80" w:firstLine="440" w:firstLineChars="200"/>
        <w:rPr>
          <w:rFonts w:ascii="楷体" w:hAnsi="楷体" w:eastAsia="楷体"/>
          <w:spacing w:val="-10"/>
          <w:sz w:val="24"/>
          <w:szCs w:val="24"/>
        </w:rPr>
      </w:pPr>
      <w:r>
        <w:rPr>
          <w:rFonts w:hint="eastAsia" w:ascii="SimHei" w:hAnsi="SimHei" w:eastAsia="黑体"/>
          <w:spacing w:val="-10"/>
          <w:sz w:val="24"/>
          <w:szCs w:val="24"/>
        </w:rPr>
        <w:t>（4）年度累计书面警告5次以上，取消年终奖评定资格，并酌情下调岗位工资或解除劳动关系；</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（5）年度内病事假超过30次（或满15天），年终奖按50%执行，超过50次（或满30天）不参与年终奖评定并酌情下调工资；</w:t>
      </w:r>
    </w:p>
    <w:p>
      <w:pPr>
        <w:tabs>
          <w:tab w:val="left" w:pos="709"/>
          <w:tab w:val="left" w:pos="851"/>
          <w:tab w:val="left" w:pos="8931"/>
        </w:tabs>
        <w:spacing w:line="360" w:lineRule="auto"/>
        <w:ind w:right="168" w:rightChars="80" w:firstLine="482" w:firstLineChars="200"/>
        <w:rPr>
          <w:rFonts w:ascii="楷体" w:hAnsi="楷体" w:eastAsia="楷体"/>
          <w:b/>
          <w:sz w:val="24"/>
          <w:szCs w:val="24"/>
        </w:rPr>
      </w:pPr>
      <w:r>
        <w:rPr>
          <w:rFonts w:hint="eastAsia" w:ascii="SimHei" w:hAnsi="SimHei" w:eastAsia="黑体"/>
          <w:b/>
          <w:sz w:val="24"/>
          <w:szCs w:val="24"/>
        </w:rPr>
        <w:t>（6）财务部不涉及年终奖评定</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以上情况若并列出现，则取上限累加执行。</w:t>
      </w:r>
    </w:p>
    <w:p>
      <w:pPr>
        <w:pStyle w:val="3"/>
        <w:tabs>
          <w:tab w:val="left" w:pos="709"/>
          <w:tab w:val="left" w:pos="851"/>
          <w:tab w:val="left" w:pos="8931"/>
        </w:tabs>
        <w:spacing w:before="0" w:after="0" w:line="360" w:lineRule="auto"/>
        <w:ind w:right="168" w:rightChars="80" w:firstLine="482" w:firstLineChars="200"/>
        <w:rPr>
          <w:rFonts w:ascii="楷体" w:hAnsi="楷体" w:eastAsia="楷体"/>
          <w:kern w:val="0"/>
          <w:sz w:val="24"/>
          <w:szCs w:val="24"/>
        </w:rPr>
      </w:pPr>
      <w:bookmarkStart w:id="101" w:name="_Toc408573203"/>
      <w:bookmarkStart w:id="102" w:name="_Toc407729206"/>
      <w:r>
        <w:rPr>
          <w:rFonts w:hint="eastAsia" w:ascii="SimHei" w:hAnsi="SimHei" w:eastAsia="黑体"/>
          <w:kern w:val="0"/>
          <w:sz w:val="24"/>
          <w:szCs w:val="24"/>
        </w:rPr>
        <w:t>十、效益提成</w:t>
      </w:r>
      <w:bookmarkEnd w:id="101"/>
      <w:bookmarkEnd w:id="102"/>
    </w:p>
    <w:p>
      <w:pPr>
        <w:pStyle w:val="43"/>
        <w:widowControl w:val="0"/>
        <w:numPr>
          <w:ilvl w:val="0"/>
          <w:numId w:val="2"/>
        </w:numPr>
        <w:tabs>
          <w:tab w:val="left" w:pos="709"/>
          <w:tab w:val="left" w:pos="851"/>
          <w:tab w:val="left" w:pos="8931"/>
        </w:tabs>
        <w:spacing w:line="360" w:lineRule="auto"/>
        <w:ind w:left="0" w:right="168" w:rightChars="80" w:firstLine="480"/>
        <w:jc w:val="both"/>
        <w:rPr>
          <w:rFonts w:ascii="楷体" w:hAnsi="楷体" w:eastAsia="楷体"/>
        </w:rPr>
      </w:pPr>
      <w:r>
        <w:rPr>
          <w:rFonts w:hint="eastAsia" w:ascii="SimHei" w:hAnsi="SimHei" w:eastAsia="黑体"/>
        </w:rPr>
        <w:t>按照销售部最终出台的政策确定</w:t>
      </w:r>
    </w:p>
    <w:p>
      <w:pPr>
        <w:pStyle w:val="43"/>
        <w:widowControl w:val="0"/>
        <w:numPr>
          <w:ilvl w:val="0"/>
          <w:numId w:val="2"/>
        </w:numPr>
        <w:tabs>
          <w:tab w:val="left" w:pos="709"/>
          <w:tab w:val="left" w:pos="851"/>
          <w:tab w:val="left" w:pos="8931"/>
        </w:tabs>
        <w:spacing w:line="360" w:lineRule="auto"/>
        <w:ind w:left="0" w:right="168" w:rightChars="80" w:firstLine="480"/>
        <w:jc w:val="both"/>
        <w:rPr>
          <w:rFonts w:ascii="楷体" w:hAnsi="楷体" w:eastAsia="楷体"/>
        </w:rPr>
      </w:pPr>
      <w:r>
        <w:rPr>
          <w:rFonts w:hint="eastAsia" w:ascii="SimHei" w:hAnsi="SimHei" w:eastAsia="黑体"/>
        </w:rPr>
        <w:t>入职不满一年的员工不参与公司项目奖金分配</w:t>
      </w:r>
    </w:p>
    <w:p>
      <w:pPr>
        <w:pStyle w:val="3"/>
        <w:tabs>
          <w:tab w:val="left" w:pos="709"/>
          <w:tab w:val="left" w:pos="851"/>
          <w:tab w:val="left" w:pos="8931"/>
        </w:tabs>
        <w:spacing w:before="0" w:after="0" w:line="360" w:lineRule="auto"/>
        <w:ind w:right="168" w:rightChars="80" w:firstLine="482" w:firstLineChars="200"/>
        <w:rPr>
          <w:rFonts w:ascii="楷体" w:hAnsi="楷体" w:eastAsia="楷体"/>
          <w:kern w:val="0"/>
          <w:sz w:val="24"/>
          <w:szCs w:val="24"/>
        </w:rPr>
      </w:pPr>
      <w:bookmarkStart w:id="103" w:name="_Toc407729207"/>
      <w:bookmarkStart w:id="104" w:name="_Toc408573204"/>
      <w:r>
        <w:rPr>
          <w:rFonts w:hint="eastAsia" w:ascii="SimHei" w:hAnsi="SimHei" w:eastAsia="黑体"/>
          <w:kern w:val="0"/>
          <w:sz w:val="24"/>
          <w:szCs w:val="24"/>
        </w:rPr>
        <w:t>十一、保险福利</w:t>
      </w:r>
      <w:bookmarkEnd w:id="103"/>
      <w:bookmarkEnd w:id="104"/>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05" w:name="_Toc407292488"/>
      <w:bookmarkStart w:id="106" w:name="_Toc407713978"/>
      <w:bookmarkStart w:id="107" w:name="_Toc407729208"/>
      <w:bookmarkStart w:id="108" w:name="_Toc408573205"/>
      <w:r>
        <w:rPr>
          <w:rFonts w:hint="eastAsia" w:ascii="SimHei" w:hAnsi="SimHei" w:eastAsia="黑体"/>
          <w:sz w:val="24"/>
          <w:szCs w:val="24"/>
        </w:rPr>
        <w:t>1、社会保险</w:t>
      </w:r>
      <w:bookmarkEnd w:id="105"/>
      <w:bookmarkEnd w:id="106"/>
      <w:bookmarkEnd w:id="107"/>
      <w:bookmarkEnd w:id="108"/>
    </w:p>
    <w:p>
      <w:pPr>
        <w:pStyle w:val="25"/>
        <w:tabs>
          <w:tab w:val="left" w:pos="709"/>
          <w:tab w:val="left" w:pos="851"/>
          <w:tab w:val="left" w:pos="8931"/>
        </w:tabs>
        <w:spacing w:before="0" w:beforeAutospacing="0" w:after="0" w:afterAutospacing="0" w:line="360" w:lineRule="auto"/>
        <w:ind w:right="168" w:rightChars="80" w:firstLine="480" w:firstLineChars="200"/>
        <w:jc w:val="both"/>
        <w:rPr>
          <w:rFonts w:ascii="楷体" w:hAnsi="楷体" w:eastAsia="楷体" w:cs="Times New Roman"/>
          <w:kern w:val="2"/>
        </w:rPr>
      </w:pPr>
      <w:r>
        <w:rPr>
          <w:rFonts w:hint="eastAsia" w:ascii="SimHei" w:hAnsi="SimHei" w:eastAsia="黑体" w:cs="Times New Roman"/>
          <w:kern w:val="2"/>
        </w:rPr>
        <w:t>公司为保障员工的合法权益，按照规定为员工缴纳五险：养老保险、医疗险、生育险、失业险和工伤险，详细比例请见下表：</w:t>
      </w:r>
    </w:p>
    <w:p>
      <w:pPr>
        <w:pStyle w:val="25"/>
        <w:tabs>
          <w:tab w:val="left" w:pos="709"/>
          <w:tab w:val="left" w:pos="851"/>
          <w:tab w:val="left" w:pos="8931"/>
        </w:tabs>
        <w:spacing w:before="0" w:beforeAutospacing="0" w:after="0" w:afterAutospacing="0" w:line="360" w:lineRule="auto"/>
        <w:ind w:right="168" w:rightChars="80" w:firstLine="480" w:firstLineChars="200"/>
        <w:jc w:val="both"/>
        <w:rPr>
          <w:rFonts w:ascii="楷体" w:hAnsi="楷体" w:eastAsia="楷体" w:cs="Times New Roman"/>
          <w:kern w:val="2"/>
        </w:rPr>
      </w:pPr>
      <w:r>
        <w:rPr>
          <w:rFonts w:hint="eastAsia" w:ascii="SimHei" w:hAnsi="SimHei" w:eastAsia="黑体" w:cs="Times New Roman"/>
          <w:kern w:val="2"/>
        </w:rPr>
        <w:t>社会保险分配比例明细表（20XX年，个人每月负担309.62元，公司负担847.37元）</w:t>
      </w:r>
    </w:p>
    <w:tbl>
      <w:tblPr>
        <w:tblStyle w:val="28"/>
        <w:tblW w:w="80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4"/>
        <w:gridCol w:w="2599"/>
        <w:gridCol w:w="2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exact"/>
          <w:jc w:val="center"/>
        </w:trPr>
        <w:tc>
          <w:tcPr>
            <w:tcW w:w="2914" w:type="dxa"/>
            <w:vMerge w:val="restart"/>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险种</w:t>
            </w:r>
          </w:p>
        </w:tc>
        <w:tc>
          <w:tcPr>
            <w:tcW w:w="5172" w:type="dxa"/>
            <w:gridSpan w:val="2"/>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社会保险缴费比例（%）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exact"/>
          <w:jc w:val="center"/>
        </w:trPr>
        <w:tc>
          <w:tcPr>
            <w:tcW w:w="2914" w:type="dxa"/>
            <w:vMerge w:val="continue"/>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p>
        </w:tc>
        <w:tc>
          <w:tcPr>
            <w:tcW w:w="2599"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单位（%）</w:t>
            </w:r>
          </w:p>
        </w:tc>
        <w:tc>
          <w:tcPr>
            <w:tcW w:w="2573"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exact"/>
          <w:jc w:val="center"/>
        </w:trPr>
        <w:tc>
          <w:tcPr>
            <w:tcW w:w="2914"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养老</w:t>
            </w:r>
          </w:p>
        </w:tc>
        <w:tc>
          <w:tcPr>
            <w:tcW w:w="2599"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20</w:t>
            </w:r>
          </w:p>
        </w:tc>
        <w:tc>
          <w:tcPr>
            <w:tcW w:w="2573"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exact"/>
          <w:jc w:val="center"/>
        </w:trPr>
        <w:tc>
          <w:tcPr>
            <w:tcW w:w="2914"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医疗</w:t>
            </w:r>
          </w:p>
        </w:tc>
        <w:tc>
          <w:tcPr>
            <w:tcW w:w="2599"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8</w:t>
            </w:r>
          </w:p>
        </w:tc>
        <w:tc>
          <w:tcPr>
            <w:tcW w:w="2573"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exact"/>
          <w:jc w:val="center"/>
        </w:trPr>
        <w:tc>
          <w:tcPr>
            <w:tcW w:w="2914"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失业</w:t>
            </w:r>
          </w:p>
        </w:tc>
        <w:tc>
          <w:tcPr>
            <w:tcW w:w="2599"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2</w:t>
            </w:r>
          </w:p>
        </w:tc>
        <w:tc>
          <w:tcPr>
            <w:tcW w:w="2573"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exact"/>
          <w:jc w:val="center"/>
        </w:trPr>
        <w:tc>
          <w:tcPr>
            <w:tcW w:w="2914"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工伤</w:t>
            </w:r>
          </w:p>
        </w:tc>
        <w:tc>
          <w:tcPr>
            <w:tcW w:w="2599"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1</w:t>
            </w:r>
          </w:p>
        </w:tc>
        <w:tc>
          <w:tcPr>
            <w:tcW w:w="2573"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exact"/>
          <w:jc w:val="center"/>
        </w:trPr>
        <w:tc>
          <w:tcPr>
            <w:tcW w:w="2914"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生育</w:t>
            </w:r>
          </w:p>
        </w:tc>
        <w:tc>
          <w:tcPr>
            <w:tcW w:w="2599"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1</w:t>
            </w:r>
          </w:p>
        </w:tc>
        <w:tc>
          <w:tcPr>
            <w:tcW w:w="2573"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exact"/>
          <w:jc w:val="center"/>
        </w:trPr>
        <w:tc>
          <w:tcPr>
            <w:tcW w:w="2914"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合计</w:t>
            </w:r>
          </w:p>
        </w:tc>
        <w:tc>
          <w:tcPr>
            <w:tcW w:w="2599"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32%</w:t>
            </w:r>
          </w:p>
        </w:tc>
        <w:tc>
          <w:tcPr>
            <w:tcW w:w="2573" w:type="dxa"/>
            <w:vAlign w:val="center"/>
          </w:tcPr>
          <w:p>
            <w:pPr>
              <w:pStyle w:val="25"/>
              <w:tabs>
                <w:tab w:val="left" w:pos="709"/>
                <w:tab w:val="left" w:pos="851"/>
                <w:tab w:val="left" w:pos="8931"/>
              </w:tabs>
              <w:spacing w:before="0" w:beforeAutospacing="0" w:after="0" w:afterAutospacing="0" w:line="360" w:lineRule="auto"/>
              <w:ind w:right="168" w:rightChars="80"/>
              <w:jc w:val="center"/>
              <w:rPr>
                <w:rFonts w:ascii="楷体" w:hAnsi="楷体" w:eastAsia="楷体" w:cs="Times New Roman"/>
                <w:kern w:val="2"/>
              </w:rPr>
            </w:pPr>
            <w:r>
              <w:rPr>
                <w:rFonts w:hint="eastAsia" w:ascii="SimHei" w:hAnsi="SimHei" w:eastAsia="黑体" w:cs="Times New Roman"/>
                <w:kern w:val="2"/>
              </w:rPr>
              <w:t>11%</w:t>
            </w:r>
          </w:p>
        </w:tc>
      </w:tr>
    </w:tbl>
    <w:p>
      <w:pPr>
        <w:pStyle w:val="25"/>
        <w:tabs>
          <w:tab w:val="left" w:pos="709"/>
          <w:tab w:val="left" w:pos="851"/>
          <w:tab w:val="left" w:pos="8931"/>
        </w:tabs>
        <w:spacing w:before="0" w:beforeAutospacing="0" w:after="0" w:afterAutospacing="0" w:line="360" w:lineRule="auto"/>
        <w:ind w:right="168" w:rightChars="80" w:firstLine="480" w:firstLineChars="200"/>
        <w:jc w:val="both"/>
        <w:rPr>
          <w:rFonts w:ascii="楷体" w:hAnsi="楷体" w:eastAsia="楷体" w:cs="Times New Roman"/>
          <w:kern w:val="2"/>
        </w:rPr>
      </w:pPr>
      <w:r>
        <w:rPr>
          <w:rFonts w:hint="eastAsia" w:ascii="SimHei" w:hAnsi="SimHei" w:eastAsia="黑体" w:cs="Times New Roman"/>
          <w:kern w:val="2"/>
        </w:rPr>
        <w:t>注：保险个人缴纳部分由公司从每月工资中代扣。</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09" w:name="_Toc408573206"/>
      <w:bookmarkStart w:id="110" w:name="_Toc407729209"/>
      <w:bookmarkStart w:id="111" w:name="_Toc407713979"/>
      <w:bookmarkStart w:id="112" w:name="_Toc407292489"/>
      <w:r>
        <w:rPr>
          <w:rFonts w:hint="eastAsia" w:ascii="SimHei" w:hAnsi="SimHei" w:eastAsia="黑体"/>
          <w:sz w:val="24"/>
          <w:szCs w:val="24"/>
        </w:rPr>
        <w:t>2、带薪旅游</w:t>
      </w:r>
      <w:bookmarkEnd w:id="109"/>
      <w:bookmarkEnd w:id="110"/>
      <w:bookmarkEnd w:id="111"/>
      <w:bookmarkEnd w:id="112"/>
    </w:p>
    <w:p>
      <w:pPr>
        <w:pStyle w:val="25"/>
        <w:tabs>
          <w:tab w:val="left" w:pos="709"/>
          <w:tab w:val="left" w:pos="851"/>
          <w:tab w:val="left" w:pos="8931"/>
        </w:tabs>
        <w:spacing w:before="0" w:beforeAutospacing="0" w:after="0" w:afterAutospacing="0" w:line="360" w:lineRule="auto"/>
        <w:ind w:right="168" w:rightChars="80" w:firstLine="480" w:firstLineChars="200"/>
        <w:jc w:val="both"/>
        <w:rPr>
          <w:rFonts w:ascii="楷体" w:hAnsi="楷体" w:eastAsia="楷体" w:cs="Times New Roman"/>
          <w:kern w:val="2"/>
        </w:rPr>
      </w:pPr>
      <w:r>
        <w:rPr>
          <w:rFonts w:hint="eastAsia" w:ascii="SimHei" w:hAnsi="SimHei" w:eastAsia="黑体" w:cs="Times New Roman"/>
          <w:kern w:val="2"/>
        </w:rPr>
        <w:t>工龄满一年员工可享受5天带薪年假，公司给予每年一次带薪旅游，工龄满五年的员工，带薪旅游可以携带家属参加，带薪旅游的天数冲抵带薪年假天数。</w:t>
      </w:r>
    </w:p>
    <w:p>
      <w:pPr>
        <w:pStyle w:val="25"/>
        <w:tabs>
          <w:tab w:val="left" w:pos="709"/>
          <w:tab w:val="left" w:pos="851"/>
          <w:tab w:val="left" w:pos="8931"/>
        </w:tabs>
        <w:spacing w:before="0" w:beforeAutospacing="0" w:after="0" w:afterAutospacing="0" w:line="360" w:lineRule="auto"/>
        <w:ind w:right="168" w:rightChars="80" w:firstLine="480" w:firstLineChars="200"/>
        <w:jc w:val="both"/>
        <w:rPr>
          <w:rFonts w:ascii="楷体" w:hAnsi="楷体" w:eastAsia="楷体" w:cs="Times New Roman"/>
          <w:kern w:val="2"/>
        </w:rPr>
      </w:pPr>
      <w:r>
        <w:rPr>
          <w:rFonts w:hint="eastAsia" w:ascii="SimHei" w:hAnsi="SimHei" w:eastAsia="黑体" w:cs="Times New Roman"/>
          <w:kern w:val="2"/>
        </w:rPr>
        <w:t>除长途旅游外，公司会不定期组织员工进行短途的郊游聚餐、健身娱乐等活动。</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13" w:name="_Toc407713980"/>
      <w:bookmarkStart w:id="114" w:name="_Toc407729210"/>
      <w:bookmarkStart w:id="115" w:name="_Toc407292490"/>
      <w:bookmarkStart w:id="116" w:name="_Toc408573207"/>
      <w:r>
        <w:rPr>
          <w:rFonts w:hint="eastAsia" w:ascii="SimHei" w:hAnsi="SimHei" w:eastAsia="黑体"/>
          <w:sz w:val="24"/>
          <w:szCs w:val="24"/>
        </w:rPr>
        <w:t>3、节假日福利</w:t>
      </w:r>
      <w:bookmarkEnd w:id="113"/>
      <w:bookmarkEnd w:id="114"/>
      <w:bookmarkEnd w:id="115"/>
      <w:bookmarkEnd w:id="116"/>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逢年过节时，公司为员工发放节假日福利，由行政人事部统计享受福利人员名单并上报总经理签批，行政人事部负责福利的采购及发放。</w:t>
      </w:r>
      <w:bookmarkStart w:id="117" w:name="_Toc407292491"/>
      <w:bookmarkStart w:id="118" w:name="_Toc407713981"/>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19" w:name="_Toc407729211"/>
      <w:bookmarkStart w:id="120" w:name="_Toc408573208"/>
      <w:r>
        <w:rPr>
          <w:rFonts w:hint="eastAsia" w:ascii="SimHei" w:hAnsi="SimHei" w:eastAsia="黑体"/>
          <w:sz w:val="24"/>
          <w:szCs w:val="24"/>
        </w:rPr>
        <w:t>4、免费体检</w:t>
      </w:r>
      <w:bookmarkEnd w:id="117"/>
      <w:bookmarkEnd w:id="118"/>
      <w:bookmarkEnd w:id="119"/>
      <w:bookmarkEnd w:id="120"/>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为保障员工身体健康，</w:t>
      </w:r>
      <w:r>
        <w:rPr>
          <w:rFonts w:ascii="SimHei" w:hAnsi="SimHei" w:eastAsia="黑体" w:cs="Arial"/>
          <w:sz w:val="24"/>
          <w:szCs w:val="24"/>
        </w:rPr>
        <w:t>构建和谐的企业环境</w:t>
      </w:r>
      <w:r>
        <w:rPr>
          <w:rFonts w:hint="eastAsia" w:ascii="SimHei" w:hAnsi="SimHei" w:eastAsia="黑体" w:cs="Arial"/>
          <w:sz w:val="24"/>
          <w:szCs w:val="24"/>
        </w:rPr>
        <w:t>，公司每年组织员工进行一次免费体检。（包括试用期的员工）</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21" w:name="_Toc407713982"/>
      <w:bookmarkStart w:id="122" w:name="_Toc407729212"/>
      <w:bookmarkStart w:id="123" w:name="_Toc408573209"/>
      <w:r>
        <w:rPr>
          <w:rFonts w:hint="eastAsia" w:ascii="SimHei" w:hAnsi="SimHei" w:eastAsia="黑体"/>
          <w:sz w:val="24"/>
          <w:szCs w:val="24"/>
        </w:rPr>
        <w:t>5、优才计划</w:t>
      </w:r>
      <w:bookmarkEnd w:id="121"/>
      <w:bookmarkEnd w:id="122"/>
      <w:bookmarkEnd w:id="123"/>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ascii="SimHei" w:hAnsi="SimHei" w:eastAsia="黑体"/>
          <w:sz w:val="24"/>
          <w:szCs w:val="24"/>
        </w:rPr>
        <w:t>为了吸引更多的优秀人才到</w:t>
      </w:r>
      <w:r>
        <w:rPr>
          <w:rFonts w:ascii="SimHei" w:hAnsi="SimHei" w:eastAsia="黑体"/>
        </w:rPr>
      </w:r>
      <w:r>
        <w:rPr>
          <w:rFonts w:ascii="SimHei" w:hAnsi="SimHei" w:eastAsia="黑体"/>
        </w:rPr>
      </w:r>
      <w:r>
        <w:rPr>
          <w:rFonts w:ascii="SimHei" w:hAnsi="SimHei" w:eastAsia="黑体"/>
        </w:rPr>
      </w:r>
      <w:r>
        <w:rPr>
          <w:rFonts w:hint="eastAsia" w:ascii="SimHei" w:hAnsi="SimHei" w:eastAsia="黑体"/>
          <w:sz w:val="24"/>
          <w:szCs w:val="24"/>
        </w:rPr>
        <w:t>本公司</w:t>
      </w:r>
      <w:r>
        <w:rPr>
          <w:rFonts w:hint="eastAsia" w:ascii="SimHei" w:hAnsi="SimHei" w:eastAsia="黑体"/>
          <w:sz w:val="24"/>
          <w:szCs w:val="24"/>
        </w:rPr>
      </w:r>
      <w:r>
        <w:rPr>
          <w:rFonts w:ascii="SimHei" w:hAnsi="SimHei" w:eastAsia="黑体"/>
          <w:sz w:val="24"/>
          <w:szCs w:val="24"/>
        </w:rPr>
        <w:t>工作，</w:t>
      </w:r>
      <w:r>
        <w:rPr>
          <w:rFonts w:hint="eastAsia" w:ascii="SimHei" w:hAnsi="SimHei" w:eastAsia="黑体"/>
          <w:sz w:val="24"/>
          <w:szCs w:val="24"/>
        </w:rPr>
        <w:t>公司本着对核心人才留人、用人原则，公司自20XX年推行《国领优才计划》，目前优才计划为公司员工购买大额固定资产，提供无息贷款，申请人需具备以下几项条件：</w:t>
      </w:r>
    </w:p>
    <w:p>
      <w:pPr>
        <w:pStyle w:val="43"/>
        <w:numPr>
          <w:ilvl w:val="0"/>
          <w:numId w:val="3"/>
        </w:numPr>
        <w:tabs>
          <w:tab w:val="left" w:pos="709"/>
          <w:tab w:val="left" w:pos="851"/>
          <w:tab w:val="left" w:pos="8931"/>
        </w:tabs>
        <w:spacing w:line="360" w:lineRule="auto"/>
        <w:ind w:left="0" w:right="168" w:rightChars="80" w:firstLine="480"/>
        <w:jc w:val="both"/>
        <w:rPr>
          <w:rFonts w:ascii="楷体" w:hAnsi="楷体" w:eastAsia="楷体"/>
          <w:kern w:val="2"/>
        </w:rPr>
      </w:pPr>
      <w:r>
        <w:rPr>
          <w:rFonts w:hint="eastAsia" w:ascii="SimHei" w:hAnsi="SimHei" w:eastAsia="黑体"/>
          <w:kern w:val="2"/>
        </w:rPr>
        <w:t>在本单位工作满2年；</w:t>
      </w:r>
    </w:p>
    <w:p>
      <w:pPr>
        <w:pStyle w:val="43"/>
        <w:numPr>
          <w:ilvl w:val="0"/>
          <w:numId w:val="3"/>
        </w:numPr>
        <w:tabs>
          <w:tab w:val="left" w:pos="709"/>
          <w:tab w:val="left" w:pos="851"/>
          <w:tab w:val="left" w:pos="8931"/>
        </w:tabs>
        <w:spacing w:line="360" w:lineRule="auto"/>
        <w:ind w:left="0" w:right="168" w:rightChars="80" w:firstLine="480"/>
        <w:jc w:val="both"/>
        <w:rPr>
          <w:rFonts w:ascii="楷体" w:hAnsi="楷体" w:eastAsia="楷体"/>
          <w:kern w:val="2"/>
        </w:rPr>
      </w:pPr>
      <w:r>
        <w:rPr>
          <w:rFonts w:hint="eastAsia" w:ascii="SimHei" w:hAnsi="SimHei" w:eastAsia="黑体"/>
          <w:kern w:val="2"/>
        </w:rPr>
        <w:t>具备优秀个人能力和品德</w:t>
      </w:r>
    </w:p>
    <w:p>
      <w:pPr>
        <w:pStyle w:val="43"/>
        <w:numPr>
          <w:ilvl w:val="0"/>
          <w:numId w:val="3"/>
        </w:numPr>
        <w:tabs>
          <w:tab w:val="left" w:pos="709"/>
          <w:tab w:val="left" w:pos="851"/>
          <w:tab w:val="left" w:pos="8931"/>
        </w:tabs>
        <w:spacing w:line="360" w:lineRule="auto"/>
        <w:ind w:left="0" w:right="168" w:rightChars="80" w:firstLine="480"/>
        <w:jc w:val="both"/>
        <w:rPr>
          <w:rFonts w:ascii="楷体" w:hAnsi="楷体" w:eastAsia="楷体"/>
          <w:kern w:val="2"/>
        </w:rPr>
      </w:pPr>
      <w:r>
        <w:rPr>
          <w:rFonts w:hint="eastAsia" w:ascii="SimHei" w:hAnsi="SimHei" w:eastAsia="黑体"/>
          <w:kern w:val="2"/>
        </w:rPr>
        <w:t>掌握核心技术或核心人脉资源，或其他方式能为公司创造效益</w:t>
      </w:r>
    </w:p>
    <w:p>
      <w:pPr>
        <w:pStyle w:val="43"/>
        <w:numPr>
          <w:ilvl w:val="0"/>
          <w:numId w:val="3"/>
        </w:numPr>
        <w:tabs>
          <w:tab w:val="left" w:pos="709"/>
          <w:tab w:val="left" w:pos="851"/>
          <w:tab w:val="left" w:pos="8931"/>
        </w:tabs>
        <w:spacing w:line="360" w:lineRule="auto"/>
        <w:ind w:left="0" w:right="168" w:rightChars="80" w:firstLine="480"/>
        <w:jc w:val="both"/>
        <w:rPr>
          <w:rFonts w:ascii="楷体" w:hAnsi="楷体" w:eastAsia="楷体"/>
          <w:kern w:val="2"/>
        </w:rPr>
      </w:pPr>
      <w:r>
        <w:rPr>
          <w:rFonts w:hint="eastAsia" w:ascii="SimHei" w:hAnsi="SimHei" w:eastAsia="黑体"/>
          <w:kern w:val="2"/>
        </w:rPr>
        <w:t>研发和销售必须独立开发过成熟产品或独立开拓过客户</w:t>
      </w:r>
    </w:p>
    <w:p>
      <w:pPr>
        <w:pStyle w:val="43"/>
        <w:numPr>
          <w:ilvl w:val="0"/>
          <w:numId w:val="3"/>
        </w:numPr>
        <w:tabs>
          <w:tab w:val="left" w:pos="709"/>
          <w:tab w:val="left" w:pos="851"/>
          <w:tab w:val="left" w:pos="8931"/>
        </w:tabs>
        <w:spacing w:line="360" w:lineRule="auto"/>
        <w:ind w:left="0" w:right="168" w:rightChars="80" w:firstLine="480"/>
        <w:jc w:val="both"/>
        <w:rPr>
          <w:rFonts w:ascii="楷体" w:hAnsi="楷体" w:eastAsia="楷体"/>
          <w:kern w:val="2"/>
        </w:rPr>
      </w:pPr>
      <w:r>
        <w:rPr>
          <w:rFonts w:hint="eastAsia" w:ascii="SimHei" w:hAnsi="SimHei" w:eastAsia="黑体"/>
          <w:kern w:val="2"/>
        </w:rPr>
        <w:t>适合本公司团队合作，无不良嗜好</w:t>
      </w:r>
    </w:p>
    <w:p>
      <w:pPr>
        <w:pStyle w:val="43"/>
        <w:numPr>
          <w:ilvl w:val="0"/>
          <w:numId w:val="3"/>
        </w:numPr>
        <w:tabs>
          <w:tab w:val="left" w:pos="709"/>
          <w:tab w:val="left" w:pos="851"/>
          <w:tab w:val="left" w:pos="8931"/>
        </w:tabs>
        <w:spacing w:line="360" w:lineRule="auto"/>
        <w:ind w:left="0" w:right="168" w:rightChars="80" w:firstLine="480"/>
        <w:jc w:val="both"/>
        <w:rPr>
          <w:rFonts w:ascii="楷体" w:hAnsi="楷体" w:eastAsia="楷体"/>
          <w:kern w:val="2"/>
        </w:rPr>
      </w:pPr>
      <w:r>
        <w:rPr>
          <w:rFonts w:hint="eastAsia" w:ascii="SimHei" w:hAnsi="SimHei" w:eastAsia="黑体"/>
          <w:kern w:val="2"/>
        </w:rPr>
        <w:t>两年内工资及分红收入不低于每年10万</w:t>
      </w:r>
    </w:p>
    <w:p>
      <w:pPr>
        <w:pStyle w:val="43"/>
        <w:numPr>
          <w:ilvl w:val="0"/>
          <w:numId w:val="3"/>
        </w:numPr>
        <w:tabs>
          <w:tab w:val="left" w:pos="709"/>
          <w:tab w:val="left" w:pos="851"/>
          <w:tab w:val="left" w:pos="8931"/>
        </w:tabs>
        <w:spacing w:line="360" w:lineRule="auto"/>
        <w:ind w:left="0" w:right="168" w:rightChars="80" w:firstLine="480"/>
        <w:jc w:val="both"/>
        <w:rPr>
          <w:rFonts w:ascii="楷体" w:hAnsi="楷体" w:eastAsia="楷体"/>
          <w:kern w:val="2"/>
        </w:rPr>
      </w:pPr>
      <w:r>
        <w:rPr>
          <w:rFonts w:hint="eastAsia" w:ascii="SimHei" w:hAnsi="SimHei" w:eastAsia="黑体"/>
          <w:kern w:val="2"/>
        </w:rPr>
        <w:t>无息贷款额度不超过30万，期限10年内且购买资产属于贷款本人。</w:t>
      </w:r>
    </w:p>
    <w:p>
      <w:pPr>
        <w:pStyle w:val="43"/>
        <w:numPr>
          <w:ilvl w:val="0"/>
          <w:numId w:val="3"/>
        </w:numPr>
        <w:tabs>
          <w:tab w:val="left" w:pos="709"/>
          <w:tab w:val="left" w:pos="851"/>
          <w:tab w:val="left" w:pos="8931"/>
        </w:tabs>
        <w:spacing w:line="360" w:lineRule="auto"/>
        <w:ind w:left="0" w:right="168" w:rightChars="80" w:firstLine="480"/>
        <w:jc w:val="both"/>
        <w:rPr>
          <w:rFonts w:ascii="楷体" w:hAnsi="楷体" w:eastAsia="楷体"/>
        </w:rPr>
      </w:pPr>
      <w:r>
        <w:rPr>
          <w:rFonts w:hint="eastAsia" w:ascii="SimHei" w:hAnsi="SimHei" w:eastAsia="黑体"/>
          <w:kern w:val="2"/>
        </w:rPr>
        <w:t>需本单位1-2员工提供个人担保</w:t>
      </w:r>
    </w:p>
    <w:p>
      <w:pPr>
        <w:widowControl/>
        <w:tabs>
          <w:tab w:val="left" w:pos="709"/>
          <w:tab w:val="left" w:pos="851"/>
          <w:tab w:val="left" w:pos="8931"/>
        </w:tabs>
        <w:ind w:right="168" w:rightChars="80" w:firstLine="480" w:firstLineChars="200"/>
        <w:rPr>
          <w:rFonts w:ascii="楷体" w:hAnsi="楷体" w:eastAsia="楷体" w:cstheme="majorBidi"/>
          <w:b/>
          <w:bCs/>
          <w:kern w:val="0"/>
          <w:sz w:val="24"/>
          <w:szCs w:val="24"/>
        </w:rPr>
      </w:pPr>
      <w:bookmarkStart w:id="124" w:name="_Toc407729213"/>
      <w:bookmarkStart w:id="125" w:name="_Toc408573210"/>
      <w:r>
        <w:rPr>
          <w:rFonts w:ascii="SimHei" w:hAnsi="SimHei" w:eastAsia="黑体"/>
          <w:sz w:val="24"/>
          <w:szCs w:val="24"/>
        </w:rPr>
      </w:r>
    </w:p>
    <w:p>
      <w:pPr>
        <w:pStyle w:val="4"/>
        <w:tabs>
          <w:tab w:val="left" w:pos="709"/>
          <w:tab w:val="left" w:pos="851"/>
          <w:tab w:val="left" w:pos="8931"/>
        </w:tabs>
        <w:spacing w:before="0" w:after="0" w:line="360" w:lineRule="auto"/>
        <w:ind w:right="168" w:rightChars="80"/>
        <w:jc w:val="center"/>
        <w:rPr>
          <w:rFonts w:ascii="楷体" w:hAnsi="楷体" w:eastAsia="楷体"/>
          <w:sz w:val="24"/>
          <w:szCs w:val="24"/>
        </w:rPr>
      </w:pPr>
      <w:r>
        <w:rPr>
          <w:rFonts w:hint="eastAsia" w:ascii="SimHei" w:hAnsi="SimHei" w:eastAsia="黑体"/>
          <w:sz w:val="28"/>
          <w:szCs w:val="24"/>
        </w:rPr>
        <w:t>第四章  调整与晋升</w:t>
      </w:r>
      <w:bookmarkEnd w:id="124"/>
      <w:bookmarkEnd w:id="125"/>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26" w:name="_Toc407292495"/>
      <w:bookmarkStart w:id="127" w:name="_Toc407713983"/>
      <w:bookmarkStart w:id="128" w:name="_Toc407729214"/>
      <w:bookmarkStart w:id="129" w:name="_Toc408573211"/>
      <w:r>
        <w:rPr>
          <w:rFonts w:hint="eastAsia" w:ascii="SimHei" w:hAnsi="SimHei" w:eastAsia="黑体"/>
          <w:sz w:val="24"/>
          <w:szCs w:val="24"/>
        </w:rPr>
        <w:t>1、调整范围</w:t>
      </w:r>
      <w:bookmarkEnd w:id="126"/>
      <w:bookmarkEnd w:id="127"/>
      <w:bookmarkEnd w:id="128"/>
      <w:bookmarkEnd w:id="129"/>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公司根据年度运营与效益增长情况，对于表现优秀，贡献度高且稳定性强的员工给予不同程度的薪资上浮机会；</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对于多次考核后，绩效系数过低，表现不佳，且工作态度与积极性低下的员工给予不同程度的薪资下调处理；</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调整范围涉及公司全体员工，包括中层管理人员；</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薪资调整到一定幅度可以做相应的职位晋升或降级</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30" w:name="_Toc407292496"/>
      <w:bookmarkStart w:id="131" w:name="_Toc407713984"/>
      <w:bookmarkStart w:id="132" w:name="_Toc407729215"/>
      <w:bookmarkStart w:id="133" w:name="_Toc408573212"/>
      <w:r>
        <w:rPr>
          <w:rFonts w:hint="eastAsia" w:ascii="SimHei" w:hAnsi="SimHei" w:eastAsia="黑体"/>
          <w:sz w:val="24"/>
          <w:szCs w:val="24"/>
        </w:rPr>
        <w:t>2、调整幅度</w:t>
      </w:r>
      <w:bookmarkEnd w:id="130"/>
      <w:bookmarkEnd w:id="131"/>
      <w:bookmarkEnd w:id="132"/>
      <w:bookmarkEnd w:id="133"/>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根据评定方案，分5%、10%、15%、20%四个等级的比例进行上浮或下调</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34" w:name="_Toc407292497"/>
      <w:bookmarkStart w:id="135" w:name="_Toc407713985"/>
      <w:bookmarkStart w:id="136" w:name="_Toc407729216"/>
      <w:bookmarkStart w:id="137" w:name="_Toc408573213"/>
      <w:r>
        <w:rPr>
          <w:rFonts w:hint="eastAsia" w:ascii="SimHei" w:hAnsi="SimHei" w:eastAsia="黑体"/>
          <w:sz w:val="24"/>
          <w:szCs w:val="24"/>
        </w:rPr>
        <w:t>3、调整方案</w:t>
      </w:r>
      <w:bookmarkEnd w:id="134"/>
      <w:bookmarkEnd w:id="135"/>
      <w:bookmarkEnd w:id="136"/>
      <w:bookmarkEnd w:id="137"/>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（1）以薪酬的区间渗透度（见第三章第2条）为标准，以岗位说明书为依据，做岗位适度打分</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（2）考评方式以每季度个人绩效得分结果结合岗位适度评分与360度评分结果确定最后得分</w:t>
      </w:r>
    </w:p>
    <w:p>
      <w:pPr>
        <w:tabs>
          <w:tab w:val="left" w:pos="709"/>
          <w:tab w:val="left" w:pos="851"/>
          <w:tab w:val="left" w:pos="8931"/>
        </w:tabs>
        <w:spacing w:line="360" w:lineRule="auto"/>
        <w:ind w:right="168" w:rightChars="80" w:firstLine="482" w:firstLineChars="200"/>
        <w:rPr>
          <w:rFonts w:ascii="楷体" w:hAnsi="楷体" w:eastAsia="楷体"/>
          <w:b/>
          <w:sz w:val="24"/>
          <w:szCs w:val="24"/>
        </w:rPr>
      </w:pPr>
      <w:r>
        <w:rPr>
          <w:rFonts w:hint="eastAsia" w:ascii="SimHei" w:hAnsi="SimHei" w:eastAsia="黑体"/>
          <w:b/>
          <w:sz w:val="24"/>
          <w:szCs w:val="24"/>
        </w:rPr>
      </w:r>
      <w:r>
        <w:rPr>
          <w:rFonts w:hint="eastAsia" w:ascii="SimHei" w:hAnsi="SimHei" w:eastAsia="黑体"/>
          <w:b/>
          <w:sz w:val="24"/>
          <w:szCs w:val="24"/>
        </w:rPr>
        <w:t>年度每期个人绩效得分（见“绩效工资”章节）之间，可以平均分配比重，也可以根据公司经营目标要求设置四项不同比重，加权汇总得出年度绩效分数，占比50%；</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r>
      <w:r>
        <w:rPr>
          <w:rFonts w:hint="eastAsia" w:ascii="SimHei" w:hAnsi="SimHei" w:eastAsia="黑体"/>
          <w:sz w:val="24"/>
          <w:szCs w:val="24"/>
        </w:rPr>
        <w:t>岗位适度评分用以考量员工与该岗位说明书的匹配度，占比30%</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r>
      <w:r>
        <w:rPr>
          <w:rFonts w:hint="eastAsia" w:ascii="SimHei" w:hAnsi="SimHei" w:eastAsia="黑体"/>
          <w:sz w:val="24"/>
          <w:szCs w:val="24"/>
        </w:rPr>
        <w:t>360度考评（或员工满意度）即通过被考核员工的上级、下级、平级（部门内外）、客户等综合评分，占比20%</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最后评分直接参与薪资调整，对应关系表如下</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p>
    <w:tbl>
      <w:tblPr>
        <w:tblStyle w:val="28"/>
        <w:tblW w:w="5550" w:type="dxa"/>
        <w:jc w:val="center"/>
        <w:tblInd w:w="0" w:type="dxa"/>
        <w:tblLayout w:type="fixed"/>
        <w:tblCellMar>
          <w:top w:w="0" w:type="dxa"/>
          <w:left w:w="108" w:type="dxa"/>
          <w:bottom w:w="0" w:type="dxa"/>
          <w:right w:w="108" w:type="dxa"/>
        </w:tblCellMar>
      </w:tblPr>
      <w:tblGrid>
        <w:gridCol w:w="1940"/>
        <w:gridCol w:w="3610"/>
      </w:tblGrid>
      <w:tr>
        <w:tblPrEx>
          <w:tblLayout w:type="fixed"/>
          <w:tblCellMar>
            <w:top w:w="0" w:type="dxa"/>
            <w:left w:w="108" w:type="dxa"/>
            <w:bottom w:w="0" w:type="dxa"/>
            <w:right w:w="108" w:type="dxa"/>
          </w:tblCellMar>
        </w:tblPrEx>
        <w:trPr>
          <w:trHeight w:val="340" w:hRule="atLeast"/>
          <w:jc w:val="center"/>
        </w:trPr>
        <w:tc>
          <w:tcPr>
            <w:tcW w:w="19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得分</w:t>
            </w:r>
          </w:p>
        </w:tc>
        <w:tc>
          <w:tcPr>
            <w:tcW w:w="3610" w:type="dxa"/>
            <w:tcBorders>
              <w:top w:val="single" w:color="auto" w:sz="4" w:space="0"/>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bCs/>
                <w:kern w:val="0"/>
                <w:sz w:val="24"/>
                <w:szCs w:val="24"/>
              </w:rPr>
            </w:pPr>
            <w:r>
              <w:rPr>
                <w:rFonts w:hint="eastAsia" w:ascii="SimHei" w:hAnsi="SimHei" w:eastAsia="黑体" w:cs="宋体"/>
                <w:bCs/>
                <w:kern w:val="0"/>
                <w:sz w:val="24"/>
                <w:szCs w:val="24"/>
              </w:rPr>
              <w:t>调整幅度</w:t>
            </w:r>
          </w:p>
        </w:tc>
      </w:tr>
      <w:tr>
        <w:tblPrEx>
          <w:tblLayout w:type="fixed"/>
          <w:tblCellMar>
            <w:top w:w="0" w:type="dxa"/>
            <w:left w:w="108" w:type="dxa"/>
            <w:bottom w:w="0" w:type="dxa"/>
            <w:right w:w="108" w:type="dxa"/>
          </w:tblCellMar>
        </w:tblPrEx>
        <w:trPr>
          <w:trHeight w:val="340" w:hRule="atLeast"/>
          <w:jc w:val="center"/>
        </w:trPr>
        <w:tc>
          <w:tcPr>
            <w:tcW w:w="1940"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0-59分</w:t>
            </w:r>
          </w:p>
        </w:tc>
        <w:tc>
          <w:tcPr>
            <w:tcW w:w="361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下调5%-20%或直接辞退</w:t>
            </w:r>
          </w:p>
        </w:tc>
      </w:tr>
      <w:tr>
        <w:tblPrEx>
          <w:tblLayout w:type="fixed"/>
          <w:tblCellMar>
            <w:top w:w="0" w:type="dxa"/>
            <w:left w:w="108" w:type="dxa"/>
            <w:bottom w:w="0" w:type="dxa"/>
            <w:right w:w="108" w:type="dxa"/>
          </w:tblCellMar>
        </w:tblPrEx>
        <w:trPr>
          <w:trHeight w:val="340" w:hRule="atLeast"/>
          <w:jc w:val="center"/>
        </w:trPr>
        <w:tc>
          <w:tcPr>
            <w:tcW w:w="1940"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60分</w:t>
            </w:r>
          </w:p>
        </w:tc>
        <w:tc>
          <w:tcPr>
            <w:tcW w:w="361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酌情下调5%或保持不变</w:t>
            </w:r>
          </w:p>
        </w:tc>
      </w:tr>
      <w:tr>
        <w:tblPrEx>
          <w:tblLayout w:type="fixed"/>
          <w:tblCellMar>
            <w:top w:w="0" w:type="dxa"/>
            <w:left w:w="108" w:type="dxa"/>
            <w:bottom w:w="0" w:type="dxa"/>
            <w:right w:w="108" w:type="dxa"/>
          </w:tblCellMar>
        </w:tblPrEx>
        <w:trPr>
          <w:trHeight w:val="340" w:hRule="atLeast"/>
          <w:jc w:val="center"/>
        </w:trPr>
        <w:tc>
          <w:tcPr>
            <w:tcW w:w="1940"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61-70分</w:t>
            </w:r>
          </w:p>
        </w:tc>
        <w:tc>
          <w:tcPr>
            <w:tcW w:w="361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保持不变-上浮5%</w:t>
            </w:r>
          </w:p>
        </w:tc>
      </w:tr>
      <w:tr>
        <w:tblPrEx>
          <w:tblLayout w:type="fixed"/>
          <w:tblCellMar>
            <w:top w:w="0" w:type="dxa"/>
            <w:left w:w="108" w:type="dxa"/>
            <w:bottom w:w="0" w:type="dxa"/>
            <w:right w:w="108" w:type="dxa"/>
          </w:tblCellMar>
        </w:tblPrEx>
        <w:trPr>
          <w:trHeight w:val="340" w:hRule="atLeast"/>
          <w:jc w:val="center"/>
        </w:trPr>
        <w:tc>
          <w:tcPr>
            <w:tcW w:w="1940"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71-80分</w:t>
            </w:r>
          </w:p>
        </w:tc>
        <w:tc>
          <w:tcPr>
            <w:tcW w:w="361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上浮5-10%</w:t>
            </w:r>
          </w:p>
        </w:tc>
      </w:tr>
      <w:tr>
        <w:tblPrEx>
          <w:tblLayout w:type="fixed"/>
          <w:tblCellMar>
            <w:top w:w="0" w:type="dxa"/>
            <w:left w:w="108" w:type="dxa"/>
            <w:bottom w:w="0" w:type="dxa"/>
            <w:right w:w="108" w:type="dxa"/>
          </w:tblCellMar>
        </w:tblPrEx>
        <w:trPr>
          <w:trHeight w:val="340" w:hRule="atLeast"/>
          <w:jc w:val="center"/>
        </w:trPr>
        <w:tc>
          <w:tcPr>
            <w:tcW w:w="1940"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81-90分</w:t>
            </w:r>
          </w:p>
        </w:tc>
        <w:tc>
          <w:tcPr>
            <w:tcW w:w="361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上浮10-15%</w:t>
            </w:r>
          </w:p>
        </w:tc>
      </w:tr>
      <w:tr>
        <w:tblPrEx>
          <w:tblLayout w:type="fixed"/>
          <w:tblCellMar>
            <w:top w:w="0" w:type="dxa"/>
            <w:left w:w="108" w:type="dxa"/>
            <w:bottom w:w="0" w:type="dxa"/>
            <w:right w:w="108" w:type="dxa"/>
          </w:tblCellMar>
        </w:tblPrEx>
        <w:trPr>
          <w:trHeight w:val="340" w:hRule="atLeast"/>
          <w:jc w:val="center"/>
        </w:trPr>
        <w:tc>
          <w:tcPr>
            <w:tcW w:w="1940" w:type="dxa"/>
            <w:tcBorders>
              <w:top w:val="nil"/>
              <w:left w:val="single" w:color="auto" w:sz="4" w:space="0"/>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91-100分</w:t>
            </w:r>
          </w:p>
        </w:tc>
        <w:tc>
          <w:tcPr>
            <w:tcW w:w="3610" w:type="dxa"/>
            <w:tcBorders>
              <w:top w:val="nil"/>
              <w:left w:val="nil"/>
              <w:bottom w:val="single" w:color="auto" w:sz="4" w:space="0"/>
              <w:right w:val="single" w:color="auto" w:sz="4" w:space="0"/>
            </w:tcBorders>
            <w:shd w:val="clear" w:color="auto" w:fill="auto"/>
            <w:vAlign w:val="center"/>
          </w:tcPr>
          <w:p>
            <w:pPr>
              <w:widowControl/>
              <w:tabs>
                <w:tab w:val="left" w:pos="709"/>
                <w:tab w:val="left" w:pos="851"/>
                <w:tab w:val="left" w:pos="8931"/>
              </w:tabs>
              <w:spacing w:line="360" w:lineRule="auto"/>
              <w:ind w:right="168" w:rightChars="80"/>
              <w:jc w:val="center"/>
              <w:rPr>
                <w:rFonts w:ascii="楷体" w:hAnsi="楷体" w:eastAsia="楷体" w:cs="宋体"/>
                <w:kern w:val="0"/>
                <w:sz w:val="24"/>
                <w:szCs w:val="24"/>
              </w:rPr>
            </w:pPr>
            <w:r>
              <w:rPr>
                <w:rFonts w:hint="eastAsia" w:ascii="SimHei" w:hAnsi="SimHei" w:eastAsia="黑体" w:cs="宋体"/>
                <w:kern w:val="0"/>
                <w:sz w:val="24"/>
                <w:szCs w:val="24"/>
              </w:rPr>
              <w:t>上浮15-20%或达到上升峰值</w:t>
            </w:r>
          </w:p>
        </w:tc>
      </w:tr>
    </w:tbl>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注：调增的最大幅度不得超过岗位对应的宽带上限</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r>
      <w:r>
        <w:rPr>
          <w:rFonts w:hint="eastAsia" w:ascii="SimHei" w:hAnsi="SimHei" w:eastAsia="黑体"/>
          <w:sz w:val="24"/>
          <w:szCs w:val="24"/>
        </w:rPr>
        <w:t>业务人员除参考上述调整规定，主要根据业绩提升标准工资（见《效益提成》条款）</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38" w:name="_4、职位晋升机制"/>
      <w:bookmarkEnd w:id="138"/>
      <w:bookmarkStart w:id="139" w:name="_Toc408573214"/>
      <w:bookmarkStart w:id="140" w:name="_Toc407729217"/>
      <w:r>
        <w:rPr>
          <w:rFonts w:hint="eastAsia" w:ascii="SimHei" w:hAnsi="SimHei" w:eastAsia="黑体"/>
          <w:sz w:val="24"/>
          <w:szCs w:val="24"/>
        </w:rPr>
        <w:t>4、职位晋升机制</w:t>
      </w:r>
      <w:bookmarkEnd w:id="139"/>
      <w:bookmarkEnd w:id="140"/>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在整体岗位工资到绩效与年终评定方案已经比较成熟的基础上，职位的晋升方案可以参照薪资调整的方案进行，但是比重需要调整：年度绩效占比30%，岗位适度占比50%，360考评占比20%（其中也需要考虑员工个人申请内容的权重）</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41" w:name="_Toc407292498"/>
      <w:bookmarkStart w:id="142" w:name="_Toc407713986"/>
      <w:bookmarkStart w:id="143" w:name="_Toc407729218"/>
      <w:bookmarkStart w:id="144" w:name="_Toc408573215"/>
      <w:r>
        <w:rPr>
          <w:rFonts w:hint="eastAsia" w:ascii="SimHei" w:hAnsi="SimHei" w:eastAsia="黑体"/>
          <w:sz w:val="24"/>
          <w:szCs w:val="24"/>
        </w:rPr>
        <w:t>5、调整与晋升评定周期</w:t>
      </w:r>
      <w:bookmarkEnd w:id="141"/>
      <w:bookmarkEnd w:id="142"/>
      <w:bookmarkEnd w:id="143"/>
      <w:bookmarkEnd w:id="144"/>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因为需要参考一个年度的跟踪数据，所以原则上规定每年给一次调整薪资或职位的机会，但不排除出现成长迅速，表现极其突出或绩效产出过于低下的情况，可以临时出方案，做调整。</w:t>
      </w:r>
    </w:p>
    <w:p>
      <w:pPr>
        <w:pStyle w:val="4"/>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45" w:name="_Toc407713987"/>
      <w:bookmarkStart w:id="146" w:name="_Toc407292499"/>
      <w:bookmarkStart w:id="147" w:name="_Toc407729219"/>
      <w:bookmarkStart w:id="148" w:name="_Toc408573216"/>
      <w:r>
        <w:rPr>
          <w:rFonts w:hint="eastAsia" w:ascii="SimHei" w:hAnsi="SimHei" w:eastAsia="黑体"/>
          <w:sz w:val="24"/>
          <w:szCs w:val="24"/>
        </w:rPr>
        <w:t>6、管理规定</w:t>
      </w:r>
      <w:bookmarkEnd w:id="145"/>
      <w:bookmarkEnd w:id="146"/>
      <w:bookmarkEnd w:id="147"/>
      <w:bookmarkEnd w:id="148"/>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1、年度内累计书面警告2次，360度考评的考勤分数全部扣除；</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2、年度内累计书面警告3次，取消360度考评资格，占比20%；</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3、年度内累计书面警告4次，取消360度与岗位适度考评资格，合计占比50%；</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4、年度内累计书面警告5次以上，取消年度薪资调升资格与职位晋升资格，并酌情下调岗位工资或解除劳动关系；</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5、年度内病事假超过30次（或满15天），年终奖与薪资调整按50%执行，超过50次（或满30天）不参与年终奖评定和薪资调整并酌情下调工资；</w:t>
      </w:r>
    </w:p>
    <w:p>
      <w:pPr>
        <w:tabs>
          <w:tab w:val="left" w:pos="709"/>
          <w:tab w:val="left" w:pos="851"/>
          <w:tab w:val="left" w:pos="8931"/>
        </w:tabs>
        <w:spacing w:line="360" w:lineRule="auto"/>
        <w:ind w:right="168" w:rightChars="80" w:firstLine="482" w:firstLineChars="200"/>
        <w:rPr>
          <w:rFonts w:ascii="楷体" w:hAnsi="楷体" w:eastAsia="楷体"/>
          <w:b/>
          <w:sz w:val="24"/>
          <w:szCs w:val="24"/>
        </w:rPr>
      </w:pPr>
      <w:r>
        <w:rPr>
          <w:rFonts w:hint="eastAsia" w:ascii="SimHei" w:hAnsi="SimHei" w:eastAsia="黑体"/>
          <w:b/>
          <w:sz w:val="24"/>
          <w:szCs w:val="24"/>
        </w:rPr>
        <w:t>7、销售人员的当年任务量未达成，不予上调或最大调整幅度为5%</w:t>
      </w:r>
    </w:p>
    <w:p>
      <w:pPr>
        <w:tabs>
          <w:tab w:val="left" w:pos="709"/>
          <w:tab w:val="left" w:pos="851"/>
          <w:tab w:val="left" w:pos="8931"/>
        </w:tabs>
        <w:spacing w:line="360" w:lineRule="auto"/>
        <w:ind w:right="168" w:rightChars="80" w:firstLine="480" w:firstLineChars="200"/>
        <w:rPr>
          <w:rFonts w:ascii="楷体" w:hAnsi="楷体" w:eastAsia="楷体" w:cs="黑体"/>
          <w:kern w:val="0"/>
          <w:sz w:val="24"/>
          <w:szCs w:val="24"/>
        </w:rPr>
      </w:pPr>
      <w:r>
        <w:rPr>
          <w:rFonts w:hint="eastAsia" w:ascii="SimHei" w:hAnsi="SimHei" w:eastAsia="黑体"/>
          <w:sz w:val="24"/>
          <w:szCs w:val="24"/>
        </w:rPr>
        <w:t>以上情况若并列出现，则取上限累加执行。</w:t>
      </w:r>
    </w:p>
    <w:p>
      <w:pPr>
        <w:widowControl/>
        <w:tabs>
          <w:tab w:val="left" w:pos="709"/>
          <w:tab w:val="left" w:pos="851"/>
          <w:tab w:val="left" w:pos="8931"/>
        </w:tabs>
        <w:ind w:right="168" w:rightChars="80" w:firstLine="480" w:firstLineChars="200"/>
        <w:rPr>
          <w:rFonts w:ascii="楷体" w:hAnsi="楷体" w:eastAsia="楷体" w:cstheme="majorBidi"/>
          <w:b/>
          <w:bCs/>
          <w:kern w:val="0"/>
          <w:sz w:val="24"/>
          <w:szCs w:val="24"/>
        </w:rPr>
      </w:pPr>
      <w:bookmarkStart w:id="149" w:name="_Toc408573217"/>
      <w:bookmarkStart w:id="150" w:name="_Toc407729220"/>
      <w:r>
        <w:rPr>
          <w:rFonts w:ascii="SimHei" w:hAnsi="SimHei" w:eastAsia="黑体"/>
          <w:sz w:val="24"/>
          <w:szCs w:val="24"/>
        </w:rPr>
      </w:r>
    </w:p>
    <w:p>
      <w:pPr>
        <w:pStyle w:val="4"/>
        <w:tabs>
          <w:tab w:val="left" w:pos="709"/>
          <w:tab w:val="left" w:pos="851"/>
          <w:tab w:val="left" w:pos="8931"/>
        </w:tabs>
        <w:spacing w:before="0" w:after="0" w:line="360" w:lineRule="auto"/>
        <w:ind w:right="168" w:rightChars="80"/>
        <w:jc w:val="center"/>
        <w:rPr>
          <w:rFonts w:ascii="楷体" w:hAnsi="楷体" w:eastAsia="楷体"/>
          <w:sz w:val="24"/>
          <w:szCs w:val="24"/>
        </w:rPr>
      </w:pPr>
      <w:r>
        <w:rPr>
          <w:rFonts w:hint="eastAsia" w:ascii="SimHei" w:hAnsi="SimHei" w:eastAsia="黑体"/>
          <w:sz w:val="28"/>
          <w:szCs w:val="24"/>
        </w:rPr>
        <w:t>第五章  试用期薪酬设计</w:t>
      </w:r>
      <w:bookmarkEnd w:id="149"/>
      <w:bookmarkEnd w:id="150"/>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一、试用期限一律规定三个月转正，依照公司规定办理转正考核手续；</w:t>
      </w:r>
    </w:p>
    <w:p>
      <w:pPr>
        <w:tabs>
          <w:tab w:val="left" w:pos="709"/>
          <w:tab w:val="left" w:pos="851"/>
          <w:tab w:val="left" w:pos="8931"/>
        </w:tabs>
        <w:spacing w:line="360" w:lineRule="auto"/>
        <w:ind w:right="168" w:rightChars="80" w:firstLine="482" w:firstLineChars="200"/>
        <w:rPr>
          <w:rFonts w:ascii="楷体" w:hAnsi="楷体" w:eastAsia="楷体"/>
          <w:b/>
          <w:sz w:val="24"/>
          <w:szCs w:val="24"/>
        </w:rPr>
      </w:pPr>
      <w:r>
        <w:rPr>
          <w:rFonts w:hint="eastAsia" w:ascii="SimHei" w:hAnsi="SimHei" w:eastAsia="黑体"/>
          <w:b/>
          <w:sz w:val="24"/>
          <w:szCs w:val="24"/>
        </w:rPr>
        <w:t>二、试用期的薪酬，基本遵循2000-2500的工资；</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三、设计方案</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1、试用期员工的薪资实际测算以面试结果为准，同时实行无薪试岗期五天，在试用期间分</w:t>
      </w:r>
      <w:r>
        <w:rPr>
          <w:rFonts w:hint="eastAsia" w:ascii="SimHei" w:hAnsi="SimHei" w:eastAsia="黑体"/>
          <w:b/>
          <w:sz w:val="24"/>
          <w:szCs w:val="24"/>
        </w:rPr>
        <w:t>1-3</w:t>
      </w:r>
      <w:r>
        <w:rPr>
          <w:rFonts w:hint="eastAsia" w:ascii="SimHei" w:hAnsi="SimHei" w:eastAsia="黑体"/>
          <w:sz w:val="24"/>
          <w:szCs w:val="24"/>
        </w:rPr>
        <w:t>个阶段考核，根据考核分数和情况，可以在试用期间进行薪资的调整，或根据优秀程度酌情进行提前转正或终止试岗。</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2、试用期员工申请转正后，人事部门要进行转正考核，结合试用期工作考核分数与岗位适度分值，</w:t>
      </w:r>
      <w:r>
        <w:rPr>
          <w:rFonts w:hint="eastAsia" w:ascii="SimHei" w:hAnsi="SimHei" w:eastAsia="黑体"/>
          <w:b/>
          <w:sz w:val="24"/>
          <w:szCs w:val="24"/>
        </w:rPr>
        <w:t>试用期工作占比55%，岗位适度占比45%。</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四、试用期员工暂不涉及绩效工资。</w:t>
      </w:r>
    </w:p>
    <w:p>
      <w:pPr>
        <w:widowControl/>
        <w:tabs>
          <w:tab w:val="left" w:pos="709"/>
          <w:tab w:val="left" w:pos="851"/>
          <w:tab w:val="left" w:pos="8931"/>
        </w:tabs>
        <w:ind w:right="168" w:rightChars="80" w:firstLine="480" w:firstLineChars="200"/>
        <w:jc w:val="left"/>
        <w:rPr>
          <w:rFonts w:ascii="楷体" w:hAnsi="楷体" w:eastAsia="楷体" w:cstheme="majorBidi"/>
          <w:b/>
          <w:bCs/>
          <w:kern w:val="0"/>
          <w:sz w:val="24"/>
          <w:szCs w:val="24"/>
        </w:rPr>
      </w:pPr>
      <w:bookmarkStart w:id="151" w:name="_Toc408573218"/>
      <w:bookmarkStart w:id="152" w:name="_Toc407729221"/>
      <w:r>
        <w:rPr>
          <w:rFonts w:ascii="SimHei" w:hAnsi="SimHei" w:eastAsia="黑体"/>
          <w:sz w:val="24"/>
          <w:szCs w:val="24"/>
        </w:rPr>
      </w:r>
    </w:p>
    <w:p>
      <w:pPr>
        <w:pStyle w:val="4"/>
        <w:tabs>
          <w:tab w:val="left" w:pos="709"/>
          <w:tab w:val="left" w:pos="851"/>
          <w:tab w:val="left" w:pos="8931"/>
        </w:tabs>
        <w:spacing w:before="0" w:after="0" w:line="360" w:lineRule="auto"/>
        <w:ind w:right="168" w:rightChars="80"/>
        <w:jc w:val="center"/>
        <w:rPr>
          <w:rFonts w:ascii="楷体" w:hAnsi="楷体" w:eastAsia="楷体"/>
          <w:sz w:val="24"/>
          <w:szCs w:val="24"/>
        </w:rPr>
      </w:pPr>
      <w:r>
        <w:rPr>
          <w:rFonts w:hint="eastAsia" w:ascii="SimHei" w:hAnsi="SimHei" w:eastAsia="黑体"/>
          <w:sz w:val="28"/>
          <w:szCs w:val="24"/>
        </w:rPr>
        <w:t>第六章  考评人员管理</w:t>
      </w:r>
      <w:bookmarkEnd w:id="151"/>
      <w:bookmarkEnd w:id="152"/>
    </w:p>
    <w:p>
      <w:pPr>
        <w:pStyle w:val="3"/>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53" w:name="_Toc407292503"/>
      <w:bookmarkStart w:id="154" w:name="_Toc407713988"/>
      <w:bookmarkStart w:id="155" w:name="_Toc407729222"/>
      <w:bookmarkStart w:id="156" w:name="_Toc408573219"/>
      <w:r>
        <w:rPr>
          <w:rFonts w:hint="eastAsia" w:ascii="SimHei" w:hAnsi="SimHei" w:eastAsia="黑体"/>
          <w:sz w:val="24"/>
          <w:szCs w:val="24"/>
        </w:rPr>
        <w:t>一、包含主观评分的项目</w:t>
      </w:r>
      <w:bookmarkEnd w:id="153"/>
      <w:bookmarkEnd w:id="154"/>
      <w:bookmarkEnd w:id="155"/>
      <w:bookmarkEnd w:id="156"/>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1、工作量化考核表</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2、KPI关键绩效考核表</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3、项目奖金分配评分表</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4、360度考评表</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5、岗位适度评分表</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6、试用期考核评分表</w:t>
      </w:r>
    </w:p>
    <w:p>
      <w:pPr>
        <w:pStyle w:val="3"/>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57" w:name="_Toc407292504"/>
      <w:bookmarkStart w:id="158" w:name="_Toc407713989"/>
      <w:bookmarkStart w:id="159" w:name="_Toc407729223"/>
      <w:bookmarkStart w:id="160" w:name="_Toc408573220"/>
      <w:r>
        <w:rPr>
          <w:rFonts w:hint="eastAsia" w:ascii="SimHei" w:hAnsi="SimHei" w:eastAsia="黑体"/>
          <w:sz w:val="24"/>
          <w:szCs w:val="24"/>
        </w:rPr>
        <w:t>二、评分梯次</w:t>
      </w:r>
      <w:bookmarkEnd w:id="157"/>
      <w:bookmarkEnd w:id="158"/>
      <w:bookmarkEnd w:id="159"/>
      <w:bookmarkEnd w:id="160"/>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1、一般职员的评分以部门领导为主，人事负责监督审核；</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2、中层管理员工以总经理或直接下级评分为主，人事负责监督审核；</w:t>
      </w:r>
    </w:p>
    <w:p>
      <w:pPr>
        <w:pStyle w:val="3"/>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61" w:name="_Toc407292505"/>
      <w:bookmarkStart w:id="162" w:name="_Toc407713990"/>
      <w:bookmarkStart w:id="163" w:name="_Toc407729224"/>
      <w:bookmarkStart w:id="164" w:name="_Toc408573221"/>
      <w:r>
        <w:rPr>
          <w:rFonts w:hint="eastAsia" w:ascii="SimHei" w:hAnsi="SimHei" w:eastAsia="黑体"/>
          <w:sz w:val="24"/>
          <w:szCs w:val="24"/>
        </w:rPr>
        <w:t>三、评分要求</w:t>
      </w:r>
      <w:bookmarkEnd w:id="161"/>
      <w:bookmarkEnd w:id="162"/>
      <w:bookmarkEnd w:id="163"/>
      <w:bookmarkEnd w:id="164"/>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1、凡是参与评分的人员，必须严谨客观运用评分权利，根据评分事项，客观全面考察被评人员的考核点，避免出现以下人为偏差：</w:t>
      </w:r>
    </w:p>
    <w:p>
      <w:pPr>
        <w:pStyle w:val="43"/>
        <w:numPr>
          <w:ilvl w:val="0"/>
          <w:numId w:val="4"/>
        </w:numPr>
        <w:tabs>
          <w:tab w:val="left" w:pos="709"/>
          <w:tab w:val="left" w:pos="851"/>
          <w:tab w:val="left" w:pos="8931"/>
        </w:tabs>
        <w:spacing w:line="360" w:lineRule="auto"/>
        <w:ind w:left="0" w:right="168" w:rightChars="80" w:firstLine="482"/>
        <w:jc w:val="both"/>
        <w:rPr>
          <w:rFonts w:ascii="楷体" w:hAnsi="楷体" w:eastAsia="楷体"/>
        </w:rPr>
      </w:pPr>
      <w:r>
        <w:rPr>
          <w:rFonts w:hint="eastAsia" w:ascii="SimHei" w:hAnsi="SimHei" w:eastAsia="黑体"/>
          <w:b/>
        </w:rPr>
        <w:t>晕轮效应</w:t>
      </w:r>
      <w:r>
        <w:rPr>
          <w:rFonts w:hint="eastAsia" w:ascii="SimHei" w:hAnsi="SimHei" w:eastAsia="黑体"/>
        </w:rPr>
        <w:t>（即在考评中，因考评者非常关注某一个特征而掩蔽甚至殃及其他项目的分数）</w:t>
      </w:r>
    </w:p>
    <w:p>
      <w:pPr>
        <w:pStyle w:val="43"/>
        <w:numPr>
          <w:ilvl w:val="0"/>
          <w:numId w:val="4"/>
        </w:numPr>
        <w:tabs>
          <w:tab w:val="left" w:pos="709"/>
          <w:tab w:val="left" w:pos="851"/>
          <w:tab w:val="left" w:pos="8931"/>
        </w:tabs>
        <w:spacing w:line="360" w:lineRule="auto"/>
        <w:ind w:left="0" w:right="168" w:rightChars="80" w:firstLine="482"/>
        <w:jc w:val="both"/>
        <w:rPr>
          <w:rFonts w:ascii="楷体" w:hAnsi="楷体" w:eastAsia="楷体"/>
        </w:rPr>
      </w:pPr>
      <w:r>
        <w:rPr>
          <w:rFonts w:hint="eastAsia" w:ascii="SimHei" w:hAnsi="SimHei" w:eastAsia="黑体" w:cstheme="minorBidi"/>
          <w:b/>
          <w:kern w:val="2"/>
        </w:rPr>
        <w:t>居中趋势</w:t>
      </w:r>
      <w:r>
        <w:rPr>
          <w:rFonts w:hint="eastAsia" w:ascii="SimHei" w:hAnsi="SimHei" w:eastAsia="黑体"/>
        </w:rPr>
        <w:t>（即考评者未明确标准或出于平均心理，打分结果普遍均衡，无法体现差异）、</w:t>
      </w:r>
    </w:p>
    <w:p>
      <w:pPr>
        <w:pStyle w:val="43"/>
        <w:numPr>
          <w:ilvl w:val="0"/>
          <w:numId w:val="4"/>
        </w:numPr>
        <w:tabs>
          <w:tab w:val="left" w:pos="709"/>
          <w:tab w:val="left" w:pos="851"/>
          <w:tab w:val="left" w:pos="8931"/>
        </w:tabs>
        <w:spacing w:line="360" w:lineRule="auto"/>
        <w:ind w:left="0" w:right="168" w:rightChars="80" w:firstLine="482"/>
        <w:jc w:val="both"/>
        <w:rPr>
          <w:rFonts w:ascii="楷体" w:hAnsi="楷体" w:eastAsia="楷体"/>
        </w:rPr>
      </w:pPr>
      <w:r>
        <w:rPr>
          <w:rFonts w:hint="eastAsia" w:ascii="SimHei" w:hAnsi="SimHei" w:eastAsia="黑体"/>
          <w:b/>
        </w:rPr>
        <w:t>宽厚</w:t>
      </w:r>
      <w:r>
        <w:rPr>
          <w:rFonts w:hint="eastAsia" w:ascii="SimHei" w:hAnsi="SimHei" w:eastAsia="黑体" w:cstheme="minorBidi"/>
          <w:b/>
          <w:kern w:val="2"/>
        </w:rPr>
        <w:t>或</w:t>
      </w:r>
      <w:r>
        <w:rPr>
          <w:rFonts w:hint="eastAsia" w:ascii="SimHei" w:hAnsi="SimHei" w:eastAsia="黑体"/>
          <w:b/>
        </w:rPr>
        <w:t>苛严误差</w:t>
      </w:r>
      <w:r>
        <w:rPr>
          <w:rFonts w:hint="eastAsia" w:ascii="SimHei" w:hAnsi="SimHei" w:eastAsia="黑体"/>
        </w:rPr>
        <w:t>（即以主观意念出发，评分过于宽松的老好人现象或过于苛刻造成积极性受挫甚至组织涣散的误差）</w:t>
      </w:r>
    </w:p>
    <w:p>
      <w:pPr>
        <w:pStyle w:val="43"/>
        <w:numPr>
          <w:ilvl w:val="0"/>
          <w:numId w:val="4"/>
        </w:numPr>
        <w:tabs>
          <w:tab w:val="left" w:pos="709"/>
          <w:tab w:val="left" w:pos="851"/>
          <w:tab w:val="left" w:pos="8931"/>
        </w:tabs>
        <w:spacing w:line="360" w:lineRule="auto"/>
        <w:ind w:left="0" w:right="168" w:rightChars="80" w:firstLine="482"/>
        <w:jc w:val="both"/>
        <w:rPr>
          <w:rFonts w:ascii="楷体" w:hAnsi="楷体" w:eastAsia="楷体"/>
        </w:rPr>
      </w:pPr>
      <w:r>
        <w:rPr>
          <w:rFonts w:hint="eastAsia" w:ascii="SimHei" w:hAnsi="SimHei" w:eastAsia="黑体" w:cstheme="minorBidi"/>
          <w:b/>
          <w:kern w:val="2"/>
        </w:rPr>
        <w:t>个人偏见</w:t>
      </w:r>
      <w:r>
        <w:rPr>
          <w:rFonts w:hint="eastAsia" w:ascii="SimHei" w:hAnsi="SimHei" w:eastAsia="黑体"/>
        </w:rPr>
        <w:t>（完全根据个人喜好评分）</w:t>
      </w:r>
    </w:p>
    <w:p>
      <w:pPr>
        <w:pStyle w:val="43"/>
        <w:numPr>
          <w:ilvl w:val="0"/>
          <w:numId w:val="4"/>
        </w:numPr>
        <w:tabs>
          <w:tab w:val="left" w:pos="709"/>
          <w:tab w:val="left" w:pos="851"/>
          <w:tab w:val="left" w:pos="8931"/>
        </w:tabs>
        <w:spacing w:line="360" w:lineRule="auto"/>
        <w:ind w:left="0" w:right="168" w:rightChars="80" w:firstLine="482"/>
        <w:jc w:val="both"/>
        <w:rPr>
          <w:rFonts w:ascii="楷体" w:hAnsi="楷体" w:eastAsia="楷体" w:cstheme="minorBidi"/>
          <w:kern w:val="2"/>
        </w:rPr>
      </w:pPr>
      <w:r>
        <w:rPr>
          <w:rFonts w:hint="eastAsia" w:ascii="SimHei" w:hAnsi="SimHei" w:eastAsia="黑体" w:cstheme="minorBidi"/>
          <w:b/>
          <w:kern w:val="2"/>
        </w:rPr>
        <w:t>近期行为偏见</w:t>
      </w:r>
      <w:r>
        <w:rPr>
          <w:rFonts w:hint="eastAsia" w:ascii="SimHei" w:hAnsi="SimHei" w:eastAsia="黑体" w:cstheme="minorBidi"/>
          <w:kern w:val="2"/>
        </w:rPr>
        <w:t>（即没有通观整个考评周期，而已最近的表现作为主要依据的“以偏概全”偏差）</w:t>
      </w:r>
    </w:p>
    <w:p>
      <w:pPr>
        <w:pStyle w:val="43"/>
        <w:numPr>
          <w:ilvl w:val="0"/>
          <w:numId w:val="4"/>
        </w:numPr>
        <w:tabs>
          <w:tab w:val="left" w:pos="709"/>
          <w:tab w:val="left" w:pos="851"/>
          <w:tab w:val="left" w:pos="8931"/>
        </w:tabs>
        <w:spacing w:line="360" w:lineRule="auto"/>
        <w:ind w:left="0" w:right="168" w:rightChars="80" w:firstLine="482"/>
        <w:jc w:val="both"/>
        <w:rPr>
          <w:rFonts w:ascii="楷体" w:hAnsi="楷体" w:eastAsia="楷体" w:cstheme="minorBidi"/>
          <w:b/>
          <w:kern w:val="2"/>
        </w:rPr>
      </w:pPr>
      <w:r>
        <w:rPr>
          <w:rFonts w:hint="eastAsia" w:ascii="SimHei" w:hAnsi="SimHei" w:eastAsia="黑体" w:cstheme="minorBidi"/>
          <w:b/>
          <w:kern w:val="2"/>
        </w:rPr>
        <w:t>我同心理</w:t>
      </w:r>
      <w:r>
        <w:rPr>
          <w:rFonts w:hint="eastAsia" w:ascii="SimHei" w:hAnsi="SimHei" w:eastAsia="黑体" w:cstheme="minorBidi"/>
          <w:kern w:val="2"/>
        </w:rPr>
        <w:t>（与考评者本人相近的给予高分处理的偏差）</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2、凡是参与评分的人员，必须有客观的考评依据，例如可以采取如下记录方法（不限于）：</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工作记录法：注重日常工作的积累和记录，作为阶段性考核的详实依据</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面谈法：通过与考评人员的工作面谈，形成对考评人员综合素质与表达能力的客观印象</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关键事件记录法：通过对考评人员在一些关键事件当中体现的处理问题能力给予客观记录，作为考评依据。</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记录表举例：</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表一：普通员工工作表现记录表（可以以周或月为考评周期）</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姓名_______________部门_____________</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20XX年    月    日—    月    日编号：___________</w:t>
      </w:r>
    </w:p>
    <w:tbl>
      <w:tblPr>
        <w:tblStyle w:val="29"/>
        <w:tblW w:w="87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2001"/>
        <w:gridCol w:w="6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exact"/>
          <w:jc w:val="center"/>
        </w:trPr>
        <w:tc>
          <w:tcPr>
            <w:tcW w:w="2625" w:type="dxa"/>
            <w:gridSpan w:val="2"/>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出勤情况</w:t>
            </w:r>
          </w:p>
        </w:tc>
        <w:tc>
          <w:tcPr>
            <w:tcW w:w="617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旷工__________迟到__________早退__________病假_______事假_________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exact"/>
          <w:jc w:val="center"/>
        </w:trPr>
        <w:tc>
          <w:tcPr>
            <w:tcW w:w="624" w:type="dxa"/>
            <w:vMerge w:val="restart"/>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p>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p>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工作表现</w:t>
            </w:r>
          </w:p>
        </w:tc>
        <w:tc>
          <w:tcPr>
            <w:tcW w:w="200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完成岗位工作情况</w:t>
            </w:r>
          </w:p>
        </w:tc>
        <w:tc>
          <w:tcPr>
            <w:tcW w:w="617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按具体情况可以插入关键事件记录与面谈结果或用统计数据说明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exact"/>
          <w:jc w:val="center"/>
        </w:trPr>
        <w:tc>
          <w:tcPr>
            <w:tcW w:w="624" w:type="dxa"/>
            <w:vMerge w:val="continue"/>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p>
        </w:tc>
        <w:tc>
          <w:tcPr>
            <w:tcW w:w="200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完成临时任务情况</w:t>
            </w:r>
          </w:p>
        </w:tc>
        <w:tc>
          <w:tcPr>
            <w:tcW w:w="617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按具体情况可以插入关键事件记录与面谈结果或用统计数据说明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exact"/>
          <w:jc w:val="center"/>
        </w:trPr>
        <w:tc>
          <w:tcPr>
            <w:tcW w:w="624" w:type="dxa"/>
            <w:vMerge w:val="continue"/>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p>
        </w:tc>
        <w:tc>
          <w:tcPr>
            <w:tcW w:w="200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工作质量</w:t>
            </w:r>
          </w:p>
        </w:tc>
        <w:tc>
          <w:tcPr>
            <w:tcW w:w="617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按具体情况可以插入关键事件记录与面谈结果或用统计数据说明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exact"/>
          <w:jc w:val="center"/>
        </w:trPr>
        <w:tc>
          <w:tcPr>
            <w:tcW w:w="624" w:type="dxa"/>
            <w:vMerge w:val="continue"/>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p>
        </w:tc>
        <w:tc>
          <w:tcPr>
            <w:tcW w:w="200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工作态度</w:t>
            </w:r>
          </w:p>
        </w:tc>
        <w:tc>
          <w:tcPr>
            <w:tcW w:w="617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按具体情况可以插入关键事件记录与面谈结果或用统计数据说明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exact"/>
          <w:jc w:val="center"/>
        </w:trPr>
        <w:tc>
          <w:tcPr>
            <w:tcW w:w="624" w:type="dxa"/>
            <w:vMerge w:val="continue"/>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p>
        </w:tc>
        <w:tc>
          <w:tcPr>
            <w:tcW w:w="200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工作效率</w:t>
            </w:r>
          </w:p>
        </w:tc>
        <w:tc>
          <w:tcPr>
            <w:tcW w:w="617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按具体情况可以插入关键事件记录与面谈结果或用统计数据说明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exact"/>
          <w:jc w:val="center"/>
        </w:trPr>
        <w:tc>
          <w:tcPr>
            <w:tcW w:w="624" w:type="dxa"/>
            <w:vMerge w:val="continue"/>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p>
        </w:tc>
        <w:tc>
          <w:tcPr>
            <w:tcW w:w="200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与他人协调情况</w:t>
            </w:r>
          </w:p>
        </w:tc>
        <w:tc>
          <w:tcPr>
            <w:tcW w:w="617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按具体情况可以插入关键事件记录与面谈结果或用统计数据说明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exact"/>
          <w:jc w:val="center"/>
        </w:trPr>
        <w:tc>
          <w:tcPr>
            <w:tcW w:w="624" w:type="dxa"/>
            <w:vMerge w:val="continue"/>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p>
        </w:tc>
        <w:tc>
          <w:tcPr>
            <w:tcW w:w="200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创新能力表现</w:t>
            </w:r>
          </w:p>
        </w:tc>
        <w:tc>
          <w:tcPr>
            <w:tcW w:w="617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按具体情况可以插入关键事件记录与面谈结果或用统计数据说明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exact"/>
          <w:jc w:val="center"/>
        </w:trPr>
        <w:tc>
          <w:tcPr>
            <w:tcW w:w="624" w:type="dxa"/>
            <w:vMerge w:val="continue"/>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p>
        </w:tc>
        <w:tc>
          <w:tcPr>
            <w:tcW w:w="200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遵守规章制度</w:t>
            </w:r>
          </w:p>
        </w:tc>
        <w:tc>
          <w:tcPr>
            <w:tcW w:w="617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按具体情况可以插入关键事件记录与面谈结果或用统计数据说明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exact"/>
          <w:jc w:val="center"/>
        </w:trPr>
        <w:tc>
          <w:tcPr>
            <w:tcW w:w="624" w:type="dxa"/>
            <w:vMerge w:val="continue"/>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p>
        </w:tc>
        <w:tc>
          <w:tcPr>
            <w:tcW w:w="200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独立处理能力</w:t>
            </w:r>
          </w:p>
        </w:tc>
        <w:tc>
          <w:tcPr>
            <w:tcW w:w="6171" w:type="dxa"/>
          </w:tcPr>
          <w:p>
            <w:pPr>
              <w:tabs>
                <w:tab w:val="left" w:pos="709"/>
                <w:tab w:val="left" w:pos="851"/>
                <w:tab w:val="left" w:pos="8931"/>
              </w:tabs>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按具体情况可以插入关键事件记录与面谈结果或用统计数据说明</w:t>
            </w:r>
          </w:p>
        </w:tc>
      </w:tr>
    </w:tbl>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填表人签字：                                                 员工签字：</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表二：某中层部门经理的月度工作考评表（考评周期以月或季度为主）</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姓名___________部门__________        职位任职时间：20XX年    月    日</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考评周期20XX年    月    日—20XX年    月    日   编号：___________</w:t>
      </w:r>
    </w:p>
    <w:tbl>
      <w:tblPr>
        <w:tblStyle w:val="29"/>
        <w:tblW w:w="9861" w:type="dxa"/>
        <w:jc w:val="center"/>
        <w:tblInd w:w="4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2551"/>
        <w:gridCol w:w="1701"/>
        <w:gridCol w:w="1701"/>
        <w:gridCol w:w="1569"/>
        <w:gridCol w:w="708"/>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2" w:type="dxa"/>
            <w:vMerge w:val="restart"/>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评分项目</w:t>
            </w:r>
          </w:p>
        </w:tc>
        <w:tc>
          <w:tcPr>
            <w:tcW w:w="8939" w:type="dxa"/>
            <w:gridSpan w:val="6"/>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922" w:type="dxa"/>
            <w:vMerge w:val="continue"/>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p>
        </w:tc>
        <w:tc>
          <w:tcPr>
            <w:tcW w:w="2551"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优（81-100）</w:t>
            </w:r>
          </w:p>
        </w:tc>
        <w:tc>
          <w:tcPr>
            <w:tcW w:w="1701"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良（61-80）</w:t>
            </w:r>
          </w:p>
        </w:tc>
        <w:tc>
          <w:tcPr>
            <w:tcW w:w="1701"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中（41-60）</w:t>
            </w:r>
          </w:p>
        </w:tc>
        <w:tc>
          <w:tcPr>
            <w:tcW w:w="1569"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差（40以下）</w:t>
            </w:r>
          </w:p>
        </w:tc>
        <w:tc>
          <w:tcPr>
            <w:tcW w:w="708"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权重</w:t>
            </w:r>
          </w:p>
        </w:tc>
        <w:tc>
          <w:tcPr>
            <w:tcW w:w="709"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5" w:hRule="atLeast"/>
          <w:jc w:val="center"/>
        </w:trPr>
        <w:tc>
          <w:tcPr>
            <w:tcW w:w="922"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影响力与号召力</w:t>
            </w:r>
          </w:p>
        </w:tc>
        <w:tc>
          <w:tcPr>
            <w:tcW w:w="2551"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有非常强的影响力与号召力，能够对周围的人发挥极强的领袖力量</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1701"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在任何时候和条件下都能充分地与他人协作，有很强的协调和适应力，同时能够组织协作事务</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1701"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有相当的能力，但有时无法使他人主动服从，需要借用其他手段（如行政手段）</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1569"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有一定能力，但大多数情况下不能使他人服从并需要借用其他方法</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708"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15%</w:t>
            </w:r>
          </w:p>
        </w:tc>
        <w:tc>
          <w:tcPr>
            <w:tcW w:w="709"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4" w:hRule="atLeast"/>
          <w:jc w:val="center"/>
        </w:trPr>
        <w:tc>
          <w:tcPr>
            <w:tcW w:w="922"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正确适度授权能力</w:t>
            </w:r>
          </w:p>
        </w:tc>
        <w:tc>
          <w:tcPr>
            <w:tcW w:w="2551"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对授权要求能够全面、精通地理解与执行，并通过授权达到非常好的管理效果（提高积极性）</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1701"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能够正确、清晰地划分权限，并能够进行适度、有效的授权与管理</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1701"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基本能够清晰地划分权限并进行授权，但有授权后无法掌握等管理不力的现象</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1569"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只能做到部分权限划分、授权和管理</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708"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10%</w:t>
            </w:r>
          </w:p>
        </w:tc>
        <w:tc>
          <w:tcPr>
            <w:tcW w:w="709"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2"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协调能力</w:t>
            </w:r>
          </w:p>
        </w:tc>
        <w:tc>
          <w:tcPr>
            <w:tcW w:w="2551"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在任何时间和条件下都能充分地与他人协作，有很强的适应和协调能力，同时能够组织协调事务</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1701"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能够充分地与他人协作，有较强的协调能力</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1701"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在正常情况下能充分与人协作，但对特殊情况适应能力不够</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1569"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在正常情况下基本能与人协作，但不具备对特殊情况的协调能力</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708"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30%</w:t>
            </w:r>
          </w:p>
        </w:tc>
        <w:tc>
          <w:tcPr>
            <w:tcW w:w="709"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2"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管理力度</w:t>
            </w:r>
          </w:p>
        </w:tc>
        <w:tc>
          <w:tcPr>
            <w:tcW w:w="2551"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能紧抓所有控制项目，任何时间都能掌握全盘状况，使组织井然有序，完全杜绝发生任何过失的机会</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1701"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能够掌握多数的控制项目，组织运作顺序，无过失发生</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1701"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能掌握重要的控制项目，使部属不会出现有意或无意的过失</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1569" w:type="dxa"/>
            <w:vAlign w:val="center"/>
          </w:tcPr>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r>
              <w:rPr>
                <w:rFonts w:hint="eastAsia" w:ascii="SimHei" w:hAnsi="SimHei" w:eastAsia="黑体" w:cs="Times New Roman"/>
                <w:kern w:val="0"/>
                <w:sz w:val="24"/>
                <w:szCs w:val="24"/>
              </w:rPr>
              <w:t>不能掌握多数的控制项目，有意或无意的过失经常发生</w:t>
            </w:r>
          </w:p>
          <w:p>
            <w:pPr>
              <w:tabs>
                <w:tab w:val="left" w:pos="709"/>
                <w:tab w:val="left" w:pos="851"/>
                <w:tab w:val="left" w:pos="8931"/>
              </w:tabs>
              <w:adjustRightInd w:val="0"/>
              <w:snapToGrid w:val="0"/>
              <w:spacing w:line="360" w:lineRule="auto"/>
              <w:ind w:right="168" w:rightChars="80"/>
              <w:rPr>
                <w:rFonts w:ascii="楷体" w:hAnsi="楷体" w:eastAsia="楷体" w:cs="Times New Roman"/>
                <w:kern w:val="0"/>
                <w:sz w:val="24"/>
                <w:szCs w:val="24"/>
              </w:rPr>
            </w:pPr>
          </w:p>
        </w:tc>
        <w:tc>
          <w:tcPr>
            <w:tcW w:w="708"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r>
              <w:rPr>
                <w:rFonts w:hint="eastAsia" w:ascii="SimHei" w:hAnsi="SimHei" w:eastAsia="黑体" w:cs="Times New Roman"/>
                <w:kern w:val="0"/>
                <w:sz w:val="24"/>
                <w:szCs w:val="24"/>
              </w:rPr>
              <w:t>25%</w:t>
            </w:r>
          </w:p>
        </w:tc>
        <w:tc>
          <w:tcPr>
            <w:tcW w:w="709" w:type="dxa"/>
            <w:vAlign w:val="center"/>
          </w:tcPr>
          <w:p>
            <w:pPr>
              <w:tabs>
                <w:tab w:val="left" w:pos="709"/>
                <w:tab w:val="left" w:pos="851"/>
                <w:tab w:val="left" w:pos="8931"/>
              </w:tabs>
              <w:adjustRightInd w:val="0"/>
              <w:snapToGrid w:val="0"/>
              <w:spacing w:line="360" w:lineRule="auto"/>
              <w:ind w:right="168" w:rightChars="80"/>
              <w:jc w:val="center"/>
              <w:rPr>
                <w:rFonts w:ascii="楷体" w:hAnsi="楷体" w:eastAsia="楷体" w:cs="Times New Roman"/>
                <w:kern w:val="0"/>
                <w:sz w:val="24"/>
                <w:szCs w:val="24"/>
              </w:rPr>
            </w:pPr>
          </w:p>
        </w:tc>
      </w:tr>
    </w:tbl>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上表的评分人同时可以按具体情况插入关键事件记录与面谈结果或用统计数据说明</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日常工作记录或考评是为了在平时工作过程中对员工的工作表现进行及时真实的记录和考评，为月份及年终考评提供最确凿、最详实的依据，避免年终考评时因考核者易受近因或其它主观因素的影响而导致的偏差，从而维护整个考评的客观性和公正性。</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4、其他管理要求</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在每个项目的评分过程中，普遍以上级评分为主导，因此，除了日常工作记录积累外，上级应对下级履行辅助指导职责，例如：</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（1）落实日常工作辅导</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（2）懂得如何收集、记录并分析绩效问题</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（3）协助部属克服障碍</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（4）注意管理的方式方法，纠正部属错误</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（5）严格贯彻要求与追踪执行状况</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（6）不吝啬给予赞美与激励</w:t>
      </w:r>
    </w:p>
    <w:p>
      <w:pPr>
        <w:pStyle w:val="3"/>
        <w:tabs>
          <w:tab w:val="left" w:pos="709"/>
          <w:tab w:val="left" w:pos="851"/>
          <w:tab w:val="left" w:pos="8931"/>
        </w:tabs>
        <w:spacing w:before="0" w:after="0" w:line="360" w:lineRule="auto"/>
        <w:ind w:right="168" w:rightChars="80" w:firstLine="482" w:firstLineChars="200"/>
        <w:rPr>
          <w:rFonts w:ascii="楷体" w:hAnsi="楷体" w:eastAsia="楷体"/>
          <w:sz w:val="24"/>
          <w:szCs w:val="24"/>
        </w:rPr>
      </w:pPr>
      <w:bookmarkStart w:id="165" w:name="_Toc408573222"/>
      <w:bookmarkStart w:id="166" w:name="_Toc407729225"/>
      <w:bookmarkStart w:id="167" w:name="_Toc407713991"/>
      <w:bookmarkStart w:id="168" w:name="_Toc407292506"/>
      <w:r>
        <w:rPr>
          <w:rFonts w:hint="eastAsia" w:ascii="SimHei" w:hAnsi="SimHei" w:eastAsia="黑体"/>
          <w:sz w:val="24"/>
          <w:szCs w:val="24"/>
        </w:rPr>
        <w:t>四、绩效面谈</w:t>
      </w:r>
      <w:bookmarkEnd w:id="165"/>
      <w:bookmarkEnd w:id="166"/>
      <w:bookmarkEnd w:id="167"/>
      <w:bookmarkEnd w:id="168"/>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1、绩效面谈是指主管与部属共同针对绩效评估的结果所做的看法交换与研讨。目的是透过双向沟通，共同齐心协力的解决问题，让部属工作绩效更好，让组织的发展更健全。</w:t>
      </w:r>
    </w:p>
    <w:p>
      <w:pPr>
        <w:tabs>
          <w:tab w:val="left" w:pos="709"/>
          <w:tab w:val="left" w:pos="851"/>
          <w:tab w:val="left" w:pos="8931"/>
        </w:tabs>
        <w:spacing w:line="360" w:lineRule="auto"/>
        <w:ind w:right="168" w:rightChars="80" w:firstLine="480" w:firstLineChars="200"/>
        <w:rPr>
          <w:rFonts w:ascii="楷体" w:hAnsi="楷体" w:eastAsia="楷体"/>
          <w:bCs/>
          <w:sz w:val="24"/>
          <w:szCs w:val="24"/>
        </w:rPr>
      </w:pPr>
      <w:r>
        <w:rPr>
          <w:rFonts w:hint="eastAsia" w:ascii="SimHei" w:hAnsi="SimHei" w:eastAsia="黑体"/>
          <w:bCs/>
          <w:sz w:val="24"/>
          <w:szCs w:val="24"/>
        </w:rPr>
        <w:t>2、绩效面谈的注意事项</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bCs/>
          <w:sz w:val="24"/>
          <w:szCs w:val="24"/>
        </w:rPr>
        <w:t>（1）以补强教导功能为目的</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bCs/>
          <w:sz w:val="24"/>
          <w:szCs w:val="24"/>
        </w:rPr>
        <w:t>（2）针对特定事件具体而明确</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bCs/>
          <w:sz w:val="24"/>
          <w:szCs w:val="24"/>
        </w:rPr>
        <w:t>（3）切不可置身事外</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bCs/>
          <w:sz w:val="24"/>
          <w:szCs w:val="24"/>
        </w:rPr>
        <w:t>（4）积极的聆听</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bCs/>
          <w:sz w:val="24"/>
          <w:szCs w:val="24"/>
        </w:rPr>
        <w:t>（5）不要拿他与其他部属相比较</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bCs/>
          <w:sz w:val="24"/>
          <w:szCs w:val="24"/>
        </w:rPr>
        <w:t>（6）成功与失败的回馈并重</w:t>
      </w:r>
    </w:p>
    <w:p>
      <w:pPr>
        <w:tabs>
          <w:tab w:val="left" w:pos="709"/>
          <w:tab w:val="left" w:pos="851"/>
          <w:tab w:val="left" w:pos="8931"/>
        </w:tabs>
        <w:spacing w:line="360" w:lineRule="auto"/>
        <w:ind w:right="168" w:rightChars="80" w:firstLine="480" w:firstLineChars="200"/>
        <w:rPr>
          <w:rFonts w:ascii="楷体" w:hAnsi="楷体" w:eastAsia="楷体"/>
          <w:bCs/>
          <w:sz w:val="24"/>
          <w:szCs w:val="24"/>
        </w:rPr>
      </w:pPr>
      <w:r>
        <w:rPr>
          <w:rFonts w:hint="eastAsia" w:ascii="SimHei" w:hAnsi="SimHei" w:eastAsia="黑体"/>
          <w:bCs/>
          <w:sz w:val="24"/>
          <w:szCs w:val="24"/>
        </w:rPr>
        <w:t>（7）注意说话技巧与态度，不可讽刺威胁</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bCs/>
          <w:sz w:val="24"/>
          <w:szCs w:val="24"/>
        </w:rPr>
        <w:t>（8）遵循认同情感、鼓励发言、了解想法、发问、告知、指导、批评自上而下，逐步导出的环节与流程。</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总之，被评人必须认真履行工作职责，发挥个人潜能，以积极的心态投入工作并提高工作效率，考评人必须严谨客观的根据考评事项进行评分。</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被评人要对个人工作表现的结果负责，考评人要对评分结果负责。</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人事部门有权依据上述考评方法对考评人的日常工作记录表进行抽查与核对，如果出现因过于主观或假公济私的评分现象导致结果明显缺失公平性，并对被评人应得利益造成严重侵害，人事部门有权据实上报公司进行重新评定，并由评分人承担相应责任。</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本方案需经公司中高层会议讨论通过，相应的绩效考核管理办法和细则由行政人事部根据方案统一起草，整体的薪酬绩效体系管理文件于20XX年1月正式下发执行。</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行政人事部</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20XX年XX月XX日</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评定方式总结：</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标准工资：按照岗位评价确定总额</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基本工资：按照当地标准确定</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绩效工资：</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职能序列——量化考核+360季度考评</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技术序列——KPI量化考核+行为评价（是否需要加入行为评价，待讨论）</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销售序列——KPI量化考核</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岗位工资：标准工资-基本工资-绩效工资</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项目奖金：项目组——自行裁定</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年终奖金：技术部——自行裁定</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其他部门——季度绩效结果汇总评分60+360年度考评40</w:t>
      </w:r>
    </w:p>
    <w:p>
      <w:pPr>
        <w:tabs>
          <w:tab w:val="left" w:pos="709"/>
          <w:tab w:val="left" w:pos="851"/>
          <w:tab w:val="left" w:pos="8931"/>
        </w:tabs>
        <w:spacing w:line="360" w:lineRule="auto"/>
        <w:ind w:right="168" w:rightChars="80" w:firstLine="480" w:firstLineChars="200"/>
        <w:rPr>
          <w:rFonts w:ascii="楷体" w:hAnsi="楷体" w:eastAsia="楷体"/>
          <w:sz w:val="24"/>
          <w:szCs w:val="24"/>
        </w:rPr>
      </w:pPr>
      <w:r>
        <w:rPr>
          <w:rFonts w:hint="eastAsia" w:ascii="SimHei" w:hAnsi="SimHei" w:eastAsia="黑体"/>
          <w:sz w:val="24"/>
          <w:szCs w:val="24"/>
        </w:rPr>
        <w:t>薪资调整：季度绩效结果汇总评分50%+岗位适度30%+360度考评20%</w:t>
      </w:r>
    </w:p>
    <w:p>
      <w:pPr>
        <w:tabs>
          <w:tab w:val="left" w:pos="709"/>
          <w:tab w:val="left" w:pos="851"/>
          <w:tab w:val="left" w:pos="8931"/>
        </w:tabs>
        <w:spacing w:line="360" w:lineRule="auto"/>
        <w:ind w:right="168" w:rightChars="80" w:firstLine="480" w:firstLineChars="200"/>
        <w:rPr>
          <w:rFonts w:ascii="楷体" w:hAnsi="楷体" w:eastAsia="楷体"/>
          <w:b/>
          <w:sz w:val="24"/>
          <w:szCs w:val="24"/>
        </w:rPr>
      </w:pPr>
      <w:r>
        <w:rPr>
          <w:rFonts w:hint="eastAsia" w:ascii="SimHei" w:hAnsi="SimHei" w:eastAsia="黑体"/>
          <w:sz w:val="24"/>
          <w:szCs w:val="24"/>
        </w:rPr>
        <w:t>职位晋升：季度绩效结果汇总评分30%+岗位适度50%+360度考评20%</w:t>
      </w:r>
    </w:p>
    <w:sectPr>
      <w:headerReference r:id="rId3" w:type="default"/>
      <w:footerReference r:id="rId5" w:type="default"/>
      <w:headerReference r:id="rId4" w:type="even"/>
      <w:pgSz w:w="11906" w:h="16838"/>
      <w:pgMar w:top="851" w:right="1474" w:bottom="851" w:left="1474" w:header="624" w:footer="39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E00002FF" w:usb1="420024FF" w:usb2="00000000" w:usb3="00000000" w:csb0="2000019F" w:csb1="00000000"/>
  </w:font>
  <w:font w:name="Arial">
    <w:panose1 w:val="020B0604020202020204"/>
    <w:charset w:val="00"/>
    <w:family w:val="swiss"/>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375588"/>
      <w:docPartObj>
        <w:docPartGallery w:val="AutoText"/>
      </w:docPartObj>
    </w:sdtPr>
    <w:sdtContent>
      <w:sdt>
        <w:sdtPr>
          <w:id w:val="171357217"/>
          <w:docPartObj>
            <w:docPartGallery w:val="AutoText"/>
          </w:docPartObj>
        </w:sdtPr>
        <w:sdtContent>
          <w:p>
            <w:pPr>
              <w:pStyle w:val="17"/>
              <w:jc w:val="center"/>
            </w:pPr>
            <w:r>
              <w:rPr>
                <w:lang w:val="zh-CN"/>
              </w:rPr>
              <w:t xml:space="preserve"> </w:t>
            </w:r>
          </w:p>
        </w:sdtContent>
      </w:sdt>
    </w:sdtContent>
  </w:sdt>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0231F"/>
    <w:multiLevelType w:val="multilevel"/>
    <w:tmpl w:val="1EE0231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3B1F41B2"/>
    <w:multiLevelType w:val="multilevel"/>
    <w:tmpl w:val="3B1F41B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5906FF4"/>
    <w:multiLevelType w:val="multilevel"/>
    <w:tmpl w:val="45906FF4"/>
    <w:lvl w:ilvl="0" w:tentative="0">
      <w:start w:val="1"/>
      <w:numFmt w:val="bullet"/>
      <w:lvlText w:val=""/>
      <w:lvlJc w:val="left"/>
      <w:pPr>
        <w:ind w:left="704" w:hanging="420"/>
      </w:pPr>
      <w:rPr>
        <w:rFonts w:hint="default" w:ascii="Wingdings" w:hAnsi="Wingdings"/>
      </w:rPr>
    </w:lvl>
    <w:lvl w:ilvl="1" w:tentative="0">
      <w:start w:val="1"/>
      <w:numFmt w:val="bullet"/>
      <w:lvlText w:val=""/>
      <w:lvlJc w:val="left"/>
      <w:pPr>
        <w:ind w:left="1124" w:hanging="420"/>
      </w:pPr>
      <w:rPr>
        <w:rFonts w:hint="default" w:ascii="Wingdings" w:hAnsi="Wingdings"/>
      </w:rPr>
    </w:lvl>
    <w:lvl w:ilvl="2" w:tentative="0">
      <w:start w:val="1"/>
      <w:numFmt w:val="bullet"/>
      <w:lvlText w:val=""/>
      <w:lvlJc w:val="left"/>
      <w:pPr>
        <w:ind w:left="1544" w:hanging="420"/>
      </w:pPr>
      <w:rPr>
        <w:rFonts w:hint="default" w:ascii="Wingdings" w:hAnsi="Wingdings"/>
      </w:rPr>
    </w:lvl>
    <w:lvl w:ilvl="3" w:tentative="0">
      <w:start w:val="1"/>
      <w:numFmt w:val="bullet"/>
      <w:lvlText w:val=""/>
      <w:lvlJc w:val="left"/>
      <w:pPr>
        <w:ind w:left="1964" w:hanging="420"/>
      </w:pPr>
      <w:rPr>
        <w:rFonts w:hint="default" w:ascii="Wingdings" w:hAnsi="Wingdings"/>
      </w:rPr>
    </w:lvl>
    <w:lvl w:ilvl="4" w:tentative="0">
      <w:start w:val="1"/>
      <w:numFmt w:val="bullet"/>
      <w:lvlText w:val=""/>
      <w:lvlJc w:val="left"/>
      <w:pPr>
        <w:ind w:left="2384" w:hanging="420"/>
      </w:pPr>
      <w:rPr>
        <w:rFonts w:hint="default" w:ascii="Wingdings" w:hAnsi="Wingdings"/>
      </w:rPr>
    </w:lvl>
    <w:lvl w:ilvl="5" w:tentative="0">
      <w:start w:val="1"/>
      <w:numFmt w:val="bullet"/>
      <w:lvlText w:val=""/>
      <w:lvlJc w:val="left"/>
      <w:pPr>
        <w:ind w:left="2804" w:hanging="420"/>
      </w:pPr>
      <w:rPr>
        <w:rFonts w:hint="default" w:ascii="Wingdings" w:hAnsi="Wingdings"/>
      </w:rPr>
    </w:lvl>
    <w:lvl w:ilvl="6" w:tentative="0">
      <w:start w:val="1"/>
      <w:numFmt w:val="bullet"/>
      <w:lvlText w:val=""/>
      <w:lvlJc w:val="left"/>
      <w:pPr>
        <w:ind w:left="3224" w:hanging="420"/>
      </w:pPr>
      <w:rPr>
        <w:rFonts w:hint="default" w:ascii="Wingdings" w:hAnsi="Wingdings"/>
      </w:rPr>
    </w:lvl>
    <w:lvl w:ilvl="7" w:tentative="0">
      <w:start w:val="1"/>
      <w:numFmt w:val="bullet"/>
      <w:lvlText w:val=""/>
      <w:lvlJc w:val="left"/>
      <w:pPr>
        <w:ind w:left="3644" w:hanging="420"/>
      </w:pPr>
      <w:rPr>
        <w:rFonts w:hint="default" w:ascii="Wingdings" w:hAnsi="Wingdings"/>
      </w:rPr>
    </w:lvl>
    <w:lvl w:ilvl="8" w:tentative="0">
      <w:start w:val="1"/>
      <w:numFmt w:val="bullet"/>
      <w:lvlText w:val=""/>
      <w:lvlJc w:val="left"/>
      <w:pPr>
        <w:ind w:left="4064" w:hanging="420"/>
      </w:pPr>
      <w:rPr>
        <w:rFonts w:hint="default" w:ascii="Wingdings" w:hAnsi="Wingdings"/>
      </w:rPr>
    </w:lvl>
  </w:abstractNum>
  <w:abstractNum w:abstractNumId="3">
    <w:nsid w:val="7ACD4F52"/>
    <w:multiLevelType w:val="multilevel"/>
    <w:tmpl w:val="7ACD4F5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166FB"/>
    <w:rsid w:val="00006ABB"/>
    <w:rsid w:val="00010909"/>
    <w:rsid w:val="0001235F"/>
    <w:rsid w:val="00013ABC"/>
    <w:rsid w:val="00014BFB"/>
    <w:rsid w:val="00023F19"/>
    <w:rsid w:val="00024A71"/>
    <w:rsid w:val="000303E7"/>
    <w:rsid w:val="00032F61"/>
    <w:rsid w:val="000343AE"/>
    <w:rsid w:val="000345B4"/>
    <w:rsid w:val="00041E75"/>
    <w:rsid w:val="000420E9"/>
    <w:rsid w:val="00042776"/>
    <w:rsid w:val="00043C30"/>
    <w:rsid w:val="0004433F"/>
    <w:rsid w:val="00044585"/>
    <w:rsid w:val="00045AEF"/>
    <w:rsid w:val="00061746"/>
    <w:rsid w:val="000650F9"/>
    <w:rsid w:val="000748CD"/>
    <w:rsid w:val="00077EC7"/>
    <w:rsid w:val="00081DBC"/>
    <w:rsid w:val="00085095"/>
    <w:rsid w:val="000857D0"/>
    <w:rsid w:val="00086340"/>
    <w:rsid w:val="000869EA"/>
    <w:rsid w:val="00086CAF"/>
    <w:rsid w:val="000A0C55"/>
    <w:rsid w:val="000A2AE6"/>
    <w:rsid w:val="000A40BD"/>
    <w:rsid w:val="000A43A6"/>
    <w:rsid w:val="000A6162"/>
    <w:rsid w:val="000B2740"/>
    <w:rsid w:val="000C078C"/>
    <w:rsid w:val="000C36A1"/>
    <w:rsid w:val="000D14BF"/>
    <w:rsid w:val="000D4B33"/>
    <w:rsid w:val="000E1036"/>
    <w:rsid w:val="000E40C1"/>
    <w:rsid w:val="000E42BA"/>
    <w:rsid w:val="000F1A6A"/>
    <w:rsid w:val="000F7696"/>
    <w:rsid w:val="00111FB9"/>
    <w:rsid w:val="0011384B"/>
    <w:rsid w:val="00115B9F"/>
    <w:rsid w:val="001166BE"/>
    <w:rsid w:val="00123782"/>
    <w:rsid w:val="00124E82"/>
    <w:rsid w:val="00130B46"/>
    <w:rsid w:val="00141727"/>
    <w:rsid w:val="00145518"/>
    <w:rsid w:val="00146C3E"/>
    <w:rsid w:val="001512FC"/>
    <w:rsid w:val="00154001"/>
    <w:rsid w:val="001549D9"/>
    <w:rsid w:val="0015518B"/>
    <w:rsid w:val="00157EF1"/>
    <w:rsid w:val="001878DF"/>
    <w:rsid w:val="00187968"/>
    <w:rsid w:val="001927B5"/>
    <w:rsid w:val="001971D8"/>
    <w:rsid w:val="001A23A0"/>
    <w:rsid w:val="001A5FAC"/>
    <w:rsid w:val="001B0091"/>
    <w:rsid w:val="001C3C17"/>
    <w:rsid w:val="001D4B84"/>
    <w:rsid w:val="001D5BA9"/>
    <w:rsid w:val="001D5F2E"/>
    <w:rsid w:val="001E0E65"/>
    <w:rsid w:val="001E4A57"/>
    <w:rsid w:val="001F0DDE"/>
    <w:rsid w:val="001F4125"/>
    <w:rsid w:val="001F4386"/>
    <w:rsid w:val="002013AC"/>
    <w:rsid w:val="002018D9"/>
    <w:rsid w:val="00203376"/>
    <w:rsid w:val="00203415"/>
    <w:rsid w:val="00204C6C"/>
    <w:rsid w:val="00204F81"/>
    <w:rsid w:val="00210DBD"/>
    <w:rsid w:val="002124B9"/>
    <w:rsid w:val="00212CFD"/>
    <w:rsid w:val="002154A1"/>
    <w:rsid w:val="0021696F"/>
    <w:rsid w:val="00216A9A"/>
    <w:rsid w:val="002266D8"/>
    <w:rsid w:val="00230B1D"/>
    <w:rsid w:val="0024258A"/>
    <w:rsid w:val="00245315"/>
    <w:rsid w:val="00246556"/>
    <w:rsid w:val="0024780F"/>
    <w:rsid w:val="00253023"/>
    <w:rsid w:val="0025305D"/>
    <w:rsid w:val="0025347A"/>
    <w:rsid w:val="0026367E"/>
    <w:rsid w:val="00264165"/>
    <w:rsid w:val="0027327C"/>
    <w:rsid w:val="00273995"/>
    <w:rsid w:val="00281661"/>
    <w:rsid w:val="00286114"/>
    <w:rsid w:val="00294D86"/>
    <w:rsid w:val="002A367F"/>
    <w:rsid w:val="002A5BD5"/>
    <w:rsid w:val="002A6123"/>
    <w:rsid w:val="002B08F1"/>
    <w:rsid w:val="002B0A57"/>
    <w:rsid w:val="002B5A6C"/>
    <w:rsid w:val="002B63CB"/>
    <w:rsid w:val="002B6CDC"/>
    <w:rsid w:val="002C059E"/>
    <w:rsid w:val="002C1E99"/>
    <w:rsid w:val="002C64A1"/>
    <w:rsid w:val="002D57D9"/>
    <w:rsid w:val="002D70A4"/>
    <w:rsid w:val="002E3F50"/>
    <w:rsid w:val="002E59C3"/>
    <w:rsid w:val="002E5ACB"/>
    <w:rsid w:val="00302869"/>
    <w:rsid w:val="00307C3B"/>
    <w:rsid w:val="00310DA5"/>
    <w:rsid w:val="003166FB"/>
    <w:rsid w:val="003171BB"/>
    <w:rsid w:val="00326248"/>
    <w:rsid w:val="003274DD"/>
    <w:rsid w:val="0033043E"/>
    <w:rsid w:val="0033069E"/>
    <w:rsid w:val="00330A36"/>
    <w:rsid w:val="003341A2"/>
    <w:rsid w:val="00351909"/>
    <w:rsid w:val="003524D4"/>
    <w:rsid w:val="00357136"/>
    <w:rsid w:val="00361217"/>
    <w:rsid w:val="00361BE5"/>
    <w:rsid w:val="00366467"/>
    <w:rsid w:val="00375FA1"/>
    <w:rsid w:val="003766C6"/>
    <w:rsid w:val="0037782D"/>
    <w:rsid w:val="00381B27"/>
    <w:rsid w:val="00383795"/>
    <w:rsid w:val="003A413C"/>
    <w:rsid w:val="003A53CB"/>
    <w:rsid w:val="003A7123"/>
    <w:rsid w:val="003A71F2"/>
    <w:rsid w:val="003B45F9"/>
    <w:rsid w:val="003B4B18"/>
    <w:rsid w:val="003B4F65"/>
    <w:rsid w:val="003C20F9"/>
    <w:rsid w:val="003C234C"/>
    <w:rsid w:val="003C4525"/>
    <w:rsid w:val="003D13B7"/>
    <w:rsid w:val="003D60B1"/>
    <w:rsid w:val="003E7B51"/>
    <w:rsid w:val="003F790A"/>
    <w:rsid w:val="0040342B"/>
    <w:rsid w:val="00403BFB"/>
    <w:rsid w:val="0041075D"/>
    <w:rsid w:val="0041671B"/>
    <w:rsid w:val="00427D4A"/>
    <w:rsid w:val="00431DD8"/>
    <w:rsid w:val="00437F94"/>
    <w:rsid w:val="00440AC7"/>
    <w:rsid w:val="00446531"/>
    <w:rsid w:val="00446C6E"/>
    <w:rsid w:val="00464FA5"/>
    <w:rsid w:val="004718B4"/>
    <w:rsid w:val="00473CA5"/>
    <w:rsid w:val="00477F50"/>
    <w:rsid w:val="0048128D"/>
    <w:rsid w:val="00481FE2"/>
    <w:rsid w:val="00492239"/>
    <w:rsid w:val="00494283"/>
    <w:rsid w:val="004975A8"/>
    <w:rsid w:val="00497F79"/>
    <w:rsid w:val="004A157D"/>
    <w:rsid w:val="004A4377"/>
    <w:rsid w:val="004A6774"/>
    <w:rsid w:val="004A7041"/>
    <w:rsid w:val="004B0593"/>
    <w:rsid w:val="004B0C51"/>
    <w:rsid w:val="004B0CD7"/>
    <w:rsid w:val="004B131F"/>
    <w:rsid w:val="004B1F3E"/>
    <w:rsid w:val="004B1FE6"/>
    <w:rsid w:val="004B3DB2"/>
    <w:rsid w:val="004B48D9"/>
    <w:rsid w:val="004B48F7"/>
    <w:rsid w:val="004B71BD"/>
    <w:rsid w:val="004C1013"/>
    <w:rsid w:val="004C2196"/>
    <w:rsid w:val="004C2E51"/>
    <w:rsid w:val="004D5E31"/>
    <w:rsid w:val="004D7022"/>
    <w:rsid w:val="004D7BA0"/>
    <w:rsid w:val="004E6F68"/>
    <w:rsid w:val="004F2A14"/>
    <w:rsid w:val="004F6FCE"/>
    <w:rsid w:val="00507AE4"/>
    <w:rsid w:val="005115E0"/>
    <w:rsid w:val="005200B1"/>
    <w:rsid w:val="00523BC2"/>
    <w:rsid w:val="0053163C"/>
    <w:rsid w:val="00533302"/>
    <w:rsid w:val="00541E65"/>
    <w:rsid w:val="00541E6B"/>
    <w:rsid w:val="005448CA"/>
    <w:rsid w:val="005462FF"/>
    <w:rsid w:val="00550688"/>
    <w:rsid w:val="00551297"/>
    <w:rsid w:val="00555620"/>
    <w:rsid w:val="00557C47"/>
    <w:rsid w:val="00557C94"/>
    <w:rsid w:val="00562106"/>
    <w:rsid w:val="00566ABC"/>
    <w:rsid w:val="00574FF2"/>
    <w:rsid w:val="00576666"/>
    <w:rsid w:val="00583618"/>
    <w:rsid w:val="00584BC4"/>
    <w:rsid w:val="005901FD"/>
    <w:rsid w:val="00596DE9"/>
    <w:rsid w:val="005A6A40"/>
    <w:rsid w:val="005A6F1F"/>
    <w:rsid w:val="005B0C4F"/>
    <w:rsid w:val="005B1AA4"/>
    <w:rsid w:val="005B3817"/>
    <w:rsid w:val="005B4D8A"/>
    <w:rsid w:val="005B6F9F"/>
    <w:rsid w:val="005B75D6"/>
    <w:rsid w:val="005C0017"/>
    <w:rsid w:val="005C3940"/>
    <w:rsid w:val="005C4F49"/>
    <w:rsid w:val="005D2E58"/>
    <w:rsid w:val="005D397A"/>
    <w:rsid w:val="005D3EA6"/>
    <w:rsid w:val="005E22F4"/>
    <w:rsid w:val="005E55AE"/>
    <w:rsid w:val="005E5F4E"/>
    <w:rsid w:val="005F33CB"/>
    <w:rsid w:val="005F7E1A"/>
    <w:rsid w:val="00600314"/>
    <w:rsid w:val="00602447"/>
    <w:rsid w:val="00604205"/>
    <w:rsid w:val="00606321"/>
    <w:rsid w:val="0060653E"/>
    <w:rsid w:val="006072DB"/>
    <w:rsid w:val="0063203F"/>
    <w:rsid w:val="006335EF"/>
    <w:rsid w:val="00655A1E"/>
    <w:rsid w:val="00661889"/>
    <w:rsid w:val="00662188"/>
    <w:rsid w:val="006621A9"/>
    <w:rsid w:val="0066382A"/>
    <w:rsid w:val="00663A78"/>
    <w:rsid w:val="006724EA"/>
    <w:rsid w:val="00673958"/>
    <w:rsid w:val="00681B31"/>
    <w:rsid w:val="00687BB2"/>
    <w:rsid w:val="00693C44"/>
    <w:rsid w:val="006A7AEE"/>
    <w:rsid w:val="006B3F02"/>
    <w:rsid w:val="006B40FB"/>
    <w:rsid w:val="006B4B9B"/>
    <w:rsid w:val="006B5112"/>
    <w:rsid w:val="006C0E69"/>
    <w:rsid w:val="006D2CA9"/>
    <w:rsid w:val="006D5014"/>
    <w:rsid w:val="006E3DD1"/>
    <w:rsid w:val="006E55D6"/>
    <w:rsid w:val="006F3F6D"/>
    <w:rsid w:val="00706180"/>
    <w:rsid w:val="00706365"/>
    <w:rsid w:val="00711E26"/>
    <w:rsid w:val="00711ED9"/>
    <w:rsid w:val="007142E3"/>
    <w:rsid w:val="00722A02"/>
    <w:rsid w:val="00722A31"/>
    <w:rsid w:val="007249BA"/>
    <w:rsid w:val="00727EFE"/>
    <w:rsid w:val="0073316D"/>
    <w:rsid w:val="00736331"/>
    <w:rsid w:val="00737B32"/>
    <w:rsid w:val="00740A5C"/>
    <w:rsid w:val="00751933"/>
    <w:rsid w:val="0075591E"/>
    <w:rsid w:val="00760C27"/>
    <w:rsid w:val="0076101C"/>
    <w:rsid w:val="00761E59"/>
    <w:rsid w:val="00763CC8"/>
    <w:rsid w:val="00764E51"/>
    <w:rsid w:val="00767392"/>
    <w:rsid w:val="00770555"/>
    <w:rsid w:val="00770E59"/>
    <w:rsid w:val="00784FD0"/>
    <w:rsid w:val="00786381"/>
    <w:rsid w:val="00786CC0"/>
    <w:rsid w:val="00791658"/>
    <w:rsid w:val="00792B49"/>
    <w:rsid w:val="00793F99"/>
    <w:rsid w:val="007A3B73"/>
    <w:rsid w:val="007A5D71"/>
    <w:rsid w:val="007A6066"/>
    <w:rsid w:val="007A6AB9"/>
    <w:rsid w:val="007B382F"/>
    <w:rsid w:val="007B6060"/>
    <w:rsid w:val="007C0F0C"/>
    <w:rsid w:val="007F0276"/>
    <w:rsid w:val="007F1A08"/>
    <w:rsid w:val="007F2225"/>
    <w:rsid w:val="007F42CF"/>
    <w:rsid w:val="007F64F0"/>
    <w:rsid w:val="00800891"/>
    <w:rsid w:val="00800FC4"/>
    <w:rsid w:val="00811ACD"/>
    <w:rsid w:val="00815174"/>
    <w:rsid w:val="008152EB"/>
    <w:rsid w:val="00821E2D"/>
    <w:rsid w:val="00823631"/>
    <w:rsid w:val="00823D97"/>
    <w:rsid w:val="008263BE"/>
    <w:rsid w:val="00830E82"/>
    <w:rsid w:val="00831DE4"/>
    <w:rsid w:val="00832403"/>
    <w:rsid w:val="00837532"/>
    <w:rsid w:val="008404EF"/>
    <w:rsid w:val="008407B2"/>
    <w:rsid w:val="00843DFA"/>
    <w:rsid w:val="0087000E"/>
    <w:rsid w:val="00871828"/>
    <w:rsid w:val="00871DD2"/>
    <w:rsid w:val="00874C11"/>
    <w:rsid w:val="008765EF"/>
    <w:rsid w:val="00877A55"/>
    <w:rsid w:val="0088420A"/>
    <w:rsid w:val="00886192"/>
    <w:rsid w:val="0089464A"/>
    <w:rsid w:val="008A0262"/>
    <w:rsid w:val="008A0841"/>
    <w:rsid w:val="008B2A16"/>
    <w:rsid w:val="008B2B46"/>
    <w:rsid w:val="008B31F3"/>
    <w:rsid w:val="008B6626"/>
    <w:rsid w:val="008B6E85"/>
    <w:rsid w:val="008B7627"/>
    <w:rsid w:val="008C3838"/>
    <w:rsid w:val="008C5AC1"/>
    <w:rsid w:val="008D37CE"/>
    <w:rsid w:val="008D53CE"/>
    <w:rsid w:val="008E0FC0"/>
    <w:rsid w:val="008E151B"/>
    <w:rsid w:val="008E6891"/>
    <w:rsid w:val="008F2BAB"/>
    <w:rsid w:val="008F3B5C"/>
    <w:rsid w:val="008F437A"/>
    <w:rsid w:val="008F6440"/>
    <w:rsid w:val="00906D3F"/>
    <w:rsid w:val="00912FCB"/>
    <w:rsid w:val="009157D9"/>
    <w:rsid w:val="00915896"/>
    <w:rsid w:val="00916FE2"/>
    <w:rsid w:val="00932EBE"/>
    <w:rsid w:val="00934123"/>
    <w:rsid w:val="009343D9"/>
    <w:rsid w:val="00944585"/>
    <w:rsid w:val="009515F7"/>
    <w:rsid w:val="00960EC1"/>
    <w:rsid w:val="00966EF9"/>
    <w:rsid w:val="00970353"/>
    <w:rsid w:val="00971BE2"/>
    <w:rsid w:val="009727E6"/>
    <w:rsid w:val="0097622B"/>
    <w:rsid w:val="00977D7F"/>
    <w:rsid w:val="00982387"/>
    <w:rsid w:val="00983044"/>
    <w:rsid w:val="00983275"/>
    <w:rsid w:val="00986527"/>
    <w:rsid w:val="00990171"/>
    <w:rsid w:val="0099130A"/>
    <w:rsid w:val="009977EE"/>
    <w:rsid w:val="009B5AE6"/>
    <w:rsid w:val="009B78FF"/>
    <w:rsid w:val="009C0269"/>
    <w:rsid w:val="009C35DB"/>
    <w:rsid w:val="009C3B44"/>
    <w:rsid w:val="009C49BF"/>
    <w:rsid w:val="009D1FB4"/>
    <w:rsid w:val="009D4FE1"/>
    <w:rsid w:val="009D60A1"/>
    <w:rsid w:val="009E47A0"/>
    <w:rsid w:val="009F5079"/>
    <w:rsid w:val="00A007A4"/>
    <w:rsid w:val="00A04ADD"/>
    <w:rsid w:val="00A05BEA"/>
    <w:rsid w:val="00A06C27"/>
    <w:rsid w:val="00A11469"/>
    <w:rsid w:val="00A15CE6"/>
    <w:rsid w:val="00A202FE"/>
    <w:rsid w:val="00A22B4B"/>
    <w:rsid w:val="00A23A6A"/>
    <w:rsid w:val="00A3274F"/>
    <w:rsid w:val="00A4043E"/>
    <w:rsid w:val="00A411F8"/>
    <w:rsid w:val="00A41A5D"/>
    <w:rsid w:val="00A44B91"/>
    <w:rsid w:val="00A545BF"/>
    <w:rsid w:val="00A60F49"/>
    <w:rsid w:val="00A6316B"/>
    <w:rsid w:val="00A663C8"/>
    <w:rsid w:val="00A7054B"/>
    <w:rsid w:val="00A730B0"/>
    <w:rsid w:val="00A75806"/>
    <w:rsid w:val="00A7671E"/>
    <w:rsid w:val="00A81470"/>
    <w:rsid w:val="00A83298"/>
    <w:rsid w:val="00A84C43"/>
    <w:rsid w:val="00A95BE1"/>
    <w:rsid w:val="00A96DDF"/>
    <w:rsid w:val="00A96F01"/>
    <w:rsid w:val="00A97966"/>
    <w:rsid w:val="00AA1ED4"/>
    <w:rsid w:val="00AA53E0"/>
    <w:rsid w:val="00AA5EBF"/>
    <w:rsid w:val="00AB0307"/>
    <w:rsid w:val="00AB1BD6"/>
    <w:rsid w:val="00AB2006"/>
    <w:rsid w:val="00AB23F6"/>
    <w:rsid w:val="00AB2795"/>
    <w:rsid w:val="00AB47FD"/>
    <w:rsid w:val="00AD0BB3"/>
    <w:rsid w:val="00AE1190"/>
    <w:rsid w:val="00AE1949"/>
    <w:rsid w:val="00AE20C7"/>
    <w:rsid w:val="00AE3CA0"/>
    <w:rsid w:val="00AE7E7D"/>
    <w:rsid w:val="00AF0BD2"/>
    <w:rsid w:val="00AF1DEC"/>
    <w:rsid w:val="00AF68A9"/>
    <w:rsid w:val="00B039BF"/>
    <w:rsid w:val="00B108DD"/>
    <w:rsid w:val="00B11372"/>
    <w:rsid w:val="00B225A8"/>
    <w:rsid w:val="00B2343A"/>
    <w:rsid w:val="00B27942"/>
    <w:rsid w:val="00B37DE2"/>
    <w:rsid w:val="00B41260"/>
    <w:rsid w:val="00B509CE"/>
    <w:rsid w:val="00B50E42"/>
    <w:rsid w:val="00B53EDC"/>
    <w:rsid w:val="00B63290"/>
    <w:rsid w:val="00B634E0"/>
    <w:rsid w:val="00B71E81"/>
    <w:rsid w:val="00B71FAE"/>
    <w:rsid w:val="00B84D2A"/>
    <w:rsid w:val="00B907D8"/>
    <w:rsid w:val="00B954F5"/>
    <w:rsid w:val="00BA2E76"/>
    <w:rsid w:val="00BA45FD"/>
    <w:rsid w:val="00BC394B"/>
    <w:rsid w:val="00BC712E"/>
    <w:rsid w:val="00BD44C6"/>
    <w:rsid w:val="00BD5368"/>
    <w:rsid w:val="00BD5D88"/>
    <w:rsid w:val="00BD6A16"/>
    <w:rsid w:val="00BD742C"/>
    <w:rsid w:val="00BE343C"/>
    <w:rsid w:val="00BF7F30"/>
    <w:rsid w:val="00C05782"/>
    <w:rsid w:val="00C07C90"/>
    <w:rsid w:val="00C126F6"/>
    <w:rsid w:val="00C31DCD"/>
    <w:rsid w:val="00C37F30"/>
    <w:rsid w:val="00C54363"/>
    <w:rsid w:val="00C54587"/>
    <w:rsid w:val="00C6620E"/>
    <w:rsid w:val="00C71069"/>
    <w:rsid w:val="00C75AC9"/>
    <w:rsid w:val="00C778A2"/>
    <w:rsid w:val="00C81386"/>
    <w:rsid w:val="00C84F0E"/>
    <w:rsid w:val="00C95278"/>
    <w:rsid w:val="00C956DD"/>
    <w:rsid w:val="00C97998"/>
    <w:rsid w:val="00C97B64"/>
    <w:rsid w:val="00CA19D4"/>
    <w:rsid w:val="00CA1DDF"/>
    <w:rsid w:val="00CA4665"/>
    <w:rsid w:val="00CB06BB"/>
    <w:rsid w:val="00CB129A"/>
    <w:rsid w:val="00CB6C6D"/>
    <w:rsid w:val="00CC0537"/>
    <w:rsid w:val="00CC0899"/>
    <w:rsid w:val="00CC0A0D"/>
    <w:rsid w:val="00CC0CD2"/>
    <w:rsid w:val="00CC231C"/>
    <w:rsid w:val="00CC6075"/>
    <w:rsid w:val="00CC6C77"/>
    <w:rsid w:val="00CD1602"/>
    <w:rsid w:val="00CD1A49"/>
    <w:rsid w:val="00CD370D"/>
    <w:rsid w:val="00CE44B4"/>
    <w:rsid w:val="00CF4E4B"/>
    <w:rsid w:val="00CF623D"/>
    <w:rsid w:val="00CF6693"/>
    <w:rsid w:val="00CF7278"/>
    <w:rsid w:val="00CF7DE5"/>
    <w:rsid w:val="00D000C9"/>
    <w:rsid w:val="00D04E2A"/>
    <w:rsid w:val="00D10DF2"/>
    <w:rsid w:val="00D11EE9"/>
    <w:rsid w:val="00D12100"/>
    <w:rsid w:val="00D1332D"/>
    <w:rsid w:val="00D15F5B"/>
    <w:rsid w:val="00D2285A"/>
    <w:rsid w:val="00D23EDE"/>
    <w:rsid w:val="00D31EF8"/>
    <w:rsid w:val="00D44282"/>
    <w:rsid w:val="00D46CC6"/>
    <w:rsid w:val="00D50251"/>
    <w:rsid w:val="00D5295B"/>
    <w:rsid w:val="00D54C8A"/>
    <w:rsid w:val="00D56915"/>
    <w:rsid w:val="00D60C31"/>
    <w:rsid w:val="00D63CB9"/>
    <w:rsid w:val="00D64CF7"/>
    <w:rsid w:val="00D64FAF"/>
    <w:rsid w:val="00D67D75"/>
    <w:rsid w:val="00D72D4C"/>
    <w:rsid w:val="00D7437D"/>
    <w:rsid w:val="00D81F78"/>
    <w:rsid w:val="00D85A92"/>
    <w:rsid w:val="00D860DD"/>
    <w:rsid w:val="00D875A0"/>
    <w:rsid w:val="00D92F73"/>
    <w:rsid w:val="00D94B83"/>
    <w:rsid w:val="00D95E3D"/>
    <w:rsid w:val="00DA1118"/>
    <w:rsid w:val="00DA1C43"/>
    <w:rsid w:val="00DB140F"/>
    <w:rsid w:val="00DB2995"/>
    <w:rsid w:val="00DB2E63"/>
    <w:rsid w:val="00DB5ED1"/>
    <w:rsid w:val="00DB79E6"/>
    <w:rsid w:val="00DB7FA0"/>
    <w:rsid w:val="00DC1834"/>
    <w:rsid w:val="00DC2E1F"/>
    <w:rsid w:val="00DD127E"/>
    <w:rsid w:val="00DD168A"/>
    <w:rsid w:val="00DD410C"/>
    <w:rsid w:val="00DE340C"/>
    <w:rsid w:val="00DE4B1C"/>
    <w:rsid w:val="00DE4DDD"/>
    <w:rsid w:val="00DF3ECC"/>
    <w:rsid w:val="00DF4313"/>
    <w:rsid w:val="00DF4F75"/>
    <w:rsid w:val="00E00816"/>
    <w:rsid w:val="00E016BC"/>
    <w:rsid w:val="00E01C8B"/>
    <w:rsid w:val="00E01EEC"/>
    <w:rsid w:val="00E02541"/>
    <w:rsid w:val="00E03F64"/>
    <w:rsid w:val="00E164BF"/>
    <w:rsid w:val="00E16BF7"/>
    <w:rsid w:val="00E25749"/>
    <w:rsid w:val="00E2688F"/>
    <w:rsid w:val="00E279FC"/>
    <w:rsid w:val="00E3050A"/>
    <w:rsid w:val="00E3332F"/>
    <w:rsid w:val="00E3340C"/>
    <w:rsid w:val="00E37882"/>
    <w:rsid w:val="00E561DC"/>
    <w:rsid w:val="00E563D0"/>
    <w:rsid w:val="00E65150"/>
    <w:rsid w:val="00E65EC2"/>
    <w:rsid w:val="00E6658F"/>
    <w:rsid w:val="00E747AF"/>
    <w:rsid w:val="00E74EC9"/>
    <w:rsid w:val="00E83EB6"/>
    <w:rsid w:val="00E864AD"/>
    <w:rsid w:val="00E90B46"/>
    <w:rsid w:val="00E90D7C"/>
    <w:rsid w:val="00E91034"/>
    <w:rsid w:val="00E97E98"/>
    <w:rsid w:val="00EA0791"/>
    <w:rsid w:val="00EA259C"/>
    <w:rsid w:val="00EA4512"/>
    <w:rsid w:val="00EA7F48"/>
    <w:rsid w:val="00EB62F6"/>
    <w:rsid w:val="00EC05B1"/>
    <w:rsid w:val="00EC285F"/>
    <w:rsid w:val="00EC560B"/>
    <w:rsid w:val="00EC6F7F"/>
    <w:rsid w:val="00EC70C0"/>
    <w:rsid w:val="00EC73EA"/>
    <w:rsid w:val="00ED2793"/>
    <w:rsid w:val="00ED27EB"/>
    <w:rsid w:val="00EE0ABF"/>
    <w:rsid w:val="00EE39C6"/>
    <w:rsid w:val="00EE5AB2"/>
    <w:rsid w:val="00EF04CB"/>
    <w:rsid w:val="00EF529B"/>
    <w:rsid w:val="00EF72BE"/>
    <w:rsid w:val="00F01449"/>
    <w:rsid w:val="00F13A30"/>
    <w:rsid w:val="00F2503D"/>
    <w:rsid w:val="00F3765A"/>
    <w:rsid w:val="00F407C5"/>
    <w:rsid w:val="00F4280D"/>
    <w:rsid w:val="00F431E3"/>
    <w:rsid w:val="00F4540C"/>
    <w:rsid w:val="00F50707"/>
    <w:rsid w:val="00F51D4F"/>
    <w:rsid w:val="00F52BFE"/>
    <w:rsid w:val="00F62396"/>
    <w:rsid w:val="00F665D4"/>
    <w:rsid w:val="00F70C49"/>
    <w:rsid w:val="00F72B33"/>
    <w:rsid w:val="00F73D91"/>
    <w:rsid w:val="00F74C60"/>
    <w:rsid w:val="00F77C48"/>
    <w:rsid w:val="00F77CF0"/>
    <w:rsid w:val="00F8496D"/>
    <w:rsid w:val="00F91988"/>
    <w:rsid w:val="00F921CA"/>
    <w:rsid w:val="00F9489D"/>
    <w:rsid w:val="00F96218"/>
    <w:rsid w:val="00FA03A9"/>
    <w:rsid w:val="00FA4691"/>
    <w:rsid w:val="00FA7467"/>
    <w:rsid w:val="00FB59E2"/>
    <w:rsid w:val="00FB6F33"/>
    <w:rsid w:val="00FC0188"/>
    <w:rsid w:val="00FC1D0B"/>
    <w:rsid w:val="00FC2577"/>
    <w:rsid w:val="00FC5473"/>
    <w:rsid w:val="00FC6252"/>
    <w:rsid w:val="00FD3368"/>
    <w:rsid w:val="00FD3F45"/>
    <w:rsid w:val="00FF1199"/>
    <w:rsid w:val="00FF27C4"/>
    <w:rsid w:val="00FF556C"/>
    <w:rsid w:val="7EBF62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qFormat/>
    <w:uiPriority w:val="9"/>
    <w:pPr>
      <w:keepNext/>
      <w:keepLines/>
      <w:widowControl/>
      <w:spacing w:before="480" w:line="276" w:lineRule="auto"/>
      <w:jc w:val="left"/>
      <w:outlineLvl w:val="0"/>
    </w:pPr>
    <w:rPr>
      <w:rFonts w:asciiTheme="majorHAnsi" w:hAnsiTheme="majorHAnsi" w:eastAsiaTheme="majorEastAsia" w:cstheme="majorBidi"/>
      <w:b/>
      <w:bCs/>
      <w:color w:val="366091" w:themeColor="accent1" w:themeShade="BF"/>
      <w:kern w:val="0"/>
      <w:sz w:val="28"/>
      <w:szCs w:val="28"/>
    </w:rPr>
  </w:style>
  <w:style w:type="paragraph" w:styleId="3">
    <w:name w:val="heading 2"/>
    <w:basedOn w:val="1"/>
    <w:next w:val="1"/>
    <w:link w:val="42"/>
    <w:unhideWhenUsed/>
    <w:qFormat/>
    <w:uiPriority w:val="9"/>
    <w:pPr>
      <w:keepNext/>
      <w:keepLines/>
      <w:spacing w:before="260" w:after="260" w:line="416" w:lineRule="auto"/>
      <w:outlineLvl w:val="1"/>
    </w:pPr>
    <w:rPr>
      <w:rFonts w:asciiTheme="majorHAnsi" w:hAnsiTheme="majorHAnsi" w:eastAsiaTheme="majorEastAsia" w:cstheme="majorBidi"/>
      <w:b/>
      <w:bCs/>
      <w:sz w:val="28"/>
      <w:szCs w:val="32"/>
    </w:rPr>
  </w:style>
  <w:style w:type="paragraph" w:styleId="4">
    <w:name w:val="heading 3"/>
    <w:basedOn w:val="1"/>
    <w:next w:val="1"/>
    <w:link w:val="40"/>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0"/>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51"/>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52"/>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Layout w:type="fixed"/>
      <w:tblCellMar>
        <w:top w:w="0" w:type="dxa"/>
        <w:left w:w="108" w:type="dxa"/>
        <w:bottom w:w="0" w:type="dxa"/>
        <w:right w:w="108" w:type="dxa"/>
      </w:tblCellMar>
    </w:tblPr>
  </w:style>
  <w:style w:type="paragraph" w:styleId="8">
    <w:name w:val="toc 7"/>
    <w:basedOn w:val="1"/>
    <w:next w:val="1"/>
    <w:unhideWhenUsed/>
    <w:uiPriority w:val="39"/>
    <w:pPr>
      <w:ind w:left="1260"/>
      <w:jc w:val="left"/>
    </w:pPr>
    <w:rPr>
      <w:sz w:val="18"/>
      <w:szCs w:val="18"/>
    </w:rPr>
  </w:style>
  <w:style w:type="paragraph" w:styleId="9">
    <w:name w:val="annotation text"/>
    <w:basedOn w:val="1"/>
    <w:link w:val="48"/>
    <w:unhideWhenUsed/>
    <w:qFormat/>
    <w:uiPriority w:val="99"/>
    <w:pPr>
      <w:jc w:val="left"/>
    </w:pPr>
  </w:style>
  <w:style w:type="paragraph" w:styleId="10">
    <w:name w:val="toc 5"/>
    <w:basedOn w:val="1"/>
    <w:next w:val="1"/>
    <w:unhideWhenUsed/>
    <w:uiPriority w:val="39"/>
    <w:pPr>
      <w:ind w:left="840"/>
      <w:jc w:val="left"/>
    </w:pPr>
    <w:rPr>
      <w:sz w:val="18"/>
      <w:szCs w:val="18"/>
    </w:rPr>
  </w:style>
  <w:style w:type="paragraph" w:styleId="11">
    <w:name w:val="toc 3"/>
    <w:basedOn w:val="1"/>
    <w:next w:val="1"/>
    <w:unhideWhenUsed/>
    <w:qFormat/>
    <w:uiPriority w:val="39"/>
    <w:pPr>
      <w:ind w:left="420"/>
      <w:jc w:val="left"/>
    </w:pPr>
    <w:rPr>
      <w:i/>
      <w:iCs/>
      <w:sz w:val="20"/>
      <w:szCs w:val="20"/>
    </w:rPr>
  </w:style>
  <w:style w:type="paragraph" w:styleId="12">
    <w:name w:val="Plain Text"/>
    <w:basedOn w:val="1"/>
    <w:link w:val="46"/>
    <w:qFormat/>
    <w:uiPriority w:val="0"/>
    <w:pPr>
      <w:spacing w:line="276" w:lineRule="auto"/>
      <w:ind w:left="284"/>
      <w:jc w:val="left"/>
    </w:pPr>
    <w:rPr>
      <w:rFonts w:ascii="微软雅黑" w:hAnsi="微软雅黑" w:eastAsia="微软雅黑" w:cs="宋体"/>
      <w:szCs w:val="21"/>
    </w:rPr>
  </w:style>
  <w:style w:type="paragraph" w:styleId="13">
    <w:name w:val="toc 8"/>
    <w:basedOn w:val="1"/>
    <w:next w:val="1"/>
    <w:unhideWhenUsed/>
    <w:uiPriority w:val="39"/>
    <w:pPr>
      <w:ind w:left="1470"/>
      <w:jc w:val="left"/>
    </w:pPr>
    <w:rPr>
      <w:sz w:val="18"/>
      <w:szCs w:val="18"/>
    </w:rPr>
  </w:style>
  <w:style w:type="paragraph" w:styleId="14">
    <w:name w:val="Date"/>
    <w:basedOn w:val="1"/>
    <w:next w:val="1"/>
    <w:link w:val="53"/>
    <w:semiHidden/>
    <w:unhideWhenUsed/>
    <w:qFormat/>
    <w:uiPriority w:val="99"/>
    <w:pPr>
      <w:ind w:left="100" w:leftChars="2500"/>
    </w:pPr>
  </w:style>
  <w:style w:type="paragraph" w:styleId="15">
    <w:name w:val="endnote text"/>
    <w:basedOn w:val="1"/>
    <w:link w:val="45"/>
    <w:semiHidden/>
    <w:unhideWhenUsed/>
    <w:qFormat/>
    <w:uiPriority w:val="99"/>
    <w:pPr>
      <w:snapToGrid w:val="0"/>
      <w:jc w:val="left"/>
    </w:pPr>
  </w:style>
  <w:style w:type="paragraph" w:styleId="16">
    <w:name w:val="Balloon Text"/>
    <w:basedOn w:val="1"/>
    <w:link w:val="38"/>
    <w:semiHidden/>
    <w:unhideWhenUsed/>
    <w:qFormat/>
    <w:uiPriority w:val="99"/>
    <w:rPr>
      <w:sz w:val="18"/>
      <w:szCs w:val="18"/>
    </w:rPr>
  </w:style>
  <w:style w:type="paragraph" w:styleId="17">
    <w:name w:val="footer"/>
    <w:basedOn w:val="1"/>
    <w:link w:val="37"/>
    <w:unhideWhenUsed/>
    <w:qFormat/>
    <w:uiPriority w:val="99"/>
    <w:pPr>
      <w:tabs>
        <w:tab w:val="center" w:pos="4153"/>
        <w:tab w:val="right" w:pos="8306"/>
      </w:tabs>
      <w:snapToGrid w:val="0"/>
      <w:jc w:val="left"/>
    </w:pPr>
    <w:rPr>
      <w:sz w:val="18"/>
      <w:szCs w:val="18"/>
    </w:rPr>
  </w:style>
  <w:style w:type="paragraph" w:styleId="18">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pPr>
      <w:tabs>
        <w:tab w:val="right" w:leader="dot" w:pos="8505"/>
      </w:tabs>
      <w:spacing w:line="360" w:lineRule="auto"/>
      <w:ind w:right="25" w:rightChars="12" w:firstLine="400" w:firstLineChars="200"/>
    </w:pPr>
    <w:rPr>
      <w:rFonts w:ascii="微软雅黑" w:hAnsi="微软雅黑" w:eastAsia="微软雅黑"/>
      <w:b/>
      <w:bCs/>
      <w:caps/>
      <w:kern w:val="0"/>
      <w:sz w:val="20"/>
      <w:szCs w:val="20"/>
    </w:rPr>
  </w:style>
  <w:style w:type="paragraph" w:styleId="20">
    <w:name w:val="toc 4"/>
    <w:basedOn w:val="1"/>
    <w:next w:val="1"/>
    <w:unhideWhenUsed/>
    <w:uiPriority w:val="39"/>
    <w:pPr>
      <w:ind w:left="630"/>
      <w:jc w:val="left"/>
    </w:pPr>
    <w:rPr>
      <w:sz w:val="18"/>
      <w:szCs w:val="18"/>
    </w:rPr>
  </w:style>
  <w:style w:type="paragraph" w:styleId="21">
    <w:name w:val="footnote text"/>
    <w:basedOn w:val="1"/>
    <w:link w:val="44"/>
    <w:semiHidden/>
    <w:unhideWhenUsed/>
    <w:qFormat/>
    <w:uiPriority w:val="99"/>
    <w:pPr>
      <w:snapToGrid w:val="0"/>
      <w:jc w:val="left"/>
    </w:pPr>
    <w:rPr>
      <w:sz w:val="18"/>
      <w:szCs w:val="18"/>
    </w:rPr>
  </w:style>
  <w:style w:type="paragraph" w:styleId="22">
    <w:name w:val="toc 6"/>
    <w:basedOn w:val="1"/>
    <w:next w:val="1"/>
    <w:unhideWhenUsed/>
    <w:uiPriority w:val="39"/>
    <w:pPr>
      <w:ind w:left="1050"/>
      <w:jc w:val="left"/>
    </w:pPr>
    <w:rPr>
      <w:sz w:val="18"/>
      <w:szCs w:val="18"/>
    </w:rPr>
  </w:style>
  <w:style w:type="paragraph" w:styleId="23">
    <w:name w:val="toc 2"/>
    <w:basedOn w:val="1"/>
    <w:next w:val="1"/>
    <w:unhideWhenUsed/>
    <w:qFormat/>
    <w:uiPriority w:val="39"/>
    <w:pPr>
      <w:ind w:left="210"/>
      <w:jc w:val="left"/>
    </w:pPr>
    <w:rPr>
      <w:smallCaps/>
      <w:sz w:val="20"/>
      <w:szCs w:val="20"/>
    </w:rPr>
  </w:style>
  <w:style w:type="paragraph" w:styleId="24">
    <w:name w:val="toc 9"/>
    <w:basedOn w:val="1"/>
    <w:next w:val="1"/>
    <w:unhideWhenUsed/>
    <w:uiPriority w:val="39"/>
    <w:pPr>
      <w:ind w:left="1680"/>
      <w:jc w:val="left"/>
    </w:pPr>
    <w:rPr>
      <w:sz w:val="18"/>
      <w:szCs w:val="18"/>
    </w:rPr>
  </w:style>
  <w:style w:type="paragraph" w:styleId="25">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26">
    <w:name w:val="Title"/>
    <w:basedOn w:val="1"/>
    <w:next w:val="1"/>
    <w:link w:val="54"/>
    <w:qFormat/>
    <w:uiPriority w:val="0"/>
    <w:pPr>
      <w:adjustRightInd w:val="0"/>
      <w:spacing w:before="240" w:after="60" w:line="312" w:lineRule="atLeast"/>
      <w:jc w:val="center"/>
      <w:textAlignment w:val="baseline"/>
      <w:outlineLvl w:val="0"/>
    </w:pPr>
    <w:rPr>
      <w:rFonts w:ascii="Cambria" w:hAnsi="Cambria" w:eastAsia="宋体" w:cs="Times New Roman"/>
      <w:b/>
      <w:bCs/>
      <w:kern w:val="0"/>
      <w:sz w:val="32"/>
      <w:szCs w:val="32"/>
    </w:rPr>
  </w:style>
  <w:style w:type="paragraph" w:styleId="27">
    <w:name w:val="annotation subject"/>
    <w:basedOn w:val="9"/>
    <w:next w:val="9"/>
    <w:link w:val="49"/>
    <w:semiHidden/>
    <w:unhideWhenUsed/>
    <w:qFormat/>
    <w:uiPriority w:val="99"/>
    <w:rPr>
      <w:b/>
      <w:bCs/>
    </w:rPr>
  </w:style>
  <w:style w:type="table" w:styleId="29">
    <w:name w:val="Table Grid"/>
    <w:basedOn w:val="28"/>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31">
    <w:name w:val="endnote reference"/>
    <w:basedOn w:val="30"/>
    <w:semiHidden/>
    <w:unhideWhenUsed/>
    <w:qFormat/>
    <w:uiPriority w:val="99"/>
    <w:rPr>
      <w:vertAlign w:val="superscript"/>
    </w:rPr>
  </w:style>
  <w:style w:type="character" w:styleId="32">
    <w:name w:val="FollowedHyperlink"/>
    <w:basedOn w:val="30"/>
    <w:semiHidden/>
    <w:unhideWhenUsed/>
    <w:qFormat/>
    <w:uiPriority w:val="99"/>
    <w:rPr>
      <w:color w:val="800080" w:themeColor="followedHyperlink"/>
      <w:u w:val="single"/>
    </w:rPr>
  </w:style>
  <w:style w:type="character" w:styleId="33">
    <w:name w:val="Hyperlink"/>
    <w:basedOn w:val="30"/>
    <w:unhideWhenUsed/>
    <w:qFormat/>
    <w:uiPriority w:val="99"/>
    <w:rPr>
      <w:color w:val="0000FF"/>
      <w:u w:val="single"/>
    </w:rPr>
  </w:style>
  <w:style w:type="character" w:styleId="34">
    <w:name w:val="annotation reference"/>
    <w:basedOn w:val="30"/>
    <w:semiHidden/>
    <w:unhideWhenUsed/>
    <w:uiPriority w:val="99"/>
    <w:rPr>
      <w:sz w:val="21"/>
      <w:szCs w:val="21"/>
    </w:rPr>
  </w:style>
  <w:style w:type="character" w:styleId="35">
    <w:name w:val="footnote reference"/>
    <w:basedOn w:val="30"/>
    <w:semiHidden/>
    <w:unhideWhenUsed/>
    <w:qFormat/>
    <w:uiPriority w:val="99"/>
    <w:rPr>
      <w:vertAlign w:val="superscript"/>
    </w:rPr>
  </w:style>
  <w:style w:type="character" w:customStyle="1" w:styleId="36">
    <w:name w:val="页眉 Char"/>
    <w:basedOn w:val="30"/>
    <w:link w:val="18"/>
    <w:qFormat/>
    <w:uiPriority w:val="99"/>
    <w:rPr>
      <w:sz w:val="18"/>
      <w:szCs w:val="18"/>
    </w:rPr>
  </w:style>
  <w:style w:type="character" w:customStyle="1" w:styleId="37">
    <w:name w:val="页脚 Char"/>
    <w:basedOn w:val="30"/>
    <w:link w:val="17"/>
    <w:qFormat/>
    <w:uiPriority w:val="99"/>
    <w:rPr>
      <w:sz w:val="18"/>
      <w:szCs w:val="18"/>
    </w:rPr>
  </w:style>
  <w:style w:type="character" w:customStyle="1" w:styleId="38">
    <w:name w:val="批注框文本 Char"/>
    <w:basedOn w:val="30"/>
    <w:link w:val="16"/>
    <w:semiHidden/>
    <w:qFormat/>
    <w:uiPriority w:val="99"/>
    <w:rPr>
      <w:sz w:val="18"/>
      <w:szCs w:val="18"/>
    </w:rPr>
  </w:style>
  <w:style w:type="character" w:customStyle="1" w:styleId="39">
    <w:name w:val="标题 1 Char"/>
    <w:basedOn w:val="30"/>
    <w:link w:val="2"/>
    <w:qFormat/>
    <w:uiPriority w:val="9"/>
    <w:rPr>
      <w:rFonts w:asciiTheme="majorHAnsi" w:hAnsiTheme="majorHAnsi" w:eastAsiaTheme="majorEastAsia" w:cstheme="majorBidi"/>
      <w:b/>
      <w:bCs/>
      <w:color w:val="366091" w:themeColor="accent1" w:themeShade="BF"/>
      <w:kern w:val="0"/>
      <w:sz w:val="28"/>
      <w:szCs w:val="28"/>
    </w:rPr>
  </w:style>
  <w:style w:type="character" w:customStyle="1" w:styleId="40">
    <w:name w:val="标题 3 Char"/>
    <w:basedOn w:val="30"/>
    <w:link w:val="4"/>
    <w:qFormat/>
    <w:uiPriority w:val="9"/>
    <w:rPr>
      <w:b/>
      <w:bCs/>
      <w:sz w:val="32"/>
      <w:szCs w:val="32"/>
    </w:rPr>
  </w:style>
  <w:style w:type="character" w:customStyle="1" w:styleId="41">
    <w:name w:val="headline-content"/>
    <w:basedOn w:val="30"/>
    <w:qFormat/>
    <w:uiPriority w:val="0"/>
  </w:style>
  <w:style w:type="character" w:customStyle="1" w:styleId="42">
    <w:name w:val="标题 2 Char"/>
    <w:basedOn w:val="30"/>
    <w:link w:val="3"/>
    <w:qFormat/>
    <w:uiPriority w:val="9"/>
    <w:rPr>
      <w:rFonts w:asciiTheme="majorHAnsi" w:hAnsiTheme="majorHAnsi" w:eastAsiaTheme="majorEastAsia" w:cstheme="majorBidi"/>
      <w:b/>
      <w:bCs/>
      <w:sz w:val="28"/>
      <w:szCs w:val="32"/>
    </w:rPr>
  </w:style>
  <w:style w:type="paragraph" w:styleId="43">
    <w:name w:val="List Paragraph"/>
    <w:basedOn w:val="1"/>
    <w:qFormat/>
    <w:uiPriority w:val="34"/>
    <w:pPr>
      <w:widowControl/>
      <w:ind w:firstLine="420" w:firstLineChars="200"/>
      <w:jc w:val="left"/>
    </w:pPr>
    <w:rPr>
      <w:rFonts w:ascii="宋体" w:hAnsi="宋体" w:eastAsia="宋体" w:cs="宋体"/>
      <w:kern w:val="0"/>
      <w:sz w:val="24"/>
      <w:szCs w:val="24"/>
    </w:rPr>
  </w:style>
  <w:style w:type="character" w:customStyle="1" w:styleId="44">
    <w:name w:val="脚注文本 Char"/>
    <w:basedOn w:val="30"/>
    <w:link w:val="21"/>
    <w:semiHidden/>
    <w:qFormat/>
    <w:uiPriority w:val="99"/>
    <w:rPr>
      <w:sz w:val="18"/>
      <w:szCs w:val="18"/>
    </w:rPr>
  </w:style>
  <w:style w:type="character" w:customStyle="1" w:styleId="45">
    <w:name w:val="尾注文本 Char"/>
    <w:basedOn w:val="30"/>
    <w:link w:val="15"/>
    <w:semiHidden/>
    <w:qFormat/>
    <w:uiPriority w:val="99"/>
  </w:style>
  <w:style w:type="character" w:customStyle="1" w:styleId="46">
    <w:name w:val="纯文本 Char"/>
    <w:basedOn w:val="30"/>
    <w:link w:val="12"/>
    <w:qFormat/>
    <w:uiPriority w:val="0"/>
    <w:rPr>
      <w:rFonts w:ascii="微软雅黑" w:hAnsi="微软雅黑" w:eastAsia="微软雅黑" w:cs="宋体"/>
      <w:szCs w:val="21"/>
    </w:rPr>
  </w:style>
  <w:style w:type="paragraph" w:customStyle="1" w:styleId="47">
    <w:name w:val="TOC Heading"/>
    <w:basedOn w:val="2"/>
    <w:next w:val="1"/>
    <w:semiHidden/>
    <w:unhideWhenUsed/>
    <w:qFormat/>
    <w:uiPriority w:val="39"/>
    <w:pPr>
      <w:outlineLvl w:val="9"/>
    </w:pPr>
  </w:style>
  <w:style w:type="character" w:customStyle="1" w:styleId="48">
    <w:name w:val="批注文字 Char"/>
    <w:basedOn w:val="30"/>
    <w:link w:val="9"/>
    <w:qFormat/>
    <w:uiPriority w:val="99"/>
  </w:style>
  <w:style w:type="character" w:customStyle="1" w:styleId="49">
    <w:name w:val="批注主题 Char"/>
    <w:basedOn w:val="48"/>
    <w:link w:val="27"/>
    <w:semiHidden/>
    <w:qFormat/>
    <w:uiPriority w:val="99"/>
    <w:rPr>
      <w:b/>
      <w:bCs/>
    </w:rPr>
  </w:style>
  <w:style w:type="character" w:customStyle="1" w:styleId="50">
    <w:name w:val="标题 4 Char"/>
    <w:basedOn w:val="30"/>
    <w:link w:val="5"/>
    <w:qFormat/>
    <w:uiPriority w:val="9"/>
    <w:rPr>
      <w:rFonts w:asciiTheme="majorHAnsi" w:hAnsiTheme="majorHAnsi" w:eastAsiaTheme="majorEastAsia" w:cstheme="majorBidi"/>
      <w:b/>
      <w:bCs/>
      <w:sz w:val="28"/>
      <w:szCs w:val="28"/>
    </w:rPr>
  </w:style>
  <w:style w:type="character" w:customStyle="1" w:styleId="51">
    <w:name w:val="标题 5 Char"/>
    <w:basedOn w:val="30"/>
    <w:link w:val="6"/>
    <w:qFormat/>
    <w:uiPriority w:val="9"/>
    <w:rPr>
      <w:b/>
      <w:bCs/>
      <w:sz w:val="28"/>
      <w:szCs w:val="28"/>
    </w:rPr>
  </w:style>
  <w:style w:type="character" w:customStyle="1" w:styleId="52">
    <w:name w:val="标题 6 Char"/>
    <w:basedOn w:val="30"/>
    <w:link w:val="7"/>
    <w:qFormat/>
    <w:uiPriority w:val="9"/>
    <w:rPr>
      <w:rFonts w:asciiTheme="majorHAnsi" w:hAnsiTheme="majorHAnsi" w:eastAsiaTheme="majorEastAsia" w:cstheme="majorBidi"/>
      <w:b/>
      <w:bCs/>
      <w:sz w:val="24"/>
      <w:szCs w:val="24"/>
    </w:rPr>
  </w:style>
  <w:style w:type="character" w:customStyle="1" w:styleId="53">
    <w:name w:val="日期 Char"/>
    <w:basedOn w:val="30"/>
    <w:link w:val="14"/>
    <w:semiHidden/>
    <w:qFormat/>
    <w:uiPriority w:val="99"/>
  </w:style>
  <w:style w:type="character" w:customStyle="1" w:styleId="54">
    <w:name w:val="标题 Char"/>
    <w:basedOn w:val="30"/>
    <w:link w:val="26"/>
    <w:qFormat/>
    <w:uiPriority w:val="0"/>
    <w:rPr>
      <w:rFonts w:ascii="Cambria" w:hAnsi="Cambria" w:eastAsia="宋体" w:cs="Times New Roman"/>
      <w:b/>
      <w:bCs/>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4037;&#20316;\&#20154;&#21147;&#36164;&#28304;&#24037;&#20316;\&#34218;&#37228;&#32489;&#25928;\&#34218;&#37228;&#23545;&#27604;&#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4037;&#20316;\&#20154;&#21147;&#36164;&#28304;&#24037;&#20316;\&#34218;&#37228;&#32489;&#25928;\&#34218;&#37228;&#23545;&#27604;&#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4037;&#20316;\&#20154;&#21147;&#36164;&#28304;&#24037;&#20316;\&#34218;&#37228;&#32489;&#25928;\&#23703;&#20301;&#35780;&#20215;&#19982;&#20184;&#34218;&#35201;&#3203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75"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岗位薪资对比图</a:t>
            </a:r>
            <a:endParaRPr lang="zh-CN" altLang="en-US"/>
          </a:p>
        </c:rich>
      </c:tx>
      <c:layout>
        <c:manualLayout>
          <c:xMode val="edge"/>
          <c:yMode val="edge"/>
          <c:x val="0.412704372319317"/>
          <c:y val="0.0210604159468519"/>
        </c:manualLayout>
      </c:layout>
      <c:overlay val="0"/>
      <c:spPr>
        <a:noFill/>
        <a:ln w="25400">
          <a:noFill/>
        </a:ln>
      </c:spPr>
    </c:title>
    <c:autoTitleDeleted val="0"/>
    <c:plotArea>
      <c:layout>
        <c:manualLayout>
          <c:layoutTarget val="inner"/>
          <c:xMode val="edge"/>
          <c:yMode val="edge"/>
          <c:x val="0.0545901350745791"/>
          <c:y val="0.085346086935438"/>
          <c:w val="0.904775101814208"/>
          <c:h val="0.674092427727133"/>
        </c:manualLayout>
      </c:layout>
      <c:lineChart>
        <c:grouping val="standard"/>
        <c:varyColors val="0"/>
        <c:ser>
          <c:idx val="0"/>
          <c:order val="0"/>
          <c:tx>
            <c:strRef>
              <c:f>Sheet3!$B$2</c:f>
              <c:strCache>
                <c:ptCount val="1"/>
                <c:pt idx="0">
                  <c:v>囯领年薪（万元）</c:v>
                </c:pt>
              </c:strCache>
            </c:strRef>
          </c:tx>
          <c:spPr>
            <a:ln w="12700" cap="rnd" cmpd="sng" algn="ctr">
              <a:solidFill>
                <a:srgbClr val="000080"/>
              </a:solidFill>
              <a:prstDash val="solid"/>
              <a:round/>
            </a:ln>
          </c:spPr>
          <c:marker>
            <c:symbol val="diamond"/>
            <c:size val="5"/>
            <c:spPr>
              <a:solidFill>
                <a:srgbClr val="000080"/>
              </a:solidFill>
              <a:ln w="9525" cap="flat" cmpd="sng" algn="ctr">
                <a:solidFill>
                  <a:srgbClr val="000080"/>
                </a:solidFill>
                <a:prstDash val="solid"/>
                <a:round/>
              </a:ln>
            </c:spPr>
          </c:marker>
          <c:dLbls>
            <c:delete val="1"/>
          </c:dLbls>
          <c:cat>
            <c:strRef>
              <c:f>Sheet3!$A$3:$A$12</c:f>
              <c:strCache>
                <c:ptCount val="10"/>
                <c:pt idx="0">
                  <c:v>会计</c:v>
                </c:pt>
                <c:pt idx="1">
                  <c:v>出纳</c:v>
                </c:pt>
                <c:pt idx="2">
                  <c:v>人事主管</c:v>
                </c:pt>
                <c:pt idx="3">
                  <c:v>行政主管</c:v>
                </c:pt>
                <c:pt idx="4">
                  <c:v>销售经理</c:v>
                </c:pt>
                <c:pt idx="5">
                  <c:v>销售经理助理</c:v>
                </c:pt>
                <c:pt idx="6">
                  <c:v>销售</c:v>
                </c:pt>
                <c:pt idx="7">
                  <c:v>销售文案</c:v>
                </c:pt>
                <c:pt idx="8">
                  <c:v>工程师</c:v>
                </c:pt>
                <c:pt idx="9">
                  <c:v>技术员</c:v>
                </c:pt>
              </c:strCache>
            </c:strRef>
          </c:cat>
          <c:val>
            <c:numRef>
              <c:f>Sheet3!$B$3:$B$12</c:f>
              <c:numCache>
                <c:formatCode>General</c:formatCode>
                <c:ptCount val="10"/>
                <c:pt idx="0">
                  <c:v>4.35</c:v>
                </c:pt>
                <c:pt idx="1">
                  <c:v>3.53</c:v>
                </c:pt>
                <c:pt idx="2">
                  <c:v>3.9</c:v>
                </c:pt>
                <c:pt idx="3">
                  <c:v>4</c:v>
                </c:pt>
                <c:pt idx="4">
                  <c:v>7.2</c:v>
                </c:pt>
                <c:pt idx="5">
                  <c:v>4.54</c:v>
                </c:pt>
                <c:pt idx="6">
                  <c:v>3.4</c:v>
                </c:pt>
                <c:pt idx="7">
                  <c:v>3.53</c:v>
                </c:pt>
                <c:pt idx="8">
                  <c:v>6.48</c:v>
                </c:pt>
                <c:pt idx="9">
                  <c:v>3.73</c:v>
                </c:pt>
              </c:numCache>
            </c:numRef>
          </c:val>
          <c:smooth val="0"/>
        </c:ser>
        <c:ser>
          <c:idx val="1"/>
          <c:order val="1"/>
          <c:tx>
            <c:strRef>
              <c:f>Sheet3!$C$2</c:f>
              <c:strCache>
                <c:ptCount val="1"/>
                <c:pt idx="0">
                  <c:v>其他私企年薪（万元）</c:v>
                </c:pt>
              </c:strCache>
            </c:strRef>
          </c:tx>
          <c:spPr>
            <a:ln w="12700" cap="rnd" cmpd="sng" algn="ctr">
              <a:solidFill>
                <a:srgbClr val="FF00FF"/>
              </a:solidFill>
              <a:prstDash val="solid"/>
              <a:round/>
            </a:ln>
          </c:spPr>
          <c:marker>
            <c:symbol val="square"/>
            <c:size val="5"/>
            <c:spPr>
              <a:solidFill>
                <a:srgbClr val="FF00FF"/>
              </a:solidFill>
              <a:ln w="9525" cap="flat" cmpd="sng" algn="ctr">
                <a:solidFill>
                  <a:srgbClr val="FF00FF"/>
                </a:solidFill>
                <a:prstDash val="solid"/>
                <a:round/>
              </a:ln>
            </c:spPr>
          </c:marker>
          <c:dLbls>
            <c:delete val="1"/>
          </c:dLbls>
          <c:cat>
            <c:strRef>
              <c:f>Sheet3!$A$3:$A$12</c:f>
              <c:strCache>
                <c:ptCount val="10"/>
                <c:pt idx="0">
                  <c:v>会计</c:v>
                </c:pt>
                <c:pt idx="1">
                  <c:v>出纳</c:v>
                </c:pt>
                <c:pt idx="2">
                  <c:v>人事主管</c:v>
                </c:pt>
                <c:pt idx="3">
                  <c:v>行政主管</c:v>
                </c:pt>
                <c:pt idx="4">
                  <c:v>销售经理</c:v>
                </c:pt>
                <c:pt idx="5">
                  <c:v>销售经理助理</c:v>
                </c:pt>
                <c:pt idx="6">
                  <c:v>销售</c:v>
                </c:pt>
                <c:pt idx="7">
                  <c:v>销售文案</c:v>
                </c:pt>
                <c:pt idx="8">
                  <c:v>工程师</c:v>
                </c:pt>
                <c:pt idx="9">
                  <c:v>技术员</c:v>
                </c:pt>
              </c:strCache>
            </c:strRef>
          </c:cat>
          <c:val>
            <c:numRef>
              <c:f>Sheet3!$C$3:$C$12</c:f>
              <c:numCache>
                <c:formatCode>General</c:formatCode>
                <c:ptCount val="10"/>
                <c:pt idx="0">
                  <c:v>3.28</c:v>
                </c:pt>
                <c:pt idx="1">
                  <c:v>2.71</c:v>
                </c:pt>
                <c:pt idx="2">
                  <c:v>4.2</c:v>
                </c:pt>
                <c:pt idx="3">
                  <c:v>4.3</c:v>
                </c:pt>
                <c:pt idx="4">
                  <c:v>6</c:v>
                </c:pt>
                <c:pt idx="5">
                  <c:v>3</c:v>
                </c:pt>
                <c:pt idx="6">
                  <c:v>2.4</c:v>
                </c:pt>
                <c:pt idx="7">
                  <c:v>2.76</c:v>
                </c:pt>
                <c:pt idx="8">
                  <c:v>10</c:v>
                </c:pt>
                <c:pt idx="9">
                  <c:v>3.6</c:v>
                </c:pt>
              </c:numCache>
            </c:numRef>
          </c:val>
          <c:smooth val="0"/>
        </c:ser>
        <c:dLbls>
          <c:showLegendKey val="0"/>
          <c:showVal val="1"/>
          <c:showCatName val="0"/>
          <c:showSerName val="0"/>
          <c:showPercent val="0"/>
          <c:showBubbleSize val="0"/>
        </c:dLbls>
        <c:marker val="1"/>
        <c:smooth val="0"/>
        <c:axId val="106057728"/>
        <c:axId val="106059264"/>
      </c:lineChart>
      <c:catAx>
        <c:axId val="106057728"/>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87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06059264"/>
        <c:crosses val="autoZero"/>
        <c:auto val="1"/>
        <c:lblAlgn val="ctr"/>
        <c:lblOffset val="100"/>
        <c:tickLblSkip val="1"/>
        <c:noMultiLvlLbl val="0"/>
      </c:catAx>
      <c:valAx>
        <c:axId val="106059264"/>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15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06057728"/>
        <c:crosses val="autoZero"/>
        <c:crossBetween val="between"/>
      </c:valAx>
      <c:spPr>
        <a:solidFill>
          <a:srgbClr val="C0C0C0"/>
        </a:solidFill>
        <a:ln w="3175">
          <a:solidFill>
            <a:srgbClr val="808080"/>
          </a:solidFill>
          <a:prstDash val="solid"/>
        </a:ln>
      </c:spPr>
    </c:plotArea>
    <c:legend>
      <c:legendPos val="r"/>
      <c:layout>
        <c:manualLayout>
          <c:xMode val="edge"/>
          <c:yMode val="edge"/>
          <c:x val="0.0125180846296653"/>
          <c:y val="0.861538312329901"/>
          <c:w val="0.350040326664742"/>
          <c:h val="0.107668527577241"/>
        </c:manualLayout>
      </c:layout>
      <c:overlay val="0"/>
      <c:spPr>
        <a:solidFill>
          <a:srgbClr val="FFFFFF"/>
        </a:solidFill>
        <a:ln w="3175">
          <a:solidFill>
            <a:srgbClr val="000000"/>
          </a:solidFill>
          <a:prstDash val="solid"/>
        </a:ln>
      </c:spPr>
      <c:txPr>
        <a:bodyPr rot="0" spcFirstLastPara="0" vertOverflow="ellipsis" vert="horz" wrap="square" anchor="ctr" anchorCtr="1"/>
        <a:lstStyle/>
        <a:p>
          <a:pPr>
            <a:defRPr lang="zh-CN" sz="895" b="1"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2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dk1"/>
                </a:solidFill>
                <a:latin typeface="+mn-lt"/>
                <a:ea typeface="+mn-ea"/>
                <a:cs typeface="+mn-cs"/>
              </a:defRPr>
            </a:pPr>
            <a:r>
              <a:rPr lang="zh-CN" altLang="en-US"/>
              <a:t>月</a:t>
            </a:r>
            <a:r>
              <a:rPr lang="zh-CN"/>
              <a:t>工资</a:t>
            </a:r>
            <a:r>
              <a:rPr lang="zh-CN" altLang="en-US"/>
              <a:t>总额</a:t>
            </a:r>
            <a:r>
              <a:rPr lang="zh-CN"/>
              <a:t>分布图</a:t>
            </a:r>
            <a:endParaRPr lang="zh-CN"/>
          </a:p>
        </c:rich>
      </c:tx>
      <c:layout/>
      <c:overlay val="0"/>
    </c:title>
    <c:autoTitleDeleted val="0"/>
    <c:plotArea>
      <c:layout/>
      <c:barChart>
        <c:barDir val="col"/>
        <c:grouping val="clustered"/>
        <c:varyColors val="0"/>
        <c:ser>
          <c:idx val="0"/>
          <c:order val="0"/>
          <c:tx>
            <c:strRef>
              <c:f>Sheet2!$C$22</c:f>
              <c:strCache>
                <c:ptCount val="1"/>
                <c:pt idx="0">
                  <c:v>工资</c:v>
                </c:pt>
              </c:strCache>
            </c:strRef>
          </c:tx>
          <c:invertIfNegative val="0"/>
          <c:dLbls>
            <c:delete val="1"/>
          </c:dLbls>
          <c:cat>
            <c:strRef>
              <c:f>Sheet2!$B$23:$B$42</c:f>
              <c:strCache>
                <c:ptCount val="20"/>
                <c:pt idx="0">
                  <c:v>项目组长1</c:v>
                </c:pt>
                <c:pt idx="1">
                  <c:v>项目组长2</c:v>
                </c:pt>
                <c:pt idx="2">
                  <c:v>销售经理</c:v>
                </c:pt>
                <c:pt idx="3">
                  <c:v>工程师1</c:v>
                </c:pt>
                <c:pt idx="4">
                  <c:v>工程师2</c:v>
                </c:pt>
                <c:pt idx="5">
                  <c:v>技术员1</c:v>
                </c:pt>
                <c:pt idx="6">
                  <c:v>人事主管</c:v>
                </c:pt>
                <c:pt idx="7">
                  <c:v>技术员5</c:v>
                </c:pt>
                <c:pt idx="8">
                  <c:v>经理助理</c:v>
                </c:pt>
                <c:pt idx="9">
                  <c:v>会计1</c:v>
                </c:pt>
                <c:pt idx="10">
                  <c:v>会计2</c:v>
                </c:pt>
                <c:pt idx="11">
                  <c:v>行政主管</c:v>
                </c:pt>
                <c:pt idx="12">
                  <c:v>技术员2</c:v>
                </c:pt>
                <c:pt idx="13">
                  <c:v>技术员4</c:v>
                </c:pt>
                <c:pt idx="14">
                  <c:v>技术员3</c:v>
                </c:pt>
                <c:pt idx="15">
                  <c:v>销售代表1</c:v>
                </c:pt>
                <c:pt idx="16">
                  <c:v>销售代表2</c:v>
                </c:pt>
                <c:pt idx="17">
                  <c:v>销售文案</c:v>
                </c:pt>
                <c:pt idx="18">
                  <c:v>技术员6</c:v>
                </c:pt>
                <c:pt idx="19">
                  <c:v>出纳</c:v>
                </c:pt>
              </c:strCache>
            </c:strRef>
          </c:cat>
          <c:val>
            <c:numRef>
              <c:f>Sheet2!$C$23:$C$42</c:f>
              <c:numCache>
                <c:formatCode>0_);[Red]\(0\)</c:formatCode>
                <c:ptCount val="20"/>
                <c:pt idx="0">
                  <c:v>11000</c:v>
                </c:pt>
                <c:pt idx="1">
                  <c:v>11000</c:v>
                </c:pt>
                <c:pt idx="2">
                  <c:v>6100</c:v>
                </c:pt>
                <c:pt idx="3">
                  <c:v>6000</c:v>
                </c:pt>
                <c:pt idx="4">
                  <c:v>5250</c:v>
                </c:pt>
                <c:pt idx="5">
                  <c:v>4950</c:v>
                </c:pt>
                <c:pt idx="6">
                  <c:v>3990</c:v>
                </c:pt>
                <c:pt idx="7">
                  <c:v>3780</c:v>
                </c:pt>
                <c:pt idx="8">
                  <c:v>3780</c:v>
                </c:pt>
                <c:pt idx="9">
                  <c:v>3675</c:v>
                </c:pt>
                <c:pt idx="10">
                  <c:v>3570</c:v>
                </c:pt>
                <c:pt idx="11">
                  <c:v>3150</c:v>
                </c:pt>
                <c:pt idx="12">
                  <c:v>2940</c:v>
                </c:pt>
                <c:pt idx="13">
                  <c:v>2860</c:v>
                </c:pt>
                <c:pt idx="14">
                  <c:v>2835</c:v>
                </c:pt>
                <c:pt idx="15">
                  <c:v>2835</c:v>
                </c:pt>
                <c:pt idx="16">
                  <c:v>2835</c:v>
                </c:pt>
                <c:pt idx="17">
                  <c:v>2835</c:v>
                </c:pt>
                <c:pt idx="18">
                  <c:v>2625</c:v>
                </c:pt>
                <c:pt idx="19">
                  <c:v>2835</c:v>
                </c:pt>
              </c:numCache>
            </c:numRef>
          </c:val>
        </c:ser>
        <c:dLbls>
          <c:showLegendKey val="0"/>
          <c:showVal val="0"/>
          <c:showCatName val="0"/>
          <c:showSerName val="0"/>
          <c:showPercent val="0"/>
          <c:showBubbleSize val="0"/>
        </c:dLbls>
        <c:gapWidth val="150"/>
        <c:axId val="106079360"/>
        <c:axId val="106080896"/>
      </c:barChart>
      <c:catAx>
        <c:axId val="10607936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dk1"/>
                </a:solidFill>
                <a:latin typeface="+mn-lt"/>
                <a:ea typeface="+mn-ea"/>
                <a:cs typeface="+mn-cs"/>
              </a:defRPr>
            </a:pPr>
          </a:p>
        </c:txPr>
        <c:crossAx val="106080896"/>
        <c:crosses val="autoZero"/>
        <c:auto val="1"/>
        <c:lblAlgn val="ctr"/>
        <c:lblOffset val="100"/>
        <c:noMultiLvlLbl val="0"/>
      </c:catAx>
      <c:valAx>
        <c:axId val="106080896"/>
        <c:scaling>
          <c:orientation val="minMax"/>
        </c:scaling>
        <c:delete val="0"/>
        <c:axPos val="l"/>
        <c:majorGridlines/>
        <c:numFmt formatCode="0_);[Red]\(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dk1"/>
                </a:solidFill>
                <a:latin typeface="+mn-lt"/>
                <a:ea typeface="+mn-ea"/>
                <a:cs typeface="+mn-cs"/>
              </a:defRPr>
            </a:pPr>
          </a:p>
        </c:txPr>
        <c:crossAx val="10607936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dk1"/>
              </a:solidFill>
              <a:latin typeface="+mn-lt"/>
              <a:ea typeface="+mn-ea"/>
              <a:cs typeface="+mn-cs"/>
            </a:defRPr>
          </a:pPr>
        </a:p>
      </c:txPr>
    </c:legend>
    <c:plotVisOnly val="1"/>
    <c:dispBlanksAs val="gap"/>
    <c:showDLblsOverMax val="0"/>
  </c:chart>
  <c:spPr>
    <a:solidFill>
      <a:schemeClr val="lt1"/>
    </a:solidFill>
    <a:ln w="25400" cap="flat" cmpd="sng" algn="ctr">
      <a:solidFill>
        <a:schemeClr val="accent1"/>
      </a:solidFill>
      <a:prstDash val="solid"/>
      <a:round/>
    </a:ln>
    <a:effectLst/>
  </c:spPr>
  <c:txPr>
    <a:bodyPr/>
    <a:lstStyle/>
    <a:p>
      <a:pPr>
        <a:defRPr lang="zh-CN">
          <a:solidFill>
            <a:schemeClr val="dk1"/>
          </a:solidFill>
          <a:latin typeface="+mn-lt"/>
          <a:ea typeface="+mn-ea"/>
          <a:cs typeface="+mn-c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公司薪级表!$R$2</c:f>
              <c:strCache>
                <c:ptCount val="1"/>
                <c:pt idx="0">
                  <c:v>1级</c:v>
                </c:pt>
              </c:strCache>
            </c:strRef>
          </c:tx>
          <c:invertIfNegative val="0"/>
          <c:dLbls>
            <c:delete val="1"/>
          </c:dLbls>
          <c:cat>
            <c:strRef>
              <c:f>公司薪级表!$Q$3:$Q$8</c:f>
              <c:strCache>
                <c:ptCount val="6"/>
                <c:pt idx="0">
                  <c:v>0-200</c:v>
                </c:pt>
                <c:pt idx="1">
                  <c:v>201-300</c:v>
                </c:pt>
                <c:pt idx="2">
                  <c:v>301-500</c:v>
                </c:pt>
                <c:pt idx="3">
                  <c:v>501-700</c:v>
                </c:pt>
                <c:pt idx="4">
                  <c:v>701-900</c:v>
                </c:pt>
                <c:pt idx="5">
                  <c:v>901-1000</c:v>
                </c:pt>
              </c:strCache>
            </c:strRef>
          </c:cat>
          <c:val>
            <c:numRef>
              <c:f>公司薪级表!$R$3:$R$8</c:f>
              <c:numCache>
                <c:formatCode>@</c:formatCode>
                <c:ptCount val="6"/>
                <c:pt idx="0">
                  <c:v>1900</c:v>
                </c:pt>
                <c:pt idx="1">
                  <c:v>2400</c:v>
                </c:pt>
                <c:pt idx="2">
                  <c:v>2900</c:v>
                </c:pt>
                <c:pt idx="3">
                  <c:v>3600</c:v>
                </c:pt>
                <c:pt idx="4">
                  <c:v>4700</c:v>
                </c:pt>
                <c:pt idx="5">
                  <c:v>7200</c:v>
                </c:pt>
              </c:numCache>
            </c:numRef>
          </c:val>
        </c:ser>
        <c:ser>
          <c:idx val="1"/>
          <c:order val="1"/>
          <c:tx>
            <c:strRef>
              <c:f>公司薪级表!$S$2</c:f>
              <c:strCache>
                <c:ptCount val="1"/>
                <c:pt idx="0">
                  <c:v>2级</c:v>
                </c:pt>
              </c:strCache>
            </c:strRef>
          </c:tx>
          <c:invertIfNegative val="0"/>
          <c:dLbls>
            <c:delete val="1"/>
          </c:dLbls>
          <c:cat>
            <c:strRef>
              <c:f>公司薪级表!$Q$3:$Q$8</c:f>
              <c:strCache>
                <c:ptCount val="6"/>
                <c:pt idx="0">
                  <c:v>0-200</c:v>
                </c:pt>
                <c:pt idx="1">
                  <c:v>201-300</c:v>
                </c:pt>
                <c:pt idx="2">
                  <c:v>301-500</c:v>
                </c:pt>
                <c:pt idx="3">
                  <c:v>501-700</c:v>
                </c:pt>
                <c:pt idx="4">
                  <c:v>701-900</c:v>
                </c:pt>
                <c:pt idx="5">
                  <c:v>901-1000</c:v>
                </c:pt>
              </c:strCache>
            </c:strRef>
          </c:cat>
          <c:val>
            <c:numRef>
              <c:f>公司薪级表!$S$3:$S$8</c:f>
              <c:numCache>
                <c:formatCode>@</c:formatCode>
                <c:ptCount val="6"/>
                <c:pt idx="0">
                  <c:v>2000</c:v>
                </c:pt>
                <c:pt idx="1">
                  <c:v>2500</c:v>
                </c:pt>
                <c:pt idx="2">
                  <c:v>3000</c:v>
                </c:pt>
                <c:pt idx="3">
                  <c:v>3800</c:v>
                </c:pt>
                <c:pt idx="4">
                  <c:v>5200</c:v>
                </c:pt>
                <c:pt idx="5">
                  <c:v>7700</c:v>
                </c:pt>
              </c:numCache>
            </c:numRef>
          </c:val>
        </c:ser>
        <c:ser>
          <c:idx val="2"/>
          <c:order val="2"/>
          <c:tx>
            <c:strRef>
              <c:f>公司薪级表!$T$2</c:f>
              <c:strCache>
                <c:ptCount val="1"/>
                <c:pt idx="0">
                  <c:v>3级</c:v>
                </c:pt>
              </c:strCache>
            </c:strRef>
          </c:tx>
          <c:invertIfNegative val="0"/>
          <c:dLbls>
            <c:delete val="1"/>
          </c:dLbls>
          <c:cat>
            <c:strRef>
              <c:f>公司薪级表!$Q$3:$Q$8</c:f>
              <c:strCache>
                <c:ptCount val="6"/>
                <c:pt idx="0">
                  <c:v>0-200</c:v>
                </c:pt>
                <c:pt idx="1">
                  <c:v>201-300</c:v>
                </c:pt>
                <c:pt idx="2">
                  <c:v>301-500</c:v>
                </c:pt>
                <c:pt idx="3">
                  <c:v>501-700</c:v>
                </c:pt>
                <c:pt idx="4">
                  <c:v>701-900</c:v>
                </c:pt>
                <c:pt idx="5">
                  <c:v>901-1000</c:v>
                </c:pt>
              </c:strCache>
            </c:strRef>
          </c:cat>
          <c:val>
            <c:numRef>
              <c:f>公司薪级表!$T$3:$T$8</c:f>
              <c:numCache>
                <c:formatCode>@</c:formatCode>
                <c:ptCount val="6"/>
                <c:pt idx="0">
                  <c:v>2100</c:v>
                </c:pt>
                <c:pt idx="1">
                  <c:v>2600</c:v>
                </c:pt>
                <c:pt idx="2">
                  <c:v>3100</c:v>
                </c:pt>
                <c:pt idx="3">
                  <c:v>4000</c:v>
                </c:pt>
                <c:pt idx="4">
                  <c:v>5700</c:v>
                </c:pt>
                <c:pt idx="5">
                  <c:v>8200</c:v>
                </c:pt>
              </c:numCache>
            </c:numRef>
          </c:val>
        </c:ser>
        <c:ser>
          <c:idx val="3"/>
          <c:order val="3"/>
          <c:tx>
            <c:strRef>
              <c:f>公司薪级表!$U$2</c:f>
              <c:strCache>
                <c:ptCount val="1"/>
                <c:pt idx="0">
                  <c:v>4级</c:v>
                </c:pt>
              </c:strCache>
            </c:strRef>
          </c:tx>
          <c:invertIfNegative val="0"/>
          <c:dLbls>
            <c:delete val="1"/>
          </c:dLbls>
          <c:cat>
            <c:strRef>
              <c:f>公司薪级表!$Q$3:$Q$8</c:f>
              <c:strCache>
                <c:ptCount val="6"/>
                <c:pt idx="0">
                  <c:v>0-200</c:v>
                </c:pt>
                <c:pt idx="1">
                  <c:v>201-300</c:v>
                </c:pt>
                <c:pt idx="2">
                  <c:v>301-500</c:v>
                </c:pt>
                <c:pt idx="3">
                  <c:v>501-700</c:v>
                </c:pt>
                <c:pt idx="4">
                  <c:v>701-900</c:v>
                </c:pt>
                <c:pt idx="5">
                  <c:v>901-1000</c:v>
                </c:pt>
              </c:strCache>
            </c:strRef>
          </c:cat>
          <c:val>
            <c:numRef>
              <c:f>公司薪级表!$U$3:$U$8</c:f>
              <c:numCache>
                <c:formatCode>@</c:formatCode>
                <c:ptCount val="6"/>
                <c:pt idx="0">
                  <c:v>2200</c:v>
                </c:pt>
                <c:pt idx="1">
                  <c:v>2700</c:v>
                </c:pt>
                <c:pt idx="2">
                  <c:v>3200</c:v>
                </c:pt>
                <c:pt idx="3">
                  <c:v>4200</c:v>
                </c:pt>
                <c:pt idx="4">
                  <c:v>6200</c:v>
                </c:pt>
                <c:pt idx="5">
                  <c:v>8700</c:v>
                </c:pt>
              </c:numCache>
            </c:numRef>
          </c:val>
        </c:ser>
        <c:ser>
          <c:idx val="4"/>
          <c:order val="4"/>
          <c:tx>
            <c:strRef>
              <c:f>公司薪级表!$V$2</c:f>
              <c:strCache>
                <c:ptCount val="1"/>
                <c:pt idx="0">
                  <c:v>5级</c:v>
                </c:pt>
              </c:strCache>
            </c:strRef>
          </c:tx>
          <c:invertIfNegative val="0"/>
          <c:dLbls>
            <c:delete val="1"/>
          </c:dLbls>
          <c:cat>
            <c:strRef>
              <c:f>公司薪级表!$Q$3:$Q$8</c:f>
              <c:strCache>
                <c:ptCount val="6"/>
                <c:pt idx="0">
                  <c:v>0-200</c:v>
                </c:pt>
                <c:pt idx="1">
                  <c:v>201-300</c:v>
                </c:pt>
                <c:pt idx="2">
                  <c:v>301-500</c:v>
                </c:pt>
                <c:pt idx="3">
                  <c:v>501-700</c:v>
                </c:pt>
                <c:pt idx="4">
                  <c:v>701-900</c:v>
                </c:pt>
                <c:pt idx="5">
                  <c:v>901-1000</c:v>
                </c:pt>
              </c:strCache>
            </c:strRef>
          </c:cat>
          <c:val>
            <c:numRef>
              <c:f>公司薪级表!$V$3:$V$8</c:f>
              <c:numCache>
                <c:formatCode>@</c:formatCode>
                <c:ptCount val="6"/>
                <c:pt idx="0">
                  <c:v>2300</c:v>
                </c:pt>
                <c:pt idx="1">
                  <c:v>2800</c:v>
                </c:pt>
                <c:pt idx="2">
                  <c:v>3400</c:v>
                </c:pt>
                <c:pt idx="3">
                  <c:v>4400</c:v>
                </c:pt>
                <c:pt idx="4">
                  <c:v>6700</c:v>
                </c:pt>
                <c:pt idx="5">
                  <c:v>9200</c:v>
                </c:pt>
              </c:numCache>
            </c:numRef>
          </c:val>
        </c:ser>
        <c:ser>
          <c:idx val="5"/>
          <c:order val="5"/>
          <c:tx>
            <c:strRef>
              <c:f>公司薪级表!$W$2</c:f>
              <c:strCache>
                <c:ptCount val="1"/>
                <c:pt idx="0">
                  <c:v>6级</c:v>
                </c:pt>
              </c:strCache>
            </c:strRef>
          </c:tx>
          <c:invertIfNegative val="0"/>
          <c:dLbls>
            <c:delete val="1"/>
          </c:dLbls>
          <c:cat>
            <c:strRef>
              <c:f>公司薪级表!$Q$3:$Q$8</c:f>
              <c:strCache>
                <c:ptCount val="6"/>
                <c:pt idx="0">
                  <c:v>0-200</c:v>
                </c:pt>
                <c:pt idx="1">
                  <c:v>201-300</c:v>
                </c:pt>
                <c:pt idx="2">
                  <c:v>301-500</c:v>
                </c:pt>
                <c:pt idx="3">
                  <c:v>501-700</c:v>
                </c:pt>
                <c:pt idx="4">
                  <c:v>701-900</c:v>
                </c:pt>
                <c:pt idx="5">
                  <c:v>901-1000</c:v>
                </c:pt>
              </c:strCache>
            </c:strRef>
          </c:cat>
          <c:val>
            <c:numRef>
              <c:f>公司薪级表!$W$3:$W$8</c:f>
              <c:numCache>
                <c:formatCode>@</c:formatCode>
                <c:ptCount val="6"/>
                <c:pt idx="0">
                  <c:v>2400</c:v>
                </c:pt>
                <c:pt idx="1">
                  <c:v>2900</c:v>
                </c:pt>
                <c:pt idx="2">
                  <c:v>3600</c:v>
                </c:pt>
                <c:pt idx="3">
                  <c:v>4700</c:v>
                </c:pt>
                <c:pt idx="4">
                  <c:v>7200</c:v>
                </c:pt>
                <c:pt idx="5">
                  <c:v>10200</c:v>
                </c:pt>
              </c:numCache>
            </c:numRef>
          </c:val>
        </c:ser>
        <c:ser>
          <c:idx val="6"/>
          <c:order val="6"/>
          <c:tx>
            <c:strRef>
              <c:f>公司薪级表!$X$2</c:f>
              <c:strCache>
                <c:ptCount val="1"/>
                <c:pt idx="0">
                  <c:v>7级</c:v>
                </c:pt>
              </c:strCache>
            </c:strRef>
          </c:tx>
          <c:invertIfNegative val="0"/>
          <c:dLbls>
            <c:delete val="1"/>
          </c:dLbls>
          <c:cat>
            <c:strRef>
              <c:f>公司薪级表!$Q$3:$Q$8</c:f>
              <c:strCache>
                <c:ptCount val="6"/>
                <c:pt idx="0">
                  <c:v>0-200</c:v>
                </c:pt>
                <c:pt idx="1">
                  <c:v>201-300</c:v>
                </c:pt>
                <c:pt idx="2">
                  <c:v>301-500</c:v>
                </c:pt>
                <c:pt idx="3">
                  <c:v>501-700</c:v>
                </c:pt>
                <c:pt idx="4">
                  <c:v>701-900</c:v>
                </c:pt>
                <c:pt idx="5">
                  <c:v>901-1000</c:v>
                </c:pt>
              </c:strCache>
            </c:strRef>
          </c:cat>
          <c:val>
            <c:numRef>
              <c:f>公司薪级表!$X$3:$X$8</c:f>
              <c:numCache>
                <c:formatCode>@</c:formatCode>
                <c:ptCount val="6"/>
                <c:pt idx="0">
                  <c:v>2500</c:v>
                </c:pt>
                <c:pt idx="1">
                  <c:v>3000</c:v>
                </c:pt>
                <c:pt idx="2">
                  <c:v>3800</c:v>
                </c:pt>
                <c:pt idx="3">
                  <c:v>5000</c:v>
                </c:pt>
                <c:pt idx="4">
                  <c:v>7700</c:v>
                </c:pt>
                <c:pt idx="5">
                  <c:v>11200</c:v>
                </c:pt>
              </c:numCache>
            </c:numRef>
          </c:val>
        </c:ser>
        <c:ser>
          <c:idx val="7"/>
          <c:order val="7"/>
          <c:tx>
            <c:strRef>
              <c:f>公司薪级表!$Y$2</c:f>
              <c:strCache>
                <c:ptCount val="1"/>
                <c:pt idx="0">
                  <c:v>8级</c:v>
                </c:pt>
              </c:strCache>
            </c:strRef>
          </c:tx>
          <c:invertIfNegative val="0"/>
          <c:dLbls>
            <c:delete val="1"/>
          </c:dLbls>
          <c:cat>
            <c:strRef>
              <c:f>公司薪级表!$Q$3:$Q$8</c:f>
              <c:strCache>
                <c:ptCount val="6"/>
                <c:pt idx="0">
                  <c:v>0-200</c:v>
                </c:pt>
                <c:pt idx="1">
                  <c:v>201-300</c:v>
                </c:pt>
                <c:pt idx="2">
                  <c:v>301-500</c:v>
                </c:pt>
                <c:pt idx="3">
                  <c:v>501-700</c:v>
                </c:pt>
                <c:pt idx="4">
                  <c:v>701-900</c:v>
                </c:pt>
                <c:pt idx="5">
                  <c:v>901-1000</c:v>
                </c:pt>
              </c:strCache>
            </c:strRef>
          </c:cat>
          <c:val>
            <c:numRef>
              <c:f>公司薪级表!$Y$3:$Y$8</c:f>
              <c:numCache>
                <c:formatCode>@</c:formatCode>
                <c:ptCount val="6"/>
                <c:pt idx="0">
                  <c:v>2600</c:v>
                </c:pt>
                <c:pt idx="1">
                  <c:v>3100</c:v>
                </c:pt>
                <c:pt idx="2">
                  <c:v>4000</c:v>
                </c:pt>
                <c:pt idx="3">
                  <c:v>5300</c:v>
                </c:pt>
                <c:pt idx="4">
                  <c:v>8200</c:v>
                </c:pt>
                <c:pt idx="5">
                  <c:v>12200</c:v>
                </c:pt>
              </c:numCache>
            </c:numRef>
          </c:val>
        </c:ser>
        <c:ser>
          <c:idx val="8"/>
          <c:order val="8"/>
          <c:tx>
            <c:strRef>
              <c:f>公司薪级表!$Z$2</c:f>
              <c:strCache>
                <c:ptCount val="1"/>
                <c:pt idx="0">
                  <c:v>9级</c:v>
                </c:pt>
              </c:strCache>
            </c:strRef>
          </c:tx>
          <c:invertIfNegative val="0"/>
          <c:dLbls>
            <c:delete val="1"/>
          </c:dLbls>
          <c:cat>
            <c:strRef>
              <c:f>公司薪级表!$Q$3:$Q$8</c:f>
              <c:strCache>
                <c:ptCount val="6"/>
                <c:pt idx="0">
                  <c:v>0-200</c:v>
                </c:pt>
                <c:pt idx="1">
                  <c:v>201-300</c:v>
                </c:pt>
                <c:pt idx="2">
                  <c:v>301-500</c:v>
                </c:pt>
                <c:pt idx="3">
                  <c:v>501-700</c:v>
                </c:pt>
                <c:pt idx="4">
                  <c:v>701-900</c:v>
                </c:pt>
                <c:pt idx="5">
                  <c:v>901-1000</c:v>
                </c:pt>
              </c:strCache>
            </c:strRef>
          </c:cat>
          <c:val>
            <c:numRef>
              <c:f>公司薪级表!$Z$3:$Z$8</c:f>
              <c:numCache>
                <c:formatCode>@</c:formatCode>
                <c:ptCount val="6"/>
                <c:pt idx="0">
                  <c:v>2700</c:v>
                </c:pt>
                <c:pt idx="1">
                  <c:v>3300</c:v>
                </c:pt>
                <c:pt idx="2">
                  <c:v>4200</c:v>
                </c:pt>
                <c:pt idx="3">
                  <c:v>5600</c:v>
                </c:pt>
                <c:pt idx="4">
                  <c:v>8700</c:v>
                </c:pt>
                <c:pt idx="5">
                  <c:v>13200</c:v>
                </c:pt>
              </c:numCache>
            </c:numRef>
          </c:val>
        </c:ser>
        <c:ser>
          <c:idx val="9"/>
          <c:order val="9"/>
          <c:tx>
            <c:strRef>
              <c:f>公司薪级表!$AA$2</c:f>
              <c:strCache>
                <c:ptCount val="1"/>
                <c:pt idx="0">
                  <c:v>10级</c:v>
                </c:pt>
              </c:strCache>
            </c:strRef>
          </c:tx>
          <c:invertIfNegative val="0"/>
          <c:dLbls>
            <c:delete val="1"/>
          </c:dLbls>
          <c:cat>
            <c:strRef>
              <c:f>公司薪级表!$Q$3:$Q$8</c:f>
              <c:strCache>
                <c:ptCount val="6"/>
                <c:pt idx="0">
                  <c:v>0-200</c:v>
                </c:pt>
                <c:pt idx="1">
                  <c:v>201-300</c:v>
                </c:pt>
                <c:pt idx="2">
                  <c:v>301-500</c:v>
                </c:pt>
                <c:pt idx="3">
                  <c:v>501-700</c:v>
                </c:pt>
                <c:pt idx="4">
                  <c:v>701-900</c:v>
                </c:pt>
                <c:pt idx="5">
                  <c:v>901-1000</c:v>
                </c:pt>
              </c:strCache>
            </c:strRef>
          </c:cat>
          <c:val>
            <c:numRef>
              <c:f>公司薪级表!$AA$3:$AA$8</c:f>
              <c:numCache>
                <c:formatCode>@</c:formatCode>
                <c:ptCount val="6"/>
                <c:pt idx="0">
                  <c:v>2800</c:v>
                </c:pt>
                <c:pt idx="1">
                  <c:v>3400</c:v>
                </c:pt>
                <c:pt idx="2">
                  <c:v>4400</c:v>
                </c:pt>
                <c:pt idx="3">
                  <c:v>5900</c:v>
                </c:pt>
                <c:pt idx="4">
                  <c:v>9200</c:v>
                </c:pt>
                <c:pt idx="5">
                  <c:v>14200</c:v>
                </c:pt>
              </c:numCache>
            </c:numRef>
          </c:val>
        </c:ser>
        <c:ser>
          <c:idx val="10"/>
          <c:order val="10"/>
          <c:tx>
            <c:strRef>
              <c:f>公司薪级表!$AB$2</c:f>
              <c:strCache>
                <c:ptCount val="1"/>
                <c:pt idx="0">
                  <c:v>11级</c:v>
                </c:pt>
              </c:strCache>
            </c:strRef>
          </c:tx>
          <c:invertIfNegative val="0"/>
          <c:dLbls>
            <c:delete val="1"/>
          </c:dLbls>
          <c:cat>
            <c:strRef>
              <c:f>公司薪级表!$Q$3:$Q$8</c:f>
              <c:strCache>
                <c:ptCount val="6"/>
                <c:pt idx="0">
                  <c:v>0-200</c:v>
                </c:pt>
                <c:pt idx="1">
                  <c:v>201-300</c:v>
                </c:pt>
                <c:pt idx="2">
                  <c:v>301-500</c:v>
                </c:pt>
                <c:pt idx="3">
                  <c:v>501-700</c:v>
                </c:pt>
                <c:pt idx="4">
                  <c:v>701-900</c:v>
                </c:pt>
                <c:pt idx="5">
                  <c:v>901-1000</c:v>
                </c:pt>
              </c:strCache>
            </c:strRef>
          </c:cat>
          <c:val>
            <c:numRef>
              <c:f>公司薪级表!$AB$3:$AB$8</c:f>
              <c:numCache>
                <c:formatCode>@</c:formatCode>
                <c:ptCount val="6"/>
                <c:pt idx="0">
                  <c:v>2900</c:v>
                </c:pt>
                <c:pt idx="1">
                  <c:v>3500</c:v>
                </c:pt>
                <c:pt idx="2">
                  <c:v>4600</c:v>
                </c:pt>
                <c:pt idx="3">
                  <c:v>6200</c:v>
                </c:pt>
                <c:pt idx="4">
                  <c:v>9700</c:v>
                </c:pt>
                <c:pt idx="5">
                  <c:v>15200</c:v>
                </c:pt>
              </c:numCache>
            </c:numRef>
          </c:val>
        </c:ser>
        <c:ser>
          <c:idx val="11"/>
          <c:order val="11"/>
          <c:tx>
            <c:strRef>
              <c:f>公司薪级表!$AC$2</c:f>
              <c:strCache>
                <c:ptCount val="1"/>
                <c:pt idx="0">
                  <c:v>12级</c:v>
                </c:pt>
              </c:strCache>
            </c:strRef>
          </c:tx>
          <c:invertIfNegative val="0"/>
          <c:dLbls>
            <c:delete val="1"/>
          </c:dLbls>
          <c:cat>
            <c:strRef>
              <c:f>公司薪级表!$Q$3:$Q$8</c:f>
              <c:strCache>
                <c:ptCount val="6"/>
                <c:pt idx="0">
                  <c:v>0-200</c:v>
                </c:pt>
                <c:pt idx="1">
                  <c:v>201-300</c:v>
                </c:pt>
                <c:pt idx="2">
                  <c:v>301-500</c:v>
                </c:pt>
                <c:pt idx="3">
                  <c:v>501-700</c:v>
                </c:pt>
                <c:pt idx="4">
                  <c:v>701-900</c:v>
                </c:pt>
                <c:pt idx="5">
                  <c:v>901-1000</c:v>
                </c:pt>
              </c:strCache>
            </c:strRef>
          </c:cat>
          <c:val>
            <c:numRef>
              <c:f>公司薪级表!$AC$3:$AC$8</c:f>
              <c:numCache>
                <c:formatCode>@</c:formatCode>
                <c:ptCount val="6"/>
                <c:pt idx="0">
                  <c:v>3000</c:v>
                </c:pt>
                <c:pt idx="1">
                  <c:v>3600</c:v>
                </c:pt>
                <c:pt idx="2">
                  <c:v>4800</c:v>
                </c:pt>
                <c:pt idx="3">
                  <c:v>6500</c:v>
                </c:pt>
                <c:pt idx="4">
                  <c:v>10200</c:v>
                </c:pt>
                <c:pt idx="5">
                  <c:v>16200</c:v>
                </c:pt>
              </c:numCache>
            </c:numRef>
          </c:val>
        </c:ser>
        <c:dLbls>
          <c:showLegendKey val="0"/>
          <c:showVal val="0"/>
          <c:showCatName val="0"/>
          <c:showSerName val="0"/>
          <c:showPercent val="0"/>
          <c:showBubbleSize val="0"/>
        </c:dLbls>
        <c:gapWidth val="150"/>
        <c:axId val="119376896"/>
        <c:axId val="119382784"/>
      </c:barChart>
      <c:catAx>
        <c:axId val="11937689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dk1"/>
                </a:solidFill>
                <a:latin typeface="+mn-lt"/>
                <a:ea typeface="+mn-ea"/>
                <a:cs typeface="+mn-cs"/>
              </a:defRPr>
            </a:pPr>
          </a:p>
        </c:txPr>
        <c:crossAx val="119382784"/>
        <c:crosses val="autoZero"/>
        <c:auto val="1"/>
        <c:lblAlgn val="ctr"/>
        <c:lblOffset val="100"/>
        <c:noMultiLvlLbl val="0"/>
      </c:catAx>
      <c:valAx>
        <c:axId val="119382784"/>
        <c:scaling>
          <c:orientation val="minMax"/>
        </c:scaling>
        <c:delete val="0"/>
        <c:axPos val="l"/>
        <c:majorGridlines/>
        <c:numFmt formatCode="@"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dk1"/>
                </a:solidFill>
                <a:latin typeface="+mn-lt"/>
                <a:ea typeface="+mn-ea"/>
                <a:cs typeface="+mn-cs"/>
              </a:defRPr>
            </a:pPr>
          </a:p>
        </c:txPr>
        <c:crossAx val="11937689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dk1"/>
              </a:solidFill>
              <a:latin typeface="+mn-lt"/>
              <a:ea typeface="+mn-ea"/>
              <a:cs typeface="+mn-cs"/>
            </a:defRPr>
          </a:pPr>
        </a:p>
      </c:txPr>
    </c:legend>
    <c:plotVisOnly val="1"/>
    <c:dispBlanksAs val="gap"/>
    <c:showDLblsOverMax val="0"/>
  </c:chart>
  <c:spPr>
    <a:solidFill>
      <a:schemeClr val="lt1"/>
    </a:solidFill>
    <a:ln w="25400" cap="flat" cmpd="sng" algn="ctr">
      <a:solidFill>
        <a:schemeClr val="accent1"/>
      </a:solidFill>
      <a:prstDash val="solid"/>
      <a:round/>
    </a:ln>
    <a:effectLst/>
  </c:spPr>
  <c:txPr>
    <a:bodyPr/>
    <a:lstStyle/>
    <a:p>
      <a:pPr>
        <a:defRPr lang="zh-CN">
          <a:solidFill>
            <a:schemeClr val="dk1"/>
          </a:solidFill>
          <a:latin typeface="+mn-lt"/>
          <a:ea typeface="+mn-ea"/>
          <a:cs typeface="+mn-cs"/>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347173-DD46-4F43-AA61-930C91EF1DF8}">
  <ds:schemaRefs/>
</ds:datastoreItem>
</file>

<file path=docProps/app.xml><?xml version="1.0" encoding="utf-8"?>
<Properties xmlns="http://schemas.openxmlformats.org/officeDocument/2006/extended-properties" xmlns:vt="http://schemas.openxmlformats.org/officeDocument/2006/docPropsVTypes">
  <Template>Normal</Template>
  <Pages>1</Pages>
  <Words>4795</Words>
  <Characters>27333</Characters>
  <Lines>227</Lines>
  <Paragraphs>64</Paragraphs>
  <TotalTime>3600</TotalTime>
  <ScaleCrop>false</ScaleCrop>
  <LinksUpToDate>false</LinksUpToDate>
  <CharactersWithSpaces>32064</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2014-12-25T08:13:00Z</dcterms:created>
  <dc:creator>Administrator</dc:creator>
  <cp:lastModifiedBy>Administrator</cp:lastModifiedBy>
  <cp:lastPrinted>2015-01-23T04:02:00Z</cp:lastPrinted>
  <dcterms:modified xsi:type="dcterms:W3CDTF">2019-10-16T08:14:19Z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