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jc w:val="center"/>
        <w:rPr>
          <w:rFonts w:ascii="楷体" w:hAnsi="楷体" w:eastAsia="楷体" w:cs="楷体"/>
          <w:b/>
          <w:b/>
          <w:sz w:val="52"/>
        </w:rPr>
      </w:pPr>
      <w:r>
        <w:rPr>
          <w:rFonts w:eastAsia="黑体" w:cs="楷体" w:ascii="SimHei" w:hAnsi="SimHei"/>
          <w:b/>
          <w:sz w:val="52"/>
        </w:rPr>
        <w:t>XX</w:t>
      </w:r>
      <w:r>
        <w:rPr>
          <w:rFonts w:ascii="SimHei" w:hAnsi="SimHei" w:cs="楷体" w:eastAsia="黑体"/>
          <w:b/>
          <w:sz w:val="52"/>
        </w:rPr>
        <w:t>地产</w:t>
      </w:r>
      <w:r>
        <w:rPr>
          <w:rFonts w:ascii="SimHei" w:hAnsi="SimHei" w:cs="楷体" w:eastAsia="黑体"/>
          <w:b/>
          <w:sz w:val="52"/>
        </w:rPr>
        <w:t>股份</w:t>
      </w:r>
      <w:r>
        <w:rPr>
          <w:rFonts w:ascii="SimHei" w:hAnsi="SimHei" w:cs="楷体" w:eastAsia="黑体"/>
          <w:b/>
          <w:sz w:val="52"/>
        </w:rPr>
        <w:t>公司</w:t>
      </w:r>
    </w:p>
    <w:p>
      <w:pPr>
        <w:pStyle w:val="Normal"/>
        <w:widowControl/>
        <w:spacing w:lineRule="auto" w:line="360"/>
        <w:jc w:val="center"/>
        <w:rPr>
          <w:rFonts w:ascii="楷体" w:hAnsi="楷体" w:eastAsia="楷体" w:cs="楷体"/>
          <w:vanish/>
          <w:kern w:val="0"/>
          <w:sz w:val="52"/>
        </w:rPr>
      </w:pPr>
      <w:r>
        <w:rPr>
          <w:rFonts w:ascii="SimHei" w:hAnsi="SimHei" w:cs="楷体" w:eastAsia="黑体"/>
          <w:b/>
          <w:sz w:val="52"/>
        </w:rPr>
        <w:t>薪酬激励方案</w:t>
      </w:r>
    </w:p>
    <w:p>
      <w:pPr>
        <w:pStyle w:val="Normal"/>
        <w:spacing w:lineRule="auto" w:line="360"/>
        <w:jc w:val="center"/>
        <w:rPr>
          <w:rFonts w:ascii="楷体" w:hAnsi="楷体" w:eastAsia="楷体" w:cs="楷体"/>
          <w:b/>
          <w:b/>
          <w:vanish/>
          <w:kern w:val="0"/>
          <w:sz w:val="52"/>
        </w:rPr>
      </w:pPr>
      <w:r>
        <w:rPr>
          <w:rFonts w:eastAsia="黑体" w:cs="楷体" w:ascii="SimHei" w:hAnsi="SimHei"/>
          <w:b/>
          <w:vanish/>
          <w:kern w:val="0"/>
          <w:sz w:val="52"/>
        </w:rPr>
      </w:r>
    </w:p>
    <w:p>
      <w:pPr>
        <w:pStyle w:val="Normal"/>
        <w:spacing w:lineRule="auto" w:line="360"/>
        <w:ind w:firstLine="480"/>
        <w:rPr>
          <w:rFonts w:ascii="楷体" w:hAnsi="楷体" w:eastAsia="楷体" w:cs="楷体"/>
          <w:b/>
          <w:b/>
          <w:sz w:val="24"/>
        </w:rPr>
      </w:pPr>
      <w:r>
        <w:rPr>
          <w:rFonts w:eastAsia="黑体" w:cs="楷体" w:ascii="SimHei" w:hAnsi="SimHei"/>
          <w:b/>
          <w:sz w:val="24"/>
        </w:rPr>
      </w:r>
    </w:p>
    <w:p>
      <w:pPr>
        <w:pStyle w:val="Normal"/>
        <w:spacing w:lineRule="auto" w:line="360"/>
        <w:ind w:firstLine="480"/>
        <w:rPr>
          <w:rFonts w:ascii="楷体" w:hAnsi="楷体" w:eastAsia="楷体" w:cs="楷体"/>
          <w:sz w:val="24"/>
        </w:rPr>
      </w:pPr>
      <w:r>
        <w:rPr>
          <w:rFonts w:eastAsia="黑体" w:cs="楷体" w:ascii="SimHei" w:hAnsi="SimHei"/>
          <w:sz w:val="24"/>
        </w:rPr>
      </w:r>
    </w:p>
    <w:p>
      <w:pPr>
        <w:pStyle w:val="Normal"/>
        <w:spacing w:lineRule="auto" w:line="360"/>
        <w:ind w:firstLine="480"/>
        <w:rPr>
          <w:rFonts w:ascii="楷体" w:hAnsi="楷体" w:eastAsia="楷体" w:cs="楷体"/>
          <w:sz w:val="24"/>
        </w:rPr>
      </w:pPr>
      <w:r>
        <w:rPr>
          <w:rFonts w:eastAsia="黑体" w:cs="楷体" w:ascii="SimHei" w:hAnsi="SimHei"/>
          <w:sz w:val="24"/>
        </w:rPr>
      </w:r>
    </w:p>
    <w:p>
      <w:pPr>
        <w:sectPr>
          <w:headerReference w:type="default" r:id="rId2"/>
          <w:type w:val="nextPage"/>
          <w:pgSz w:w="11906" w:h="16838"/>
          <w:pgMar w:left="1474" w:right="1474" w:header="851" w:top="907" w:footer="0" w:bottom="851" w:gutter="0"/>
          <w:pgNumType w:start="1" w:fmt="lowerRoman"/>
          <w:formProt w:val="false"/>
          <w:textDirection w:val="lrTb"/>
          <w:docGrid w:type="lines" w:linePitch="312" w:charSpace="0"/>
        </w:sect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jc w:val="center"/>
        <w:rPr>
          <w:rFonts w:ascii="楷体" w:hAnsi="楷体" w:eastAsia="楷体" w:cs="楷体"/>
          <w:b/>
          <w:b/>
          <w:bCs/>
          <w:sz w:val="21"/>
          <w:szCs w:val="21"/>
        </w:rPr>
      </w:pPr>
      <w:r>
        <w:rPr>
          <w:rFonts w:ascii="SimHei" w:hAnsi="SimHei" w:cs="楷体" w:eastAsia="黑体"/>
          <w:b/>
          <w:sz w:val="28"/>
          <w:szCs w:val="28"/>
        </w:rPr>
        <w:t>目录</w:t>
      </w:r>
    </w:p>
    <w:sdt>
      <w:sdtPr>
        <w:docPartObj>
          <w:docPartGallery w:val="Table of Contents"/>
          <w:docPartUnique w:val="true"/>
        </w:docPartObj>
      </w:sdtPr>
      <w:sdtContent>
        <w:p>
          <w:pPr>
            <w:pStyle w:val="Contents1"/>
            <w:spacing w:lineRule="auto" w:line="360"/>
            <w:ind w:firstLine="482"/>
            <w:jc w:val="center"/>
            <w:rPr>
              <w:rFonts w:ascii="楷体" w:hAnsi="楷体" w:eastAsia="楷体" w:cs="楷体"/>
              <w:sz w:val="21"/>
              <w:szCs w:val="21"/>
              <w:lang w:val="en-US" w:eastAsia="en-US"/>
            </w:rPr>
          </w:pPr>
          <w:r>
            <w:fldChar w:fldCharType="begin"/>
          </w:r>
          <w:r>
            <w:rPr>
              <w:rStyle w:val="IndexLink"/>
              <w:sz w:val="21"/>
              <w:szCs w:val="21"/>
              <w:rFonts w:ascii="楷体" w:hAnsi="楷体" w:cs="楷体" w:eastAsia="楷体"/>
              <w:lang w:val="en-US" w:eastAsia="en-US"/>
            </w:rPr>
            <w:instrText> TOC \o "1-4" \h \z </w:instrText>
          </w:r>
          <w:r>
            <w:rPr>
              <w:rStyle w:val="IndexLink"/>
              <w:sz w:val="21"/>
              <w:szCs w:val="21"/>
              <w:rFonts w:ascii="楷体" w:hAnsi="楷体" w:cs="楷体" w:eastAsia="楷体"/>
              <w:lang w:val="en-US" w:eastAsia="en-US"/>
            </w:rPr>
            <w:fldChar w:fldCharType="separate"/>
          </w:r>
          <w:hyperlink w:anchor="__RefHeading___Toc30302465">
            <w:r>
              <w:rPr>
                <w:rStyle w:val="IndexLink"/>
                <w:rFonts w:ascii="楷体" w:hAnsi="楷体" w:cs="楷体" w:eastAsia="楷体"/>
                <w:sz w:val="21"/>
                <w:szCs w:val="21"/>
                <w:lang w:val="en-US" w:eastAsia="en-US"/>
              </w:rPr>
              <w:t>地产薪酬激励方案</w:t>
            </w:r>
            <w:r>
              <w:rPr>
                <w:rStyle w:val="IndexLink"/>
                <w:rFonts w:eastAsia="楷体" w:cs="楷体" w:ascii="楷体" w:hAnsi="楷体"/>
                <w:sz w:val="21"/>
                <w:szCs w:val="21"/>
                <w:lang w:val="en-US" w:eastAsia="en-US"/>
              </w:rPr>
              <w:tab/>
              <w:t>1</w:t>
            </w:r>
          </w:hyperlink>
        </w:p>
        <w:p>
          <w:pPr>
            <w:pStyle w:val="Contents2"/>
            <w:spacing w:lineRule="auto" w:line="360"/>
            <w:ind w:firstLine="420"/>
            <w:jc w:val="center"/>
            <w:rPr>
              <w:rFonts w:ascii="楷体" w:hAnsi="楷体" w:eastAsia="楷体" w:cs="楷体"/>
              <w:sz w:val="21"/>
              <w:szCs w:val="21"/>
              <w:lang w:val="en-US" w:eastAsia="en-US"/>
            </w:rPr>
          </w:pPr>
          <w:hyperlink w:anchor="__RefHeading___Toc30302466">
            <w:r>
              <w:rPr>
                <w:rStyle w:val="IndexLink"/>
                <w:rFonts w:ascii="楷体" w:hAnsi="楷体" w:cs="楷体" w:eastAsia="楷体"/>
                <w:sz w:val="21"/>
                <w:szCs w:val="21"/>
                <w:lang w:val="en-US" w:eastAsia="en-US"/>
              </w:rPr>
              <w:t>第一节</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地区公司奖金方案</w:t>
            </w:r>
            <w:r>
              <w:rPr>
                <w:rStyle w:val="IndexLink"/>
                <w:rFonts w:eastAsia="楷体" w:cs="楷体" w:ascii="楷体" w:hAnsi="楷体"/>
                <w:sz w:val="21"/>
                <w:szCs w:val="21"/>
                <w:lang w:val="en-US" w:eastAsia="en-US"/>
              </w:rPr>
              <w:tab/>
              <w:t>1</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67">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方案设计思路</w:t>
            </w:r>
            <w:r>
              <w:rPr>
                <w:rStyle w:val="IndexLink"/>
                <w:rFonts w:eastAsia="楷体" w:cs="楷体" w:ascii="楷体" w:hAnsi="楷体"/>
                <w:sz w:val="21"/>
                <w:szCs w:val="21"/>
                <w:lang w:val="en-US" w:eastAsia="en-US"/>
              </w:rPr>
              <w:tab/>
              <w:t>1</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68">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方案概述</w:t>
            </w:r>
            <w:r>
              <w:rPr>
                <w:rStyle w:val="IndexLink"/>
                <w:rFonts w:eastAsia="楷体" w:cs="楷体" w:ascii="楷体" w:hAnsi="楷体"/>
                <w:sz w:val="21"/>
                <w:szCs w:val="21"/>
                <w:lang w:val="en-US" w:eastAsia="en-US"/>
              </w:rPr>
              <w:tab/>
              <w:t>1</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69">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奖金核算的原则</w:t>
            </w:r>
            <w:r>
              <w:rPr>
                <w:rStyle w:val="IndexLink"/>
                <w:rFonts w:eastAsia="楷体" w:cs="楷体" w:ascii="楷体" w:hAnsi="楷体"/>
                <w:sz w:val="21"/>
                <w:szCs w:val="21"/>
                <w:lang w:val="en-US" w:eastAsia="en-US"/>
              </w:rPr>
              <w:tab/>
              <w:t>1</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0">
            <w:r>
              <w:rPr>
                <w:rStyle w:val="IndexLink"/>
                <w:rFonts w:ascii="楷体" w:hAnsi="楷体" w:cs="楷体" w:eastAsia="楷体"/>
                <w:sz w:val="21"/>
                <w:szCs w:val="21"/>
                <w:lang w:val="en-US" w:eastAsia="en-US"/>
              </w:rPr>
              <w:t>（三）</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奖金的分类</w:t>
            </w:r>
            <w:r>
              <w:rPr>
                <w:rStyle w:val="IndexLink"/>
                <w:rFonts w:eastAsia="楷体" w:cs="楷体" w:ascii="楷体" w:hAnsi="楷体"/>
                <w:sz w:val="21"/>
                <w:szCs w:val="21"/>
                <w:lang w:val="en-US" w:eastAsia="en-US"/>
              </w:rPr>
              <w:tab/>
              <w:t>2</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71">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项目奖金</w:t>
            </w:r>
            <w:r>
              <w:rPr>
                <w:rStyle w:val="IndexLink"/>
                <w:rFonts w:eastAsia="楷体" w:cs="楷体" w:ascii="楷体" w:hAnsi="楷体"/>
                <w:sz w:val="21"/>
                <w:szCs w:val="21"/>
                <w:lang w:val="en-US" w:eastAsia="en-US"/>
              </w:rPr>
              <w:tab/>
              <w:t>3</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2">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核算方案</w:t>
            </w:r>
            <w:r>
              <w:rPr>
                <w:rStyle w:val="IndexLink"/>
                <w:rFonts w:eastAsia="楷体" w:cs="楷体" w:ascii="楷体" w:hAnsi="楷体"/>
                <w:sz w:val="21"/>
                <w:szCs w:val="21"/>
                <w:lang w:val="en-US" w:eastAsia="en-US"/>
              </w:rPr>
              <w:tab/>
              <w:t>3</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3">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支付时间</w:t>
            </w:r>
            <w:r>
              <w:rPr>
                <w:rStyle w:val="IndexLink"/>
                <w:rFonts w:eastAsia="楷体" w:cs="楷体" w:ascii="楷体" w:hAnsi="楷体"/>
                <w:sz w:val="21"/>
                <w:szCs w:val="21"/>
                <w:lang w:val="en-US" w:eastAsia="en-US"/>
              </w:rPr>
              <w:tab/>
              <w:t>4</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74">
            <w:r>
              <w:rPr>
                <w:rStyle w:val="IndexLink"/>
                <w:rFonts w:ascii="楷体" w:hAnsi="楷体" w:cs="楷体" w:eastAsia="楷体"/>
                <w:sz w:val="21"/>
                <w:szCs w:val="21"/>
                <w:lang w:val="en-US" w:eastAsia="en-US"/>
              </w:rPr>
              <w:t>三、</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年度奖金</w:t>
            </w:r>
            <w:r>
              <w:rPr>
                <w:rStyle w:val="IndexLink"/>
                <w:rFonts w:eastAsia="楷体" w:cs="楷体" w:ascii="楷体" w:hAnsi="楷体"/>
                <w:sz w:val="21"/>
                <w:szCs w:val="21"/>
                <w:lang w:val="en-US" w:eastAsia="en-US"/>
              </w:rPr>
              <w:tab/>
              <w:t>6</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5">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核算方案</w:t>
            </w:r>
            <w:r>
              <w:rPr>
                <w:rStyle w:val="IndexLink"/>
                <w:rFonts w:eastAsia="楷体" w:cs="楷体" w:ascii="楷体" w:hAnsi="楷体"/>
                <w:sz w:val="21"/>
                <w:szCs w:val="21"/>
                <w:lang w:val="en-US" w:eastAsia="en-US"/>
              </w:rPr>
              <w:tab/>
              <w:t>6</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6">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支付时间和方式</w:t>
            </w:r>
            <w:r>
              <w:rPr>
                <w:rStyle w:val="IndexLink"/>
                <w:rFonts w:eastAsia="楷体" w:cs="楷体" w:ascii="楷体" w:hAnsi="楷体"/>
                <w:sz w:val="21"/>
                <w:szCs w:val="21"/>
                <w:lang w:val="en-US" w:eastAsia="en-US"/>
              </w:rPr>
              <w:tab/>
              <w:t>9</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77">
            <w:r>
              <w:rPr>
                <w:rStyle w:val="IndexLink"/>
                <w:rFonts w:ascii="楷体" w:hAnsi="楷体" w:cs="楷体" w:eastAsia="楷体"/>
                <w:sz w:val="21"/>
                <w:szCs w:val="21"/>
                <w:lang w:val="en-US" w:eastAsia="en-US"/>
              </w:rPr>
              <w:t>四、</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奖金分配系数的确定</w:t>
            </w:r>
            <w:r>
              <w:rPr>
                <w:rStyle w:val="IndexLink"/>
                <w:rFonts w:eastAsia="楷体" w:cs="楷体" w:ascii="楷体" w:hAnsi="楷体"/>
                <w:sz w:val="21"/>
                <w:szCs w:val="21"/>
                <w:lang w:val="en-US" w:eastAsia="en-US"/>
              </w:rPr>
              <w:tab/>
              <w:t>12</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8">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确定奖金分配系数的原则</w:t>
            </w:r>
            <w:r>
              <w:rPr>
                <w:rStyle w:val="IndexLink"/>
                <w:rFonts w:eastAsia="楷体" w:cs="楷体" w:ascii="楷体" w:hAnsi="楷体"/>
                <w:sz w:val="21"/>
                <w:szCs w:val="21"/>
                <w:lang w:val="en-US" w:eastAsia="en-US"/>
              </w:rPr>
              <w:tab/>
              <w:t>12</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79">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确定奖金分配系数的方法</w:t>
            </w:r>
            <w:r>
              <w:rPr>
                <w:rStyle w:val="IndexLink"/>
                <w:rFonts w:eastAsia="楷体" w:cs="楷体" w:ascii="楷体" w:hAnsi="楷体"/>
                <w:sz w:val="21"/>
                <w:szCs w:val="21"/>
                <w:lang w:val="en-US" w:eastAsia="en-US"/>
              </w:rPr>
              <w:tab/>
              <w:t>13</w:t>
            </w:r>
          </w:hyperlink>
        </w:p>
        <w:p>
          <w:pPr>
            <w:pStyle w:val="Contents2"/>
            <w:spacing w:lineRule="auto" w:line="360"/>
            <w:ind w:firstLine="420"/>
            <w:jc w:val="center"/>
            <w:rPr>
              <w:rFonts w:ascii="楷体" w:hAnsi="楷体" w:eastAsia="楷体" w:cs="楷体"/>
              <w:sz w:val="21"/>
              <w:szCs w:val="21"/>
              <w:lang w:val="en-US" w:eastAsia="en-US"/>
            </w:rPr>
          </w:pPr>
          <w:hyperlink w:anchor="__RefHeading___Toc30302480">
            <w:r>
              <w:rPr>
                <w:rStyle w:val="IndexLink"/>
                <w:rFonts w:ascii="楷体" w:hAnsi="楷体" w:cs="楷体" w:eastAsia="楷体"/>
                <w:sz w:val="21"/>
                <w:szCs w:val="21"/>
                <w:lang w:val="en-US" w:eastAsia="en-US"/>
              </w:rPr>
              <w:t>第二节</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总部薪酬激励机制</w:t>
            </w:r>
            <w:r>
              <w:rPr>
                <w:rStyle w:val="IndexLink"/>
                <w:rFonts w:eastAsia="楷体" w:cs="楷体" w:ascii="楷体" w:hAnsi="楷体"/>
                <w:sz w:val="21"/>
                <w:szCs w:val="21"/>
                <w:lang w:val="en-US" w:eastAsia="en-US"/>
              </w:rPr>
              <w:tab/>
              <w:t>18</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81">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薪酬现状分析</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2">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薪资水平不具有竞争力</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3">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薪资呈现部分“平均主义”及标准不明确</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4">
            <w:r>
              <w:rPr>
                <w:rStyle w:val="IndexLink"/>
                <w:rFonts w:ascii="楷体" w:hAnsi="楷体" w:cs="楷体" w:eastAsia="楷体"/>
                <w:sz w:val="21"/>
                <w:szCs w:val="21"/>
                <w:lang w:val="en-US" w:eastAsia="en-US"/>
              </w:rPr>
              <w:t>（三）</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薪资与绩效相关度低</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5">
            <w:r>
              <w:rPr>
                <w:rStyle w:val="IndexLink"/>
                <w:rFonts w:ascii="楷体" w:hAnsi="楷体" w:cs="楷体" w:eastAsia="楷体"/>
                <w:sz w:val="21"/>
                <w:szCs w:val="21"/>
                <w:lang w:val="en-US" w:eastAsia="en-US"/>
              </w:rPr>
              <w:t>（四）</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缺乏有结构及合理的职位序列体系</w:t>
            </w:r>
            <w:r>
              <w:rPr>
                <w:rStyle w:val="IndexLink"/>
                <w:rFonts w:eastAsia="楷体" w:cs="楷体" w:ascii="楷体" w:hAnsi="楷体"/>
                <w:sz w:val="21"/>
                <w:szCs w:val="21"/>
                <w:lang w:val="en-US" w:eastAsia="en-US"/>
              </w:rPr>
              <w:tab/>
              <w:t>18</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86">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改善思路</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7">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改善薪酬管理体系的原则</w:t>
            </w:r>
            <w:r>
              <w:rPr>
                <w:rStyle w:val="IndexLink"/>
                <w:rFonts w:eastAsia="楷体" w:cs="楷体" w:ascii="楷体" w:hAnsi="楷体"/>
                <w:sz w:val="21"/>
                <w:szCs w:val="21"/>
                <w:lang w:val="en-US" w:eastAsia="en-US"/>
              </w:rPr>
              <w:tab/>
              <w:t>18</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88">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完善薪酬体系的措施</w:t>
            </w:r>
            <w:r>
              <w:rPr>
                <w:rStyle w:val="IndexLink"/>
                <w:rFonts w:eastAsia="楷体" w:cs="楷体" w:ascii="楷体" w:hAnsi="楷体"/>
                <w:sz w:val="21"/>
                <w:szCs w:val="21"/>
                <w:lang w:val="en-US" w:eastAsia="en-US"/>
              </w:rPr>
              <w:tab/>
              <w:t>19</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89">
            <w:r>
              <w:rPr>
                <w:rStyle w:val="IndexLink"/>
                <w:rFonts w:ascii="楷体" w:hAnsi="楷体" w:cs="楷体" w:eastAsia="楷体"/>
                <w:sz w:val="21"/>
                <w:szCs w:val="21"/>
                <w:lang w:val="en-US" w:eastAsia="en-US"/>
              </w:rPr>
              <w:t>三、</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薪酬构成</w:t>
            </w:r>
            <w:r>
              <w:rPr>
                <w:rStyle w:val="IndexLink"/>
                <w:rFonts w:eastAsia="楷体" w:cs="楷体" w:ascii="楷体" w:hAnsi="楷体"/>
                <w:sz w:val="21"/>
                <w:szCs w:val="21"/>
                <w:lang w:val="en-US" w:eastAsia="en-US"/>
              </w:rPr>
              <w:tab/>
              <w:t>19</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0">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固定工资</w:t>
            </w:r>
            <w:r>
              <w:rPr>
                <w:rStyle w:val="IndexLink"/>
                <w:rFonts w:eastAsia="楷体" w:cs="楷体" w:ascii="楷体" w:hAnsi="楷体"/>
                <w:sz w:val="21"/>
                <w:szCs w:val="21"/>
                <w:lang w:val="en-US" w:eastAsia="en-US"/>
              </w:rPr>
              <w:tab/>
              <w:t>19</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1">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可变工资</w:t>
            </w:r>
            <w:r>
              <w:rPr>
                <w:rStyle w:val="IndexLink"/>
                <w:rFonts w:eastAsia="楷体" w:cs="楷体" w:ascii="楷体" w:hAnsi="楷体"/>
                <w:sz w:val="21"/>
                <w:szCs w:val="21"/>
                <w:lang w:val="en-US" w:eastAsia="en-US"/>
              </w:rPr>
              <w:tab/>
              <w:t>20</w:t>
            </w:r>
          </w:hyperlink>
        </w:p>
        <w:p>
          <w:pPr>
            <w:pStyle w:val="Contents3"/>
            <w:spacing w:lineRule="auto" w:line="360"/>
            <w:ind w:firstLine="420"/>
            <w:jc w:val="center"/>
            <w:rPr>
              <w:rFonts w:ascii="楷体" w:hAnsi="楷体" w:eastAsia="楷体" w:cs="楷体"/>
              <w:sz w:val="21"/>
              <w:szCs w:val="21"/>
              <w:lang w:val="en-US" w:eastAsia="en-US"/>
            </w:rPr>
          </w:pPr>
          <w:hyperlink w:anchor="__RefHeading___Toc30302492">
            <w:r>
              <w:rPr>
                <w:rStyle w:val="IndexLink"/>
                <w:rFonts w:ascii="楷体" w:hAnsi="楷体" w:cs="楷体" w:eastAsia="楷体"/>
                <w:sz w:val="21"/>
                <w:szCs w:val="21"/>
                <w:lang w:val="en-US" w:eastAsia="en-US"/>
              </w:rPr>
              <w:t>四、</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制订薪酬标准</w:t>
            </w:r>
            <w:r>
              <w:rPr>
                <w:rStyle w:val="IndexLink"/>
                <w:rFonts w:eastAsia="楷体" w:cs="楷体" w:ascii="楷体" w:hAnsi="楷体"/>
                <w:sz w:val="21"/>
                <w:szCs w:val="21"/>
                <w:lang w:val="en-US" w:eastAsia="en-US"/>
              </w:rPr>
              <w:tab/>
              <w:t>20</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3">
            <w:r>
              <w:rPr>
                <w:rStyle w:val="IndexLink"/>
                <w:rFonts w:ascii="楷体" w:hAnsi="楷体" w:cs="楷体" w:eastAsia="楷体"/>
                <w:sz w:val="21"/>
                <w:szCs w:val="21"/>
                <w:lang w:val="en-US" w:eastAsia="en-US"/>
              </w:rPr>
              <w:t>（一）</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确定薪酬标准的原则</w:t>
            </w:r>
            <w:r>
              <w:rPr>
                <w:rStyle w:val="IndexLink"/>
                <w:rFonts w:eastAsia="楷体" w:cs="楷体" w:ascii="楷体" w:hAnsi="楷体"/>
                <w:sz w:val="21"/>
                <w:szCs w:val="21"/>
                <w:lang w:val="en-US" w:eastAsia="en-US"/>
              </w:rPr>
              <w:tab/>
              <w:t>20</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4">
            <w:r>
              <w:rPr>
                <w:rStyle w:val="IndexLink"/>
                <w:rFonts w:ascii="楷体" w:hAnsi="楷体" w:cs="楷体" w:eastAsia="楷体"/>
                <w:sz w:val="21"/>
                <w:szCs w:val="21"/>
                <w:lang w:val="en-US" w:eastAsia="en-US"/>
              </w:rPr>
              <w:t>（二）</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基准工资标准确定</w:t>
            </w:r>
            <w:r>
              <w:rPr>
                <w:rStyle w:val="IndexLink"/>
                <w:rFonts w:eastAsia="楷体" w:cs="楷体" w:ascii="楷体" w:hAnsi="楷体"/>
                <w:sz w:val="21"/>
                <w:szCs w:val="21"/>
                <w:lang w:val="en-US" w:eastAsia="en-US"/>
              </w:rPr>
              <w:tab/>
              <w:t>21</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5">
            <w:r>
              <w:rPr>
                <w:rStyle w:val="IndexLink"/>
                <w:rFonts w:ascii="楷体" w:hAnsi="楷体" w:cs="楷体" w:eastAsia="楷体"/>
                <w:sz w:val="21"/>
                <w:szCs w:val="21"/>
                <w:lang w:val="en-US" w:eastAsia="en-US"/>
              </w:rPr>
              <w:t>（三）</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基本工资</w:t>
            </w:r>
            <w:r>
              <w:rPr>
                <w:rStyle w:val="IndexLink"/>
                <w:rFonts w:eastAsia="楷体" w:cs="楷体" w:ascii="楷体" w:hAnsi="楷体"/>
                <w:sz w:val="21"/>
                <w:szCs w:val="21"/>
                <w:lang w:val="en-US" w:eastAsia="en-US"/>
              </w:rPr>
              <w:tab/>
              <w:t>26</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6">
            <w:r>
              <w:rPr>
                <w:rStyle w:val="IndexLink"/>
                <w:rFonts w:ascii="楷体" w:hAnsi="楷体" w:cs="楷体" w:eastAsia="楷体"/>
                <w:sz w:val="21"/>
                <w:szCs w:val="21"/>
                <w:lang w:val="en-US" w:eastAsia="en-US"/>
              </w:rPr>
              <w:t>（四）</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绩效工资标准计算</w:t>
            </w:r>
            <w:r>
              <w:rPr>
                <w:rStyle w:val="IndexLink"/>
                <w:rFonts w:eastAsia="楷体" w:cs="楷体" w:ascii="楷体" w:hAnsi="楷体"/>
                <w:sz w:val="21"/>
                <w:szCs w:val="21"/>
                <w:lang w:val="en-US" w:eastAsia="en-US"/>
              </w:rPr>
              <w:tab/>
              <w:t>26</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7">
            <w:r>
              <w:rPr>
                <w:rStyle w:val="IndexLink"/>
                <w:rFonts w:ascii="楷体" w:hAnsi="楷体" w:cs="楷体" w:eastAsia="楷体"/>
                <w:sz w:val="21"/>
                <w:szCs w:val="21"/>
                <w:lang w:val="en-US" w:eastAsia="en-US"/>
              </w:rPr>
              <w:t>（五）</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年功工资标准计算</w:t>
            </w:r>
            <w:r>
              <w:rPr>
                <w:rStyle w:val="IndexLink"/>
                <w:rFonts w:eastAsia="楷体" w:cs="楷体" w:ascii="楷体" w:hAnsi="楷体"/>
                <w:sz w:val="21"/>
                <w:szCs w:val="21"/>
                <w:lang w:val="en-US" w:eastAsia="en-US"/>
              </w:rPr>
              <w:tab/>
              <w:t>27</w:t>
            </w:r>
          </w:hyperlink>
        </w:p>
        <w:p>
          <w:pPr>
            <w:pStyle w:val="Contents4"/>
            <w:tabs>
              <w:tab w:val="clear" w:pos="420"/>
              <w:tab w:val="left" w:pos="851" w:leader="none"/>
              <w:tab w:val="left" w:pos="1134" w:leader="none"/>
              <w:tab w:val="right" w:pos="8296" w:leader="dot"/>
            </w:tabs>
            <w:spacing w:lineRule="auto" w:line="360"/>
            <w:ind w:start="0" w:firstLine="420"/>
            <w:jc w:val="center"/>
            <w:rPr>
              <w:rFonts w:ascii="楷体" w:hAnsi="楷体" w:eastAsia="楷体" w:cs="楷体"/>
              <w:sz w:val="21"/>
              <w:szCs w:val="21"/>
              <w:lang w:val="en-US" w:eastAsia="en-US"/>
            </w:rPr>
          </w:pPr>
          <w:hyperlink w:anchor="__RefHeading___Toc30302498">
            <w:r>
              <w:rPr>
                <w:rStyle w:val="IndexLink"/>
                <w:rFonts w:ascii="楷体" w:hAnsi="楷体" w:cs="楷体" w:eastAsia="楷体"/>
                <w:sz w:val="21"/>
                <w:szCs w:val="21"/>
                <w:lang w:val="en-US" w:eastAsia="en-US"/>
              </w:rPr>
              <w:t>（六）</w:t>
            </w:r>
            <w:r>
              <w:rPr>
                <w:rStyle w:val="IndexLink"/>
                <w:rFonts w:eastAsia="楷体" w:cs="楷体" w:ascii="楷体" w:hAnsi="楷体"/>
                <w:sz w:val="21"/>
                <w:szCs w:val="21"/>
                <w:lang w:val="en-US" w:eastAsia="en-US"/>
              </w:rPr>
              <w:tab/>
            </w:r>
            <w:r>
              <w:rPr>
                <w:rStyle w:val="IndexLink"/>
                <w:rFonts w:ascii="楷体" w:hAnsi="楷体" w:cs="楷体" w:eastAsia="楷体"/>
                <w:sz w:val="21"/>
                <w:szCs w:val="21"/>
                <w:lang w:val="en-US" w:eastAsia="en-US"/>
              </w:rPr>
              <w:t>年度奖金标准计算</w:t>
            </w:r>
            <w:r>
              <w:rPr>
                <w:rStyle w:val="IndexLink"/>
                <w:rFonts w:eastAsia="楷体" w:cs="楷体" w:ascii="楷体" w:hAnsi="楷体"/>
                <w:sz w:val="21"/>
                <w:szCs w:val="21"/>
                <w:lang w:val="en-US" w:eastAsia="en-US"/>
              </w:rPr>
              <w:tab/>
              <w:t>27</w:t>
            </w:r>
          </w:hyperlink>
          <w:r>
            <w:rPr>
              <w:rStyle w:val="IndexLink"/>
              <w:sz w:val="21"/>
              <w:szCs w:val="21"/>
              <w:rFonts w:ascii="楷体" w:hAnsi="楷体" w:cs="楷体" w:eastAsia="楷体"/>
              <w:lang w:val="en-US" w:eastAsia="en-US"/>
            </w:rPr>
            <w:fldChar w:fldCharType="end"/>
          </w:r>
        </w:p>
      </w:sdtContent>
    </w:sdt>
    <w:p>
      <w:pPr>
        <w:pStyle w:val="Normal"/>
        <w:spacing w:lineRule="auto" w:line="360"/>
        <w:ind w:firstLine="422"/>
        <w:jc w:val="center"/>
        <w:rPr>
          <w:rFonts w:ascii="楷体" w:hAnsi="楷体" w:eastAsia="楷体" w:cs="楷体"/>
          <w:b/>
          <w:b/>
          <w:bCs/>
          <w:sz w:val="24"/>
          <w:szCs w:val="21"/>
          <w:lang w:val="en-US" w:eastAsia="en-US"/>
        </w:rPr>
      </w:pPr>
      <w:r>
        <w:rPr>
          <w:rFonts w:eastAsia="黑体" w:cs="楷体" w:ascii="SimHei" w:hAnsi="SimHei"/>
          <w:b/>
          <w:bCs/>
          <w:sz w:val="24"/>
          <w:szCs w:val="21"/>
          <w:lang w:val="en-US" w:eastAsia="en-US"/>
        </w:rPr>
      </w:r>
    </w:p>
    <w:p>
      <w:pPr>
        <w:pStyle w:val="Contents2"/>
        <w:spacing w:lineRule="auto" w:line="360"/>
        <w:ind w:firstLine="480"/>
        <w:jc w:val="both"/>
        <w:rPr>
          <w:rFonts w:ascii="楷体" w:hAnsi="楷体" w:eastAsia="楷体" w:cs="楷体"/>
          <w:b/>
          <w:b/>
          <w:bCs/>
          <w:sz w:val="24"/>
        </w:rPr>
      </w:pPr>
      <w:r>
        <w:rPr>
          <w:rFonts w:eastAsia="黑体" w:cs="楷体" w:ascii="SimHei" w:hAnsi="SimHei"/>
          <w:b/>
          <w:bCs/>
          <w:sz w:val="24"/>
        </w:rPr>
      </w:r>
    </w:p>
    <w:p>
      <w:pPr>
        <w:sectPr>
          <w:headerReference w:type="default" r:id="rId3"/>
          <w:footerReference w:type="default" r:id="rId4"/>
          <w:type w:val="nextPage"/>
          <w:pgSz w:w="11906" w:h="16838"/>
          <w:pgMar w:left="1474" w:right="1474" w:header="624" w:top="851" w:footer="624" w:bottom="851" w:gutter="0"/>
          <w:pgNumType w:start="1" w:fmt="lowerRoman"/>
          <w:formProt w:val="false"/>
          <w:textDirection w:val="lrTb"/>
          <w:docGrid w:type="lines" w:linePitch="312" w:charSpace="0"/>
        </w:sectPr>
        <w:pStyle w:val="Normal"/>
        <w:spacing w:lineRule="auto" w:line="360"/>
        <w:ind w:firstLine="482"/>
        <w:rPr>
          <w:rFonts w:ascii="楷体" w:hAnsi="楷体" w:eastAsia="楷体" w:cs="楷体"/>
          <w:b/>
          <w:b/>
          <w:bCs/>
          <w:sz w:val="24"/>
        </w:rPr>
      </w:pPr>
      <w:r>
        <w:rPr>
          <w:rFonts w:eastAsia="黑体" w:cs="楷体" w:ascii="SimHei" w:hAnsi="SimHei"/>
          <w:b/>
          <w:bCs/>
          <w:sz w:val="24"/>
        </w:rPr>
      </w:r>
    </w:p>
    <w:p>
      <w:pPr>
        <w:pStyle w:val="Heading"/>
        <w:spacing w:lineRule="auto" w:line="360" w:before="0" w:after="312"/>
        <w:textAlignment w:val="baseline"/>
        <w:rPr>
          <w:rFonts w:ascii="楷体" w:hAnsi="楷体" w:eastAsia="楷体" w:cs="楷体"/>
          <w:sz w:val="24"/>
          <w:szCs w:val="24"/>
        </w:rPr>
      </w:pPr>
      <w:bookmarkStart w:id="0" w:name="__RefHeading___Toc30302465"/>
      <w:bookmarkEnd w:id="0"/>
      <w:r>
        <w:rPr>
          <w:rFonts w:eastAsia="黑体" w:cs="Times New Roman" w:ascii="SimHei" w:hAnsi="SimHei"/>
          <w:color w:val="000000"/>
          <w:kern w:val="0"/>
          <w:sz w:val="36"/>
        </w:rPr>
        <w:t>XX</w:t>
      </w:r>
      <w:r>
        <w:rPr>
          <w:rFonts w:ascii="SimHei" w:hAnsi="SimHei" w:cs="Times New Roman" w:eastAsia="黑体"/>
          <w:color w:val="000000"/>
          <w:kern w:val="0"/>
          <w:sz w:val="36"/>
        </w:rPr>
        <w:t>地产薪酬激励方案</w:t>
      </w:r>
    </w:p>
    <w:p>
      <w:pPr>
        <w:pStyle w:val="Heading2"/>
        <w:numPr>
          <w:ilvl w:val="0"/>
          <w:numId w:val="2"/>
        </w:numPr>
        <w:tabs>
          <w:tab w:val="left" w:pos="1080" w:leader="none"/>
          <w:tab w:val="left" w:pos="1276" w:leader="none"/>
        </w:tabs>
        <w:spacing w:lineRule="auto" w:line="360" w:before="0" w:after="0"/>
        <w:ind w:start="0" w:hanging="0"/>
        <w:rPr>
          <w:rFonts w:ascii="楷体" w:hAnsi="楷体" w:eastAsia="楷体" w:cs="楷体"/>
          <w:szCs w:val="24"/>
        </w:rPr>
      </w:pPr>
      <w:bookmarkStart w:id="1" w:name="__RefHeading___Toc30302466"/>
      <w:bookmarkEnd w:id="1"/>
      <w:r>
        <w:rPr>
          <w:rFonts w:ascii="SimHei" w:hAnsi="SimHei" w:cs="楷体" w:eastAsia="黑体"/>
          <w:sz w:val="28"/>
          <w:szCs w:val="24"/>
        </w:rPr>
        <w:t>地区公司奖金方案</w:t>
      </w:r>
    </w:p>
    <w:p>
      <w:pPr>
        <w:pStyle w:val="Heading3"/>
        <w:numPr>
          <w:ilvl w:val="1"/>
          <w:numId w:val="2"/>
        </w:numPr>
        <w:spacing w:lineRule="auto" w:line="360" w:before="0" w:after="0"/>
        <w:ind w:start="0" w:firstLine="482"/>
        <w:rPr>
          <w:rFonts w:ascii="楷体" w:hAnsi="楷体" w:eastAsia="楷体" w:cs="楷体"/>
          <w:szCs w:val="24"/>
        </w:rPr>
      </w:pPr>
      <w:bookmarkStart w:id="2" w:name="__RefHeading___Toc30302467"/>
      <w:bookmarkEnd w:id="2"/>
      <w:r>
        <w:rPr>
          <w:rFonts w:ascii="SimHei" w:hAnsi="SimHei" w:cs="楷体" w:eastAsia="黑体"/>
          <w:szCs w:val="24"/>
        </w:rPr>
        <w:t>方案设计思路</w:t>
      </w:r>
    </w:p>
    <w:p>
      <w:pPr>
        <w:pStyle w:val="Heading4"/>
        <w:numPr>
          <w:ilvl w:val="2"/>
          <w:numId w:val="2"/>
        </w:numPr>
        <w:spacing w:lineRule="auto" w:line="360" w:before="0" w:after="0"/>
        <w:ind w:start="0" w:firstLine="482"/>
        <w:rPr>
          <w:rFonts w:ascii="楷体" w:hAnsi="楷体" w:eastAsia="楷体" w:cs="楷体"/>
          <w:szCs w:val="24"/>
        </w:rPr>
      </w:pPr>
      <w:bookmarkStart w:id="3" w:name="__RefHeading___Toc30302468"/>
      <w:bookmarkEnd w:id="3"/>
      <w:r>
        <w:rPr>
          <w:rFonts w:ascii="SimHei" w:hAnsi="SimHei" w:cs="楷体" w:eastAsia="黑体"/>
          <w:szCs w:val="24"/>
        </w:rPr>
        <w:t>方案概述</w:t>
      </w:r>
    </w:p>
    <w:p>
      <w:pPr>
        <w:pStyle w:val="TextBodyIndent"/>
        <w:spacing w:lineRule="auto" w:line="360"/>
        <w:ind w:firstLine="480"/>
        <w:rPr>
          <w:rFonts w:ascii="楷体" w:hAnsi="楷体" w:eastAsia="楷体" w:cs="楷体"/>
          <w:sz w:val="24"/>
        </w:rPr>
      </w:pPr>
      <w:r>
        <w:rPr>
          <w:rFonts w:ascii="SimHei" w:hAnsi="SimHei" w:cs="楷体" w:eastAsia="黑体"/>
          <w:sz w:val="24"/>
        </w:rPr>
        <w:t>奖金是指企业在获得理想或者额外效益后所支付的薪金，用以奖励那些为企业获得额外收益作出贡献的职员。一方面可以实现员工参与分享企业经营成果，同时激励员工为企业做出更大的贡献。</w:t>
      </w:r>
    </w:p>
    <w:p>
      <w:pPr>
        <w:pStyle w:val="TextBodyIndent"/>
        <w:spacing w:lineRule="auto" w:line="360"/>
        <w:ind w:firstLine="480"/>
        <w:rPr>
          <w:rFonts w:ascii="楷体" w:hAnsi="楷体" w:eastAsia="楷体" w:cs="楷体"/>
          <w:sz w:val="24"/>
        </w:rPr>
      </w:pPr>
      <w:r>
        <w:rPr>
          <w:rFonts w:ascii="SimHei" w:hAnsi="SimHei" w:cs="楷体" w:eastAsia="黑体"/>
          <w:sz w:val="24"/>
        </w:rPr>
        <w:t>基于本此咨询项目的实际情况，一方面，我们将受到奖励职员的对象界定为各地区公司的经理层（即地区公司担任董事职位及以上职员），另一方面，本方案只是核算各地区公司奖金总额，不涉及奖金的个人分配办法。</w:t>
      </w:r>
    </w:p>
    <w:p>
      <w:pPr>
        <w:pStyle w:val="Heading4"/>
        <w:numPr>
          <w:ilvl w:val="2"/>
          <w:numId w:val="2"/>
        </w:numPr>
        <w:spacing w:lineRule="auto" w:line="360" w:before="0" w:after="0"/>
        <w:ind w:start="0" w:firstLine="482"/>
        <w:rPr>
          <w:rFonts w:ascii="楷体" w:hAnsi="楷体" w:eastAsia="楷体" w:cs="楷体"/>
          <w:szCs w:val="24"/>
        </w:rPr>
      </w:pPr>
      <w:bookmarkStart w:id="4" w:name="__RefHeading___Toc30302469"/>
      <w:bookmarkEnd w:id="4"/>
      <w:r>
        <w:rPr>
          <w:rFonts w:ascii="SimHei" w:hAnsi="SimHei" w:cs="楷体" w:eastAsia="黑体"/>
          <w:szCs w:val="24"/>
        </w:rPr>
        <w:t>奖金核算的原则</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奖金和经营业绩高相关的原则</w:t>
      </w:r>
    </w:p>
    <w:p>
      <w:pPr>
        <w:pStyle w:val="TextBodyIndent"/>
        <w:spacing w:lineRule="auto" w:line="360"/>
        <w:ind w:firstLine="480"/>
        <w:rPr>
          <w:rFonts w:ascii="楷体" w:hAnsi="楷体" w:eastAsia="楷体" w:cs="楷体"/>
          <w:sz w:val="24"/>
        </w:rPr>
      </w:pPr>
      <w:r>
        <w:rPr>
          <w:rFonts w:ascii="SimHei" w:hAnsi="SimHei" w:cs="楷体" w:eastAsia="黑体"/>
          <w:sz w:val="24"/>
        </w:rPr>
        <w:t>奖金和经营业绩高相关的原则有两层含义：一方面是发放奖金的前提是企业获得理想或者超出预期的经营业绩，另一方面，奖金的核算是以实际获得的经营业绩为基本依据。</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地区公司之间保持相对均衡的原则</w:t>
      </w:r>
    </w:p>
    <w:p>
      <w:pPr>
        <w:pStyle w:val="TextBodyIndent"/>
        <w:spacing w:lineRule="auto" w:line="360"/>
        <w:ind w:firstLine="480"/>
        <w:rPr>
          <w:rFonts w:ascii="楷体" w:hAnsi="楷体" w:eastAsia="楷体" w:cs="楷体"/>
          <w:sz w:val="24"/>
        </w:rPr>
      </w:pPr>
      <w:r>
        <w:rPr>
          <w:rFonts w:ascii="SimHei" w:hAnsi="SimHei" w:cs="楷体" w:eastAsia="黑体"/>
          <w:sz w:val="24"/>
        </w:rPr>
        <w:t>根据</w:t>
      </w:r>
      <w:r>
        <w:rPr>
          <w:rFonts w:eastAsia="黑体" w:cs="楷体" w:ascii="SimHei" w:hAnsi="SimHei"/>
          <w:sz w:val="24"/>
        </w:rPr>
        <w:t>XX</w:t>
      </w:r>
      <w:r>
        <w:rPr>
          <w:rFonts w:ascii="SimHei" w:hAnsi="SimHei" w:cs="楷体" w:eastAsia="黑体"/>
          <w:sz w:val="24"/>
        </w:rPr>
        <w:t>的现状和未来战略目标，</w:t>
      </w:r>
      <w:r>
        <w:rPr>
          <w:rFonts w:eastAsia="黑体" w:cs="楷体" w:ascii="SimHei" w:hAnsi="SimHei"/>
          <w:sz w:val="24"/>
        </w:rPr>
        <w:t>XX</w:t>
      </w:r>
      <w:r>
        <w:rPr>
          <w:rFonts w:ascii="SimHei" w:hAnsi="SimHei" w:cs="楷体" w:eastAsia="黑体"/>
          <w:sz w:val="24"/>
        </w:rPr>
        <w:t>地产各地区公司将分别处于进入、开拓和成熟等阶段，地区公司之间的不均衡发展状态将在很长时间内存在。而地区公司经理层作为</w:t>
      </w:r>
      <w:r>
        <w:rPr>
          <w:rFonts w:eastAsia="黑体" w:cs="楷体" w:ascii="SimHei" w:hAnsi="SimHei"/>
          <w:sz w:val="24"/>
        </w:rPr>
        <w:t>XX</w:t>
      </w:r>
      <w:r>
        <w:rPr>
          <w:rFonts w:ascii="SimHei" w:hAnsi="SimHei" w:cs="楷体" w:eastAsia="黑体"/>
          <w:sz w:val="24"/>
        </w:rPr>
        <w:t>地产的核心人力资源，应该需要在不同地区之间进行横向调配，这就要求我们在设计本方案时要注意在各地区公司之间保持相对均衡。</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相对均衡”并不同于“绝对平均主义”，可以根据不同地区公司的实际情况适当拉开差距，但是这种地区之间的差距是合理的，是有依据的，是能够被大部分地区公司经理层成员所能接受的。</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年度之间保持相对稳定的原则</w:t>
      </w:r>
    </w:p>
    <w:p>
      <w:pPr>
        <w:pStyle w:val="TextBodyIndent"/>
        <w:spacing w:lineRule="auto" w:line="360"/>
        <w:ind w:firstLine="480"/>
        <w:rPr>
          <w:rFonts w:ascii="楷体" w:hAnsi="楷体" w:eastAsia="楷体" w:cs="楷体"/>
          <w:sz w:val="24"/>
        </w:rPr>
      </w:pPr>
      <w:r>
        <w:rPr>
          <w:rFonts w:ascii="SimHei" w:hAnsi="SimHei" w:cs="楷体" w:eastAsia="黑体"/>
          <w:sz w:val="24"/>
        </w:rPr>
        <w:t>持续经营是企业实现战略目标的基本条件之一，尤其是对于房地产这样高风险的行业，获得平稳持续的经营业绩是地产行业成功企业的重要特征之一，而这就需要平稳持续的激励制度来保障。因此，实现年度之间保持相对稳定也是本方案的基本原则之一。</w:t>
      </w:r>
    </w:p>
    <w:p>
      <w:pPr>
        <w:pStyle w:val="Heading4"/>
        <w:numPr>
          <w:ilvl w:val="2"/>
          <w:numId w:val="2"/>
        </w:numPr>
        <w:spacing w:lineRule="auto" w:line="360" w:before="0" w:after="0"/>
        <w:ind w:start="0" w:firstLine="482"/>
        <w:rPr>
          <w:rFonts w:ascii="楷体" w:hAnsi="楷体" w:eastAsia="楷体" w:cs="楷体"/>
          <w:szCs w:val="24"/>
        </w:rPr>
      </w:pPr>
      <w:bookmarkStart w:id="5" w:name="__RefHeading___Toc30302470"/>
      <w:bookmarkEnd w:id="5"/>
      <w:r>
        <w:rPr>
          <w:rFonts w:ascii="SimHei" w:hAnsi="SimHei" w:cs="楷体" w:eastAsia="黑体"/>
          <w:szCs w:val="24"/>
        </w:rPr>
        <w:t>奖金的分类</w:t>
      </w:r>
    </w:p>
    <w:p>
      <w:pPr>
        <w:pStyle w:val="TextBodyIndent"/>
        <w:spacing w:lineRule="auto" w:line="360"/>
        <w:ind w:firstLine="480"/>
        <w:rPr>
          <w:rFonts w:ascii="楷体" w:hAnsi="楷体" w:eastAsia="楷体" w:cs="楷体"/>
          <w:sz w:val="24"/>
        </w:rPr>
      </w:pPr>
      <w:r>
        <w:rPr>
          <w:rFonts w:ascii="SimHei" w:hAnsi="SimHei" w:cs="楷体" w:eastAsia="黑体"/>
          <w:sz w:val="24"/>
        </w:rPr>
        <w:t>根据房地产行业的特点，奖金分为年度奖金和项目奖金两类。</w:t>
      </w:r>
    </w:p>
    <w:p>
      <w:pPr>
        <w:pStyle w:val="Heading5"/>
        <w:numPr>
          <w:ilvl w:val="0"/>
          <w:numId w:val="15"/>
        </w:numPr>
        <w:spacing w:lineRule="auto" w:line="360" w:before="0" w:after="0"/>
        <w:ind w:start="0" w:firstLine="482"/>
        <w:rPr>
          <w:rFonts w:ascii="楷体" w:hAnsi="楷体" w:eastAsia="楷体" w:cs="楷体"/>
          <w:szCs w:val="24"/>
        </w:rPr>
      </w:pPr>
      <w:r>
        <w:rPr>
          <w:rFonts w:ascii="SimHei" w:hAnsi="SimHei" w:cs="楷体" w:eastAsia="黑体"/>
          <w:szCs w:val="24"/>
        </w:rPr>
        <w:t>年度奖金</w:t>
      </w:r>
    </w:p>
    <w:p>
      <w:pPr>
        <w:pStyle w:val="TextBodyIndent"/>
        <w:spacing w:lineRule="auto" w:line="360"/>
        <w:ind w:firstLine="480"/>
        <w:rPr>
          <w:rFonts w:ascii="楷体" w:hAnsi="楷体" w:eastAsia="楷体" w:cs="楷体"/>
          <w:sz w:val="24"/>
        </w:rPr>
      </w:pPr>
      <w:r>
        <w:rPr>
          <w:rFonts w:ascii="SimHei" w:hAnsi="SimHei" w:cs="楷体" w:eastAsia="黑体"/>
          <w:sz w:val="24"/>
        </w:rPr>
        <w:t>年度奖金是指按照财务年度经营成果进行核算的奖金，其经营成果包括地区公司所有项目的经营成果。</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）优点</w:t>
      </w:r>
    </w:p>
    <w:p>
      <w:pPr>
        <w:pStyle w:val="TextBodyIndent"/>
        <w:spacing w:lineRule="auto" w:line="360"/>
        <w:ind w:firstLine="480"/>
        <w:rPr>
          <w:rFonts w:ascii="楷体" w:hAnsi="楷体" w:eastAsia="楷体" w:cs="楷体"/>
          <w:sz w:val="24"/>
        </w:rPr>
      </w:pPr>
      <w:r>
        <w:rPr>
          <w:rFonts w:ascii="SimHei" w:hAnsi="SimHei" w:cs="楷体" w:eastAsia="黑体"/>
          <w:sz w:val="24"/>
        </w:rPr>
        <w:t>这种方式的优点在于可以满足作出贡献的职员对回报的预期，也符合及时激励的原则，又可以避免某些处于进入或者拓展阶段地区公司由于没有项目业绩而无法参与享受奖金的问题。</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）缺点</w:t>
      </w:r>
    </w:p>
    <w:p>
      <w:pPr>
        <w:pStyle w:val="TextBodyIndent"/>
        <w:spacing w:lineRule="auto" w:line="360"/>
        <w:ind w:firstLine="480"/>
        <w:rPr>
          <w:rFonts w:ascii="楷体" w:hAnsi="楷体" w:eastAsia="楷体" w:cs="楷体"/>
          <w:sz w:val="24"/>
        </w:rPr>
      </w:pPr>
      <w:r>
        <w:rPr>
          <w:rFonts w:ascii="SimHei" w:hAnsi="SimHei" w:cs="楷体" w:eastAsia="黑体"/>
          <w:sz w:val="24"/>
        </w:rPr>
        <w:t>某些处于进入或者拓展阶段地区公司没有项目业绩的情况下参与享受奖金，一方面意味着公司需要承担一定的财务风险，另一方面，可能会引起处于成熟阶段公司因为“价值被风险”而产生不公平的感觉。</w:t>
      </w:r>
    </w:p>
    <w:p>
      <w:pPr>
        <w:pStyle w:val="Heading5"/>
        <w:numPr>
          <w:ilvl w:val="0"/>
          <w:numId w:val="15"/>
        </w:numPr>
        <w:spacing w:lineRule="auto" w:line="360" w:before="0" w:after="0"/>
        <w:ind w:start="0" w:firstLine="482"/>
        <w:rPr>
          <w:rFonts w:ascii="楷体" w:hAnsi="楷体" w:eastAsia="楷体" w:cs="楷体"/>
          <w:szCs w:val="24"/>
        </w:rPr>
      </w:pPr>
      <w:r>
        <w:rPr>
          <w:rFonts w:ascii="SimHei" w:hAnsi="SimHei" w:cs="楷体" w:eastAsia="黑体"/>
          <w:szCs w:val="24"/>
        </w:rPr>
        <w:t>项目奖金</w:t>
      </w:r>
    </w:p>
    <w:p>
      <w:pPr>
        <w:pStyle w:val="TextBodyIndent"/>
        <w:spacing w:lineRule="auto" w:line="360"/>
        <w:ind w:firstLine="480"/>
        <w:rPr>
          <w:rFonts w:ascii="楷体" w:hAnsi="楷体" w:eastAsia="楷体" w:cs="楷体"/>
          <w:sz w:val="24"/>
        </w:rPr>
      </w:pPr>
      <w:r>
        <w:rPr>
          <w:rFonts w:ascii="SimHei" w:hAnsi="SimHei" w:cs="楷体" w:eastAsia="黑体"/>
          <w:sz w:val="24"/>
        </w:rPr>
        <w:t>年度奖金是指按照单个项目的经营成果进行核算的奖金。</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）优点</w:t>
      </w:r>
    </w:p>
    <w:p>
      <w:pPr>
        <w:pStyle w:val="TextBodyIndent"/>
        <w:spacing w:lineRule="auto" w:line="360"/>
        <w:ind w:firstLine="480"/>
        <w:rPr>
          <w:rFonts w:ascii="楷体" w:hAnsi="楷体" w:eastAsia="楷体" w:cs="楷体"/>
          <w:sz w:val="24"/>
        </w:rPr>
      </w:pPr>
      <w:r>
        <w:rPr>
          <w:rFonts w:ascii="SimHei" w:hAnsi="SimHei" w:cs="楷体" w:eastAsia="黑体"/>
          <w:sz w:val="24"/>
        </w:rPr>
        <w:t>项目奖金等到项目结束后根据实际的经营成果进行核算，一方面可以避免相关的风险，同时可以按照项目准确界定奖金受惠对象，提高激励效果。</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）缺点</w:t>
      </w:r>
    </w:p>
    <w:p>
      <w:pPr>
        <w:pStyle w:val="TextBodyIndent"/>
        <w:spacing w:lineRule="auto" w:line="360"/>
        <w:ind w:firstLine="480"/>
        <w:rPr>
          <w:rFonts w:ascii="楷体" w:hAnsi="楷体" w:eastAsia="楷体" w:cs="楷体"/>
          <w:sz w:val="24"/>
        </w:rPr>
      </w:pPr>
      <w:r>
        <w:rPr>
          <w:rFonts w:ascii="SimHei" w:hAnsi="SimHei" w:cs="楷体" w:eastAsia="黑体"/>
          <w:sz w:val="24"/>
        </w:rPr>
        <w:t>项目奖金等到项目结束后根据实际的经营成果进行核算，一方面限制了对于没有项目但是也在为公司作贡献的职员参与享受公司的奖金，同时对于某些周期较长的项目不能及时激励员工。</w:t>
      </w:r>
    </w:p>
    <w:p>
      <w:pPr>
        <w:pStyle w:val="Heading5"/>
        <w:numPr>
          <w:ilvl w:val="0"/>
          <w:numId w:val="15"/>
        </w:numPr>
        <w:spacing w:lineRule="auto" w:line="360" w:before="0" w:after="0"/>
        <w:ind w:start="0" w:firstLine="482"/>
        <w:rPr>
          <w:rFonts w:ascii="楷体" w:hAnsi="楷体" w:eastAsia="楷体" w:cs="楷体"/>
          <w:szCs w:val="24"/>
        </w:rPr>
      </w:pPr>
      <w:r>
        <w:rPr>
          <w:rFonts w:ascii="SimHei" w:hAnsi="SimHei" w:cs="楷体" w:eastAsia="黑体"/>
          <w:szCs w:val="24"/>
        </w:rPr>
        <w:t>我们的建议</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）同时采用两种方式</w:t>
      </w:r>
    </w:p>
    <w:p>
      <w:pPr>
        <w:pStyle w:val="TextBodyIndent"/>
        <w:spacing w:lineRule="auto" w:line="360"/>
        <w:ind w:firstLine="480"/>
        <w:rPr>
          <w:rFonts w:ascii="楷体" w:hAnsi="楷体" w:eastAsia="楷体" w:cs="楷体"/>
          <w:sz w:val="24"/>
        </w:rPr>
      </w:pPr>
      <w:r>
        <w:rPr>
          <w:rFonts w:ascii="SimHei" w:hAnsi="SimHei" w:cs="楷体" w:eastAsia="黑体"/>
          <w:sz w:val="24"/>
        </w:rPr>
        <w:t>在对年度奖金和项目奖金进行比较分析的基础上，结合</w:t>
      </w:r>
      <w:r>
        <w:rPr>
          <w:rFonts w:eastAsia="黑体" w:cs="楷体" w:ascii="SimHei" w:hAnsi="SimHei"/>
          <w:sz w:val="24"/>
        </w:rPr>
        <w:t>XX</w:t>
      </w:r>
      <w:r>
        <w:rPr>
          <w:rFonts w:ascii="SimHei" w:hAnsi="SimHei" w:cs="楷体" w:eastAsia="黑体"/>
          <w:sz w:val="24"/>
        </w:rPr>
        <w:t>地产的现状和未来发展趋势，我们建议</w:t>
      </w:r>
      <w:r>
        <w:rPr>
          <w:rFonts w:eastAsia="黑体" w:cs="楷体" w:ascii="SimHei" w:hAnsi="SimHei"/>
          <w:sz w:val="24"/>
        </w:rPr>
        <w:t>XX</w:t>
      </w:r>
      <w:r>
        <w:rPr>
          <w:rFonts w:ascii="SimHei" w:hAnsi="SimHei" w:cs="楷体" w:eastAsia="黑体"/>
          <w:sz w:val="24"/>
        </w:rPr>
        <w:t>同时采用年度奖金和项目奖金两种方式。</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）突出年度奖金的主体地位</w:t>
      </w:r>
    </w:p>
    <w:p>
      <w:pPr>
        <w:pStyle w:val="TextBodyIndent"/>
        <w:spacing w:lineRule="auto" w:line="360"/>
        <w:ind w:firstLine="480"/>
        <w:rPr>
          <w:rFonts w:ascii="楷体" w:hAnsi="楷体" w:eastAsia="楷体" w:cs="楷体"/>
          <w:sz w:val="24"/>
        </w:rPr>
      </w:pPr>
      <w:r>
        <w:rPr>
          <w:rFonts w:ascii="SimHei" w:hAnsi="SimHei" w:cs="楷体" w:eastAsia="黑体"/>
          <w:sz w:val="24"/>
        </w:rPr>
        <w:t>不管是“年度奖金”还是“项目奖金”，分享奖金的来源都最终来自于项目产生的附加价值，实际上，两者之间是“此消彼长”的关系。根据前面确定的奖金方案原则和两类奖金特点，我们建议年度奖金作为主体方式，项目奖金作为补充方式。</w:t>
      </w:r>
      <w:bookmarkStart w:id="6" w:name="__RefHeading___Toc30302471"/>
    </w:p>
    <w:p>
      <w:pPr>
        <w:pStyle w:val="Heading3"/>
        <w:numPr>
          <w:ilvl w:val="1"/>
          <w:numId w:val="2"/>
        </w:numPr>
        <w:spacing w:lineRule="auto" w:line="360" w:before="0" w:after="0"/>
        <w:ind w:start="0" w:firstLine="482"/>
        <w:rPr>
          <w:rFonts w:ascii="楷体" w:hAnsi="楷体" w:eastAsia="楷体" w:cs="楷体"/>
          <w:szCs w:val="24"/>
        </w:rPr>
      </w:pPr>
      <w:r>
        <w:rPr>
          <w:rFonts w:ascii="SimHei" w:hAnsi="SimHei" w:cs="楷体" w:eastAsia="黑体"/>
          <w:szCs w:val="24"/>
        </w:rPr>
        <w:t>项目奖金</w:t>
      </w:r>
      <w:bookmarkEnd w:id="6"/>
    </w:p>
    <w:p>
      <w:pPr>
        <w:pStyle w:val="Heading4"/>
        <w:numPr>
          <w:ilvl w:val="2"/>
          <w:numId w:val="2"/>
        </w:numPr>
        <w:spacing w:lineRule="auto" w:line="360" w:before="0" w:after="0"/>
        <w:ind w:start="0" w:firstLine="482"/>
        <w:rPr>
          <w:rFonts w:ascii="楷体" w:hAnsi="楷体" w:eastAsia="楷体" w:cs="楷体"/>
          <w:szCs w:val="24"/>
        </w:rPr>
      </w:pPr>
      <w:bookmarkStart w:id="7" w:name="__RefHeading___Toc30302472"/>
      <w:bookmarkEnd w:id="7"/>
      <w:r>
        <w:rPr>
          <w:rFonts w:ascii="SimHei" w:hAnsi="SimHei" w:cs="楷体" w:eastAsia="黑体"/>
          <w:szCs w:val="24"/>
        </w:rPr>
        <w:t>核算方案</w:t>
      </w:r>
    </w:p>
    <w:p>
      <w:pPr>
        <w:pStyle w:val="Heading5"/>
        <w:numPr>
          <w:ilvl w:val="0"/>
          <w:numId w:val="3"/>
        </w:numPr>
        <w:spacing w:lineRule="auto" w:line="360" w:before="0" w:after="0"/>
        <w:ind w:start="0" w:firstLine="482"/>
        <w:rPr>
          <w:rFonts w:ascii="楷体" w:hAnsi="楷体" w:eastAsia="楷体" w:cs="楷体"/>
          <w:szCs w:val="24"/>
          <w:lang w:val="en-US" w:eastAsia="en-US"/>
        </w:rPr>
      </w:pPr>
      <w:r>
        <w:rPr>
          <w:rFonts w:ascii="SimHei" w:hAnsi="SimHei" w:cs="楷体" w:eastAsia="黑体"/>
          <w:szCs w:val="24"/>
          <w:lang w:val="en-US" w:eastAsia="en-US"/>
        </w:rPr>
        <w:t>方案一：净利润分享法</w:t>
      </w:r>
    </w:p>
    <w:p>
      <w:pPr>
        <w:pStyle w:val="TextBodyIndent"/>
        <w:spacing w:lineRule="auto" w:line="360"/>
        <w:ind w:firstLine="480"/>
        <w:rPr>
          <w:rFonts w:ascii="楷体" w:hAnsi="楷体" w:eastAsia="楷体" w:cs="楷体"/>
          <w:sz w:val="24"/>
          <w:szCs w:val="24"/>
          <w:lang w:val="en-US" w:eastAsia="en-US"/>
        </w:rPr>
      </w:pPr>
      <w:r>
        <w:rPr>
          <w:rFonts w:eastAsia="黑体" w:cs="楷体" w:ascii="SimHei" w:hAnsi="SimHei"/>
          <w:sz w:val="24"/>
          <w:szCs w:val="24"/>
          <w:lang w:val="en-US" w:eastAsia="en-US"/>
        </w:rPr>
      </w:r>
    </w:p>
    <w:p>
      <w:pPr>
        <w:pStyle w:val="TextBodyIndent"/>
        <w:spacing w:lineRule="auto" w:line="360"/>
        <w:ind w:firstLine="480"/>
        <w:rPr>
          <w:rFonts w:ascii="楷体" w:hAnsi="楷体" w:eastAsia="楷体" w:cs="楷体"/>
          <w:sz w:val="24"/>
        </w:rPr>
      </w:pPr>
      <w:r>
        <w:rPr>
          <w:rFonts w:ascii="SimHei" w:hAnsi="SimHei" w:eastAsia="黑体"/>
        </w:rPr>
      </w:r>
      <w:r>
        <w:rPr>
          <w:rFonts w:ascii="SimHei" w:hAnsi="SimHei" w:cs="楷体" w:eastAsia="黑体"/>
          <w:sz w:val="24"/>
        </w:rPr>
        <w:t>（</w:t>
      </w:r>
      <w:r>
        <w:rPr>
          <w:rFonts w:eastAsia="黑体" w:cs="楷体" w:ascii="SimHei" w:hAnsi="SimHei"/>
          <w:sz w:val="24"/>
        </w:rPr>
        <w:t>1</w:t>
      </w:r>
      <w:r>
        <w:rPr>
          <w:rFonts w:ascii="SimHei" w:hAnsi="SimHei" w:cs="楷体" w:eastAsia="黑体"/>
          <w:sz w:val="24"/>
        </w:rPr>
        <w:t>）核算办法</w:t>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）说明</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rPr>
        <w:t>核算办法中，“项目奖金分配系数”在项目启动前由公司薪酬考核委员会根据项目实际情况确定。</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w:t>
      </w:r>
      <w:r>
        <w:rPr>
          <w:rFonts w:eastAsia="黑体" w:cs="楷体" w:ascii="SimHei" w:hAnsi="SimHei"/>
          <w:sz w:val="24"/>
          <w:lang w:val="en-US" w:eastAsia="en-US"/>
        </w:rPr>
        <w:t>3</w:t>
      </w:r>
      <w:r>
        <w:rPr>
          <w:rFonts w:ascii="SimHei" w:hAnsi="SimHei" w:cs="楷体" w:eastAsia="黑体"/>
          <w:sz w:val="24"/>
          <w:lang w:val="en-US" w:eastAsia="en-US"/>
        </w:rPr>
        <w:t>）优点</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净利润分享法以净利润作为奖金的计提基数，其优点在于可以尽可能降低总部的财务风险（即在获得净利润基础上才能分享奖金），核算方式直接，核算过程简单。</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w:t>
      </w:r>
      <w:r>
        <w:rPr>
          <w:rFonts w:eastAsia="黑体" w:cs="楷体" w:ascii="SimHei" w:hAnsi="SimHei"/>
          <w:sz w:val="24"/>
          <w:lang w:val="en-US" w:eastAsia="en-US"/>
        </w:rPr>
        <w:t>4</w:t>
      </w:r>
      <w:r>
        <w:rPr>
          <w:rFonts w:ascii="SimHei" w:hAnsi="SimHei" w:cs="楷体" w:eastAsia="黑体"/>
          <w:sz w:val="24"/>
          <w:lang w:val="en-US" w:eastAsia="en-US"/>
        </w:rPr>
        <w:t>）缺点</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净利润分享法的缺点是地区公司承担了较大的风险（包括市场风险和管理风险），对于某些本来就不能盈利的项目，无法体现经理层的工作成果。</w:t>
      </w:r>
    </w:p>
    <w:p>
      <w:pPr>
        <w:pStyle w:val="Heading5"/>
        <w:numPr>
          <w:ilvl w:val="0"/>
          <w:numId w:val="3"/>
        </w:numPr>
        <w:spacing w:lineRule="auto" w:line="360" w:before="0" w:after="0"/>
        <w:ind w:start="0" w:firstLine="482"/>
        <w:rPr>
          <w:rFonts w:ascii="楷体" w:hAnsi="楷体" w:eastAsia="楷体" w:cs="楷体"/>
          <w:szCs w:val="24"/>
          <w:lang w:val="en-US" w:eastAsia="en-US"/>
        </w:rPr>
      </w:pPr>
      <w:r>
        <w:rPr>
          <w:rFonts w:ascii="SimHei" w:hAnsi="SimHei" w:cs="楷体" w:eastAsia="黑体"/>
          <w:szCs w:val="24"/>
          <w:lang w:val="en-US" w:eastAsia="en-US"/>
        </w:rPr>
        <w:t>方案二：超额净利润分享法</w:t>
      </w:r>
    </w:p>
    <w:p>
      <w:pPr>
        <w:pStyle w:val="TextBodyIndent"/>
        <w:spacing w:lineRule="auto" w:line="360"/>
        <w:ind w:firstLine="480"/>
        <w:rPr>
          <w:rFonts w:ascii="楷体" w:hAnsi="楷体" w:eastAsia="楷体" w:cs="楷体"/>
          <w:sz w:val="24"/>
        </w:rPr>
      </w:pPr>
      <w:r>
        <w:rPr>
          <w:rFonts w:ascii="SimHei" w:hAnsi="SimHei" w:eastAsia="黑体"/>
        </w:rPr>
      </w:r>
      <w:r>
        <w:rPr>
          <w:rFonts w:ascii="SimHei" w:hAnsi="SimHei" w:cs="楷体" w:eastAsia="黑体"/>
          <w:sz w:val="24"/>
        </w:rPr>
        <w:t>（</w:t>
      </w:r>
      <w:r>
        <w:rPr>
          <w:rFonts w:eastAsia="黑体" w:cs="楷体" w:ascii="SimHei" w:hAnsi="SimHei"/>
          <w:sz w:val="24"/>
        </w:rPr>
        <w:t>1</w:t>
      </w:r>
      <w:r>
        <w:rPr>
          <w:rFonts w:ascii="SimHei" w:hAnsi="SimHei" w:cs="楷体" w:eastAsia="黑体"/>
          <w:sz w:val="24"/>
        </w:rPr>
        <w:t>）核算办法</w:t>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eastAsia="黑体" w:cs="楷体" w:ascii="SimHei" w:hAnsi="SimHei"/>
          <w:sz w:val="24"/>
        </w:rPr>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r>
      <w:r>
        <w:rPr>
          <w:rFonts w:ascii="SimHei" w:hAnsi="SimHei" w:cs="楷体" w:eastAsia="黑体"/>
          <w:sz w:val="24"/>
        </w:rPr>
        <w:t>）说明</w:t>
      </w:r>
    </w:p>
    <w:p>
      <w:pPr>
        <w:pStyle w:val="TextBodyIndent"/>
        <w:spacing w:lineRule="auto" w:line="360"/>
        <w:ind w:firstLine="480"/>
        <w:rPr>
          <w:rFonts w:ascii="楷体" w:hAnsi="楷体" w:eastAsia="楷体" w:cs="楷体"/>
          <w:sz w:val="24"/>
        </w:rPr>
      </w:pPr>
      <w:r>
        <w:rPr>
          <w:rFonts w:ascii="SimHei" w:hAnsi="SimHei" w:cs="楷体" w:eastAsia="黑体"/>
          <w:sz w:val="24"/>
        </w:rPr>
        <w:t>核算办法中，“项目奖金分配系数”、“项目目标利润”等参数，在项目启动前由公司薪酬考核委员会根据项目实际情况确定。</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w:t>
      </w:r>
      <w:r>
        <w:rPr>
          <w:rFonts w:eastAsia="黑体" w:cs="楷体" w:ascii="SimHei" w:hAnsi="SimHei"/>
          <w:sz w:val="24"/>
          <w:lang w:val="en-US" w:eastAsia="en-US"/>
        </w:rPr>
        <w:t>3</w:t>
      </w:r>
      <w:r>
        <w:rPr>
          <w:rFonts w:ascii="SimHei" w:hAnsi="SimHei" w:cs="楷体" w:eastAsia="黑体"/>
          <w:sz w:val="24"/>
          <w:lang w:val="en-US" w:eastAsia="en-US"/>
        </w:rPr>
        <w:t>）优点</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净利润分享法以超额净利润作为奖金的计提基数。合理体现了“总部”和“地区公司”之间的风险平衡关系，地区公司经理层主要承担管理风险。</w:t>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w:t>
      </w:r>
      <w:r>
        <w:rPr>
          <w:rFonts w:eastAsia="黑体" w:cs="楷体" w:ascii="SimHei" w:hAnsi="SimHei"/>
          <w:sz w:val="24"/>
          <w:lang w:val="en-US" w:eastAsia="en-US"/>
        </w:rPr>
        <w:t>4</w:t>
      </w:r>
      <w:r>
        <w:rPr>
          <w:rFonts w:ascii="SimHei" w:hAnsi="SimHei" w:cs="楷体" w:eastAsia="黑体"/>
          <w:sz w:val="24"/>
          <w:lang w:val="en-US" w:eastAsia="en-US"/>
        </w:rPr>
        <w:t>）缺点</w:t>
      </w:r>
    </w:p>
    <w:p>
      <w:pPr>
        <w:pStyle w:val="TextBodyIndent"/>
        <w:spacing w:lineRule="auto" w:line="360"/>
        <w:ind w:firstLine="480"/>
        <w:rPr>
          <w:rFonts w:ascii="楷体" w:hAnsi="楷体" w:eastAsia="楷体" w:cs="楷体"/>
          <w:sz w:val="24"/>
        </w:rPr>
      </w:pPr>
      <w:r>
        <w:rPr>
          <w:rFonts w:ascii="SimHei" w:hAnsi="SimHei" w:cs="楷体" w:eastAsia="黑体"/>
          <w:sz w:val="24"/>
          <w:lang w:val="en-US" w:eastAsia="en-US"/>
        </w:rPr>
        <w:t>净利润分享法能够发挥积极作用的前提在于项目启动前就需要合理确定</w:t>
      </w:r>
      <w:r>
        <w:rPr>
          <w:rFonts w:ascii="SimHei" w:hAnsi="SimHei" w:cs="楷体" w:eastAsia="黑体"/>
          <w:sz w:val="24"/>
        </w:rPr>
        <w:t>“项目奖金分配系数”、“项目目标利润”等参数</w:t>
      </w:r>
      <w:r>
        <w:rPr>
          <w:rFonts w:ascii="SimHei" w:hAnsi="SimHei" w:cs="楷体" w:eastAsia="黑体"/>
          <w:sz w:val="24"/>
          <w:lang w:val="en-US" w:eastAsia="en-US"/>
        </w:rPr>
        <w:t>，这项工作有相当困难的，如果这两个参数选取不合理，会产生一定的负面影响。</w:t>
      </w:r>
    </w:p>
    <w:p>
      <w:pPr>
        <w:pStyle w:val="Heading5"/>
        <w:numPr>
          <w:ilvl w:val="0"/>
          <w:numId w:val="3"/>
        </w:numPr>
        <w:spacing w:lineRule="auto" w:line="360" w:before="0" w:after="0"/>
        <w:ind w:start="0" w:firstLine="482"/>
        <w:rPr>
          <w:rFonts w:ascii="楷体" w:hAnsi="楷体" w:eastAsia="楷体" w:cs="楷体"/>
          <w:szCs w:val="24"/>
          <w:lang w:val="en-US" w:eastAsia="en-US"/>
        </w:rPr>
      </w:pPr>
      <w:r>
        <w:rPr>
          <w:rFonts w:ascii="SimHei" w:hAnsi="SimHei" w:cs="楷体" w:eastAsia="黑体"/>
          <w:szCs w:val="24"/>
          <w:lang w:val="en-US" w:eastAsia="en-US"/>
        </w:rPr>
        <w:t>我们的建议</w:t>
      </w:r>
    </w:p>
    <w:p>
      <w:pPr>
        <w:pStyle w:val="TextBodyIndent"/>
        <w:spacing w:lineRule="auto" w:line="360"/>
        <w:ind w:firstLine="480"/>
        <w:rPr>
          <w:rFonts w:ascii="楷体" w:hAnsi="楷体" w:eastAsia="楷体" w:cs="楷体"/>
          <w:sz w:val="24"/>
        </w:rPr>
      </w:pPr>
      <w:r>
        <w:rPr>
          <w:rFonts w:ascii="SimHei" w:hAnsi="SimHei" w:cs="楷体" w:eastAsia="黑体"/>
          <w:sz w:val="24"/>
        </w:rPr>
        <w:t>根据前面的分析，结合我国地产行业特点和</w:t>
      </w:r>
      <w:r>
        <w:rPr>
          <w:rFonts w:eastAsia="黑体" w:cs="楷体" w:ascii="SimHei" w:hAnsi="SimHei"/>
          <w:sz w:val="24"/>
        </w:rPr>
        <w:t>XX</w:t>
      </w:r>
      <w:r>
        <w:rPr>
          <w:rFonts w:ascii="SimHei" w:hAnsi="SimHei" w:cs="楷体" w:eastAsia="黑体"/>
          <w:sz w:val="24"/>
        </w:rPr>
        <w:t>的实际情况，我们建议</w:t>
      </w:r>
      <w:r>
        <w:rPr>
          <w:rFonts w:eastAsia="黑体" w:cs="楷体" w:ascii="SimHei" w:hAnsi="SimHei"/>
          <w:sz w:val="24"/>
        </w:rPr>
        <w:t>XX</w:t>
      </w:r>
      <w:r>
        <w:rPr>
          <w:rFonts w:ascii="SimHei" w:hAnsi="SimHei" w:cs="楷体" w:eastAsia="黑体"/>
          <w:sz w:val="24"/>
        </w:rPr>
        <w:t>选择“方案二”，其依据如下：</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）我国地产行业特点</w:t>
      </w:r>
    </w:p>
    <w:p>
      <w:pPr>
        <w:pStyle w:val="TextBodyIndent"/>
        <w:spacing w:lineRule="auto" w:line="360"/>
        <w:ind w:firstLine="480"/>
        <w:rPr>
          <w:rFonts w:ascii="楷体" w:hAnsi="楷体" w:eastAsia="楷体" w:cs="楷体"/>
          <w:sz w:val="24"/>
        </w:rPr>
      </w:pPr>
      <w:r>
        <w:rPr>
          <w:rFonts w:ascii="SimHei" w:hAnsi="SimHei" w:cs="楷体" w:eastAsia="黑体"/>
          <w:sz w:val="24"/>
        </w:rPr>
        <w:t>我国地产行业处于高速发展阶段，行业成熟度较低，政策风险和市场风险高，由此对项目的影响较大，方案二可以满足我国地产行业这一特点。</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w:t>
      </w:r>
      <w:r>
        <w:rPr>
          <w:rFonts w:eastAsia="黑体" w:cs="楷体" w:ascii="SimHei" w:hAnsi="SimHei"/>
          <w:sz w:val="24"/>
        </w:rPr>
        <w:t>XX</w:t>
      </w:r>
      <w:r>
        <w:rPr>
          <w:rFonts w:ascii="SimHei" w:hAnsi="SimHei" w:cs="楷体" w:eastAsia="黑体"/>
          <w:sz w:val="24"/>
        </w:rPr>
        <w:t>实际情况</w:t>
      </w:r>
    </w:p>
    <w:p>
      <w:pPr>
        <w:pStyle w:val="TextBodyIndent"/>
        <w:spacing w:lineRule="auto" w:line="360"/>
        <w:ind w:firstLine="480"/>
        <w:rPr>
          <w:rFonts w:ascii="楷体" w:hAnsi="楷体" w:eastAsia="楷体" w:cs="楷体"/>
          <w:sz w:val="24"/>
        </w:rPr>
      </w:pPr>
      <w:r>
        <w:rPr>
          <w:rFonts w:ascii="SimHei" w:hAnsi="SimHei" w:cs="楷体" w:eastAsia="黑体"/>
          <w:sz w:val="24"/>
        </w:rPr>
        <w:t>地区公司作为</w:t>
      </w:r>
      <w:r>
        <w:rPr>
          <w:rFonts w:eastAsia="黑体" w:cs="楷体" w:ascii="SimHei" w:hAnsi="SimHei"/>
          <w:sz w:val="24"/>
        </w:rPr>
        <w:t>XX</w:t>
      </w:r>
      <w:r>
        <w:rPr>
          <w:rFonts w:ascii="SimHei" w:hAnsi="SimHei" w:cs="楷体" w:eastAsia="黑体"/>
          <w:sz w:val="24"/>
        </w:rPr>
        <w:t>地产的项目执行者，主要的职能是项目管理中心而不是项目决策中心，不能有效回避政策风险和市场风险，方案二可以满足这一现状。</w:t>
      </w:r>
    </w:p>
    <w:p>
      <w:pPr>
        <w:pStyle w:val="Heading4"/>
        <w:numPr>
          <w:ilvl w:val="2"/>
          <w:numId w:val="2"/>
        </w:numPr>
        <w:spacing w:lineRule="auto" w:line="360" w:before="0" w:after="0"/>
        <w:ind w:start="0" w:firstLine="482"/>
        <w:rPr>
          <w:rFonts w:ascii="楷体" w:hAnsi="楷体" w:eastAsia="楷体" w:cs="楷体"/>
          <w:szCs w:val="24"/>
        </w:rPr>
      </w:pPr>
      <w:bookmarkStart w:id="8" w:name="__RefHeading___Toc30302473"/>
      <w:bookmarkEnd w:id="8"/>
      <w:r>
        <w:rPr>
          <w:rFonts w:ascii="SimHei" w:hAnsi="SimHei" w:cs="楷体" w:eastAsia="黑体"/>
          <w:szCs w:val="24"/>
        </w:rPr>
        <w:t>支付时间</w:t>
      </w:r>
    </w:p>
    <w:p>
      <w:pPr>
        <w:pStyle w:val="TextBodyIndent"/>
        <w:spacing w:lineRule="auto" w:line="360"/>
        <w:ind w:firstLine="480"/>
        <w:rPr>
          <w:rFonts w:ascii="楷体" w:hAnsi="楷体" w:eastAsia="楷体" w:cs="楷体"/>
          <w:sz w:val="24"/>
        </w:rPr>
      </w:pPr>
      <w:r>
        <w:rPr>
          <w:rFonts w:ascii="SimHei" w:hAnsi="SimHei" w:cs="楷体" w:eastAsia="黑体"/>
          <w:sz w:val="24"/>
        </w:rPr>
        <w:t>项目奖金作为奖金的补充方式，总体数量不大，不需要考虑股权支付的方式。但是要根据项目特点选取合理的支付时间。</w:t>
      </w:r>
    </w:p>
    <w:p>
      <w:pPr>
        <w:pStyle w:val="TextBodyIndent"/>
        <w:spacing w:lineRule="auto" w:line="360"/>
        <w:ind w:firstLine="480"/>
        <w:rPr>
          <w:rFonts w:ascii="楷体" w:hAnsi="楷体" w:eastAsia="楷体" w:cs="楷体"/>
          <w:sz w:val="24"/>
        </w:rPr>
      </w:pPr>
      <w:r>
        <w:rPr>
          <w:rFonts w:ascii="SimHei" w:hAnsi="SimHei" w:cs="楷体" w:eastAsia="黑体"/>
          <w:sz w:val="24"/>
        </w:rPr>
        <w:t>根据奖金支付是否延期分为“即时支付”和“延期支付”两种方式，“即时支付”意味着总部承担所有的项目后风险，“延期支付”则意味着项目责任者也分担部分项目后风险。</w:t>
      </w:r>
    </w:p>
    <w:p>
      <w:pPr>
        <w:pStyle w:val="TextBodyIndent"/>
        <w:spacing w:lineRule="auto" w:line="360"/>
        <w:ind w:firstLine="480"/>
        <w:rPr>
          <w:rFonts w:ascii="楷体" w:hAnsi="楷体" w:eastAsia="楷体" w:cs="楷体"/>
          <w:sz w:val="24"/>
        </w:rPr>
      </w:pPr>
      <w:r>
        <w:rPr>
          <w:rFonts w:ascii="SimHei" w:hAnsi="SimHei" w:cs="楷体" w:eastAsia="黑体"/>
          <w:sz w:val="24"/>
        </w:rPr>
        <w:t>对于分期项目，根据结算次数分为“分期支付”和“一次性支付”两种方式，“分期支付”可以体现激励的即时效应，“一次性支付”可以体现激励的集中效应。</w:t>
      </w:r>
    </w:p>
    <w:p>
      <w:pPr>
        <w:pStyle w:val="TextBodyIndent"/>
        <w:spacing w:lineRule="auto" w:line="360"/>
        <w:ind w:hanging="0"/>
        <w:rPr>
          <w:rFonts w:ascii="楷体" w:hAnsi="楷体" w:eastAsia="楷体" w:cs="楷体"/>
          <w:sz w:val="24"/>
        </w:rPr>
      </w:pPr>
      <w:r>
        <w:rPr>
          <w:rFonts w:ascii="SimHei" w:hAnsi="SimHei" w:cs="楷体" w:eastAsia="黑体"/>
          <w:sz w:val="24"/>
        </w:rPr>
        <w:t>根据上述，项目奖金的支付时间可以有</w:t>
      </w:r>
      <w:r>
        <w:rPr>
          <w:rFonts w:eastAsia="黑体" w:cs="楷体" w:ascii="SimHei" w:hAnsi="SimHei"/>
          <w:sz w:val="24"/>
        </w:rPr>
        <w:t>4</w:t>
      </w:r>
      <w:r>
        <w:rPr>
          <w:rFonts w:ascii="SimHei" w:hAnsi="SimHei" w:cs="楷体" w:eastAsia="黑体"/>
          <w:sz w:val="24"/>
        </w:rPr>
        <w:t>种方案，如图</w:t>
      </w:r>
      <w:r>
        <w:rPr>
          <w:rFonts w:eastAsia="黑体" w:cs="楷体" w:ascii="SimHei" w:hAnsi="SimHei"/>
          <w:sz w:val="24"/>
        </w:rPr>
        <w:t>1</w:t>
      </w:r>
      <w:r>
        <w:rPr>
          <w:rFonts w:ascii="SimHei" w:hAnsi="SimHei" w:cs="楷体" w:eastAsia="黑体"/>
          <w:sz w:val="24"/>
        </w:rPr>
        <w:t>所示</w:t>
      </w:r>
      <w:r>
        <w:rPr>
          <w:rFonts w:ascii="SimHei" w:hAnsi="SimHei" w:eastAsia="黑体"/>
        </w:rPr>
      </w:r>
      <w:r>
        <w:rPr>
          <w:rFonts w:ascii="SimHei" w:hAnsi="SimHei" w:cs="楷体" w:eastAsia="黑体"/>
          <w:sz w:val="24"/>
        </w:rPr>
        <w:t>。</w:t>
      </w:r>
    </w:p>
    <w:p>
      <w:pPr>
        <w:pStyle w:val="Style14"/>
        <w:spacing w:lineRule="auto" w:line="360" w:before="0" w:after="0"/>
        <w:rPr>
          <w:rFonts w:ascii="楷体" w:hAnsi="楷体" w:eastAsia="楷体" w:cs="楷体"/>
          <w:sz w:val="24"/>
        </w:rPr>
      </w:pPr>
      <w:r>
        <w:rPr>
          <w:rFonts w:ascii="SimHei" w:hAnsi="SimHei" w:cs="楷体" w:eastAsia="黑体"/>
          <w:sz w:val="24"/>
        </w:rPr>
        <w:t>图</w:t>
      </w:r>
      <w:r>
        <w:rPr>
          <w:rFonts w:eastAsia="黑体" w:cs="楷体" w:ascii="SimHei" w:hAnsi="SimHei"/>
          <w:sz w:val="24"/>
        </w:rPr>
        <w:t>1</w:t>
      </w:r>
      <w:r>
        <w:rPr>
          <w:rFonts w:ascii="SimHei" w:hAnsi="SimHei" w:cs="楷体" w:eastAsia="黑体"/>
          <w:sz w:val="24"/>
        </w:rPr>
        <w:t>：项目奖金的支付时间</w:t>
      </w:r>
    </w:p>
    <w:p>
      <w:pPr>
        <w:pStyle w:val="Heading5"/>
        <w:numPr>
          <w:ilvl w:val="0"/>
          <w:numId w:val="9"/>
        </w:numPr>
        <w:spacing w:lineRule="auto" w:line="360" w:before="0" w:after="0"/>
        <w:ind w:start="0" w:firstLine="482"/>
        <w:rPr>
          <w:rFonts w:ascii="楷体" w:hAnsi="楷体" w:eastAsia="楷体" w:cs="楷体"/>
          <w:szCs w:val="24"/>
        </w:rPr>
      </w:pPr>
      <w:r>
        <w:rPr>
          <w:rFonts w:ascii="SimHei" w:hAnsi="SimHei" w:cs="楷体" w:eastAsia="黑体"/>
          <w:szCs w:val="24"/>
        </w:rPr>
        <w:t>方案一：即时分期支付</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即时分期支付”是指每期项目结束后就支付当期的奖金。这种方案的优点是体现了激励的即时性，缺点是总部承担了较高的项目后风险，奖金分散可能弱化激励效果。</w:t>
      </w:r>
    </w:p>
    <w:p>
      <w:pPr>
        <w:pStyle w:val="Heading5"/>
        <w:numPr>
          <w:ilvl w:val="0"/>
          <w:numId w:val="9"/>
        </w:numPr>
        <w:spacing w:lineRule="auto" w:line="360" w:before="0" w:after="0"/>
        <w:ind w:start="0" w:firstLine="482"/>
        <w:rPr>
          <w:rFonts w:ascii="楷体" w:hAnsi="楷体" w:eastAsia="楷体" w:cs="楷体"/>
          <w:szCs w:val="24"/>
        </w:rPr>
      </w:pPr>
      <w:r>
        <w:rPr>
          <w:rFonts w:ascii="SimHei" w:hAnsi="SimHei" w:cs="楷体" w:eastAsia="黑体"/>
          <w:szCs w:val="24"/>
        </w:rPr>
        <w:t>方案二：延期分期支付</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延期分期支付”是指每期项目结束后并不支付当期的奖金，而是在一个约定的时间内支付。这一方案的优点在于既体现了激励的即时性，项目后风险又在公司总部和项目责任者之间获得了较好的平衡。缺点是奖金分散可能弱化激励效果。</w:t>
      </w:r>
    </w:p>
    <w:p>
      <w:pPr>
        <w:pStyle w:val="Heading5"/>
        <w:numPr>
          <w:ilvl w:val="0"/>
          <w:numId w:val="9"/>
        </w:numPr>
        <w:spacing w:lineRule="auto" w:line="360" w:before="0" w:after="0"/>
        <w:ind w:start="0" w:firstLine="482"/>
        <w:rPr>
          <w:rFonts w:ascii="楷体" w:hAnsi="楷体" w:eastAsia="楷体" w:cs="楷体"/>
          <w:szCs w:val="24"/>
        </w:rPr>
      </w:pPr>
      <w:r>
        <w:rPr>
          <w:rFonts w:ascii="SimHei" w:hAnsi="SimHei" w:cs="楷体" w:eastAsia="黑体"/>
          <w:szCs w:val="24"/>
        </w:rPr>
        <w:t>方案三：即时一次性支付</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即时一次性支付”是指项目全部结束当期支付全部的奖金。这一方案的优点在于既体现了激励的集中性，缺点是，承担了较高的项目后风险。</w:t>
      </w:r>
    </w:p>
    <w:p>
      <w:pPr>
        <w:pStyle w:val="Heading5"/>
        <w:numPr>
          <w:ilvl w:val="0"/>
          <w:numId w:val="9"/>
        </w:numPr>
        <w:spacing w:lineRule="auto" w:line="360" w:before="0" w:after="0"/>
        <w:ind w:start="0" w:firstLine="482"/>
        <w:rPr>
          <w:rFonts w:ascii="楷体" w:hAnsi="楷体" w:eastAsia="楷体" w:cs="楷体"/>
          <w:szCs w:val="24"/>
        </w:rPr>
      </w:pPr>
      <w:r>
        <w:rPr>
          <w:rFonts w:ascii="SimHei" w:hAnsi="SimHei" w:cs="楷体" w:eastAsia="黑体"/>
          <w:szCs w:val="24"/>
        </w:rPr>
        <w:t>方案四：延期一次性支付</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延期一次性支付”是项目全部结束当期核算全部的奖金，但是并不即刻支付，而是在一个约定的时间内支付。这一方案的优点在于体现了激励的集中性，项目后风险又在公司总部和项目责任者之间获得了较好的平衡。缺点是激励的及时性没有得到体现。</w:t>
      </w:r>
    </w:p>
    <w:p>
      <w:pPr>
        <w:pStyle w:val="Heading5"/>
        <w:numPr>
          <w:ilvl w:val="0"/>
          <w:numId w:val="9"/>
        </w:numPr>
        <w:spacing w:lineRule="auto" w:line="360" w:before="0" w:after="0"/>
        <w:ind w:start="0" w:firstLine="482"/>
        <w:rPr>
          <w:rFonts w:ascii="楷体" w:hAnsi="楷体" w:eastAsia="楷体" w:cs="楷体"/>
          <w:szCs w:val="24"/>
        </w:rPr>
      </w:pPr>
      <w:r>
        <w:rPr>
          <w:rFonts w:ascii="SimHei" w:hAnsi="SimHei" w:cs="楷体" w:eastAsia="黑体"/>
          <w:szCs w:val="24"/>
        </w:rPr>
        <w:t>我们的建议</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）选取方案</w:t>
      </w:r>
    </w:p>
    <w:p>
      <w:pPr>
        <w:pStyle w:val="TextBodyIndent"/>
        <w:spacing w:lineRule="auto" w:line="360"/>
        <w:ind w:firstLine="480"/>
        <w:rPr>
          <w:rFonts w:ascii="楷体" w:hAnsi="楷体" w:eastAsia="楷体" w:cs="楷体"/>
          <w:sz w:val="24"/>
        </w:rPr>
      </w:pPr>
      <w:r>
        <w:rPr>
          <w:rFonts w:ascii="SimHei" w:hAnsi="SimHei" w:cs="楷体" w:eastAsia="黑体"/>
          <w:sz w:val="24"/>
        </w:rPr>
        <w:t>实际上在选取何种支付方案时，应该根据项目的特点进行选择。比如对于不分期的项目就只能选择“方案三”和“方案四”。对于分期项目，就可以选择以上四种方案中的一种，根据</w:t>
      </w:r>
      <w:r>
        <w:rPr>
          <w:rFonts w:eastAsia="黑体" w:cs="楷体" w:ascii="SimHei" w:hAnsi="SimHei"/>
          <w:sz w:val="24"/>
        </w:rPr>
        <w:t>XX</w:t>
      </w:r>
      <w:r>
        <w:rPr>
          <w:rFonts w:ascii="SimHei" w:hAnsi="SimHei" w:cs="楷体" w:eastAsia="黑体"/>
          <w:sz w:val="24"/>
        </w:rPr>
        <w:t>的现状特点，我们建议</w:t>
      </w:r>
      <w:r>
        <w:rPr>
          <w:rFonts w:eastAsia="黑体" w:cs="楷体" w:ascii="SimHei" w:hAnsi="SimHei"/>
          <w:sz w:val="24"/>
        </w:rPr>
        <w:t>XX</w:t>
      </w:r>
      <w:r>
        <w:rPr>
          <w:rFonts w:ascii="SimHei" w:hAnsi="SimHei" w:cs="楷体" w:eastAsia="黑体"/>
          <w:sz w:val="24"/>
        </w:rPr>
        <w:t>应该较多选择“方案二”，即通过分期支付来强调激励的及时性，通过延期支付来合理分担项目后风险。</w:t>
      </w:r>
    </w:p>
    <w:p>
      <w:pPr>
        <w:pStyle w:val="TextBodyIndent"/>
        <w:spacing w:lineRule="auto" w:line="360"/>
        <w:ind w:firstLine="480"/>
        <w:rPr>
          <w:rFonts w:ascii="楷体" w:hAnsi="楷体" w:eastAsia="楷体" w:cs="楷体"/>
          <w:sz w:val="24"/>
        </w:rPr>
      </w:pPr>
      <w:r>
        <w:rPr>
          <w:rFonts w:ascii="SimHei" w:hAnsi="SimHei" w:cs="楷体" w:eastAsia="黑体"/>
          <w:sz w:val="24"/>
        </w:rPr>
        <w:t>具体的支付时间如表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1</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：项目奖金支付时间</w:t>
      </w:r>
    </w:p>
    <w:tbl>
      <w:tblPr>
        <w:tblW w:w="8458" w:type="dxa"/>
        <w:jc w:val="center"/>
        <w:tblInd w:w="0" w:type="dxa"/>
        <w:tblLayout w:type="fixed"/>
        <w:tblCellMar>
          <w:top w:w="0" w:type="dxa"/>
          <w:start w:w="108" w:type="dxa"/>
          <w:bottom w:w="0" w:type="dxa"/>
          <w:end w:w="108" w:type="dxa"/>
        </w:tblCellMar>
      </w:tblPr>
      <w:tblGrid>
        <w:gridCol w:w="3023"/>
        <w:gridCol w:w="3024"/>
        <w:gridCol w:w="2411"/>
      </w:tblGrid>
      <w:tr>
        <w:trPr>
          <w:trHeight w:val="608" w:hRule="atLeast"/>
        </w:trPr>
        <w:tc>
          <w:tcPr>
            <w:tcW w:w="302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时间</w:t>
            </w:r>
          </w:p>
        </w:tc>
        <w:tc>
          <w:tcPr>
            <w:tcW w:w="302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项目工期结束当期</w:t>
            </w:r>
          </w:p>
        </w:tc>
        <w:tc>
          <w:tcPr>
            <w:tcW w:w="241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项目工期结束第二年</w:t>
            </w:r>
          </w:p>
        </w:tc>
      </w:tr>
      <w:tr>
        <w:trPr>
          <w:trHeight w:val="485" w:hRule="atLeast"/>
        </w:trPr>
        <w:tc>
          <w:tcPr>
            <w:tcW w:w="302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支付比例</w:t>
            </w:r>
          </w:p>
        </w:tc>
        <w:tc>
          <w:tcPr>
            <w:tcW w:w="302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70</w:t>
            </w:r>
            <w:r>
              <w:rPr>
                <w:rFonts w:ascii="SimHei" w:hAnsi="SimHei" w:cs="楷体" w:eastAsia="黑体"/>
                <w:sz w:val="24"/>
              </w:rPr>
              <w:t>％</w:t>
            </w:r>
          </w:p>
        </w:tc>
        <w:tc>
          <w:tcPr>
            <w:tcW w:w="241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30</w:t>
            </w:r>
            <w:r>
              <w:rPr>
                <w:rFonts w:ascii="SimHei" w:hAnsi="SimHei" w:cs="楷体" w:eastAsia="黑体"/>
                <w:sz w:val="24"/>
              </w:rPr>
              <w:t>％</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注：“项目工期结束当期”是指某一期项目完成或超过目标销售率并且业主入伙后一个月之内。</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）项目后风险的评估</w:t>
      </w:r>
    </w:p>
    <w:p>
      <w:pPr>
        <w:pStyle w:val="TextBodyIndent"/>
        <w:spacing w:lineRule="auto" w:line="360"/>
        <w:ind w:firstLine="480"/>
        <w:rPr>
          <w:rFonts w:ascii="楷体" w:hAnsi="楷体" w:eastAsia="楷体" w:cs="楷体"/>
          <w:sz w:val="24"/>
        </w:rPr>
      </w:pPr>
      <w:r>
        <w:rPr>
          <w:rFonts w:ascii="SimHei" w:hAnsi="SimHei" w:cs="楷体" w:eastAsia="黑体"/>
          <w:sz w:val="24"/>
        </w:rPr>
        <w:t>项目后风险是指项目结束当期无法客观界定的潜在风险，主要体现在项目施工质量上。项目后风险评估的信息一方面来源于公司统一组织业主满意度调查结果，一方面来源于业主日常投诉。对于被评估出较高后风险的项目，公司可以根据规定取消或者减少延迟支付的奖金。</w:t>
      </w:r>
    </w:p>
    <w:p>
      <w:pPr>
        <w:pStyle w:val="Heading3"/>
        <w:numPr>
          <w:ilvl w:val="1"/>
          <w:numId w:val="2"/>
        </w:numPr>
        <w:spacing w:lineRule="auto" w:line="360" w:before="0" w:after="0"/>
        <w:ind w:start="0" w:firstLine="482"/>
        <w:rPr>
          <w:rFonts w:ascii="楷体" w:hAnsi="楷体" w:eastAsia="楷体" w:cs="楷体"/>
          <w:szCs w:val="24"/>
        </w:rPr>
      </w:pPr>
      <w:bookmarkStart w:id="9" w:name="__RefHeading___Toc30302474"/>
      <w:bookmarkEnd w:id="9"/>
      <w:r>
        <w:rPr>
          <w:rFonts w:ascii="SimHei" w:hAnsi="SimHei" w:cs="楷体" w:eastAsia="黑体"/>
          <w:szCs w:val="24"/>
        </w:rPr>
        <w:t>年度奖金</w:t>
      </w:r>
    </w:p>
    <w:p>
      <w:pPr>
        <w:pStyle w:val="Heading4"/>
        <w:numPr>
          <w:ilvl w:val="2"/>
          <w:numId w:val="2"/>
        </w:numPr>
        <w:spacing w:lineRule="auto" w:line="360" w:before="0" w:after="0"/>
        <w:ind w:start="0" w:firstLine="482"/>
        <w:rPr>
          <w:rFonts w:ascii="楷体" w:hAnsi="楷体" w:eastAsia="楷体" w:cs="楷体"/>
          <w:szCs w:val="24"/>
        </w:rPr>
      </w:pPr>
      <w:bookmarkStart w:id="10" w:name="__RefHeading___Toc30302475"/>
      <w:bookmarkEnd w:id="10"/>
      <w:r>
        <w:rPr>
          <w:rFonts w:ascii="SimHei" w:hAnsi="SimHei" w:cs="楷体" w:eastAsia="黑体"/>
          <w:szCs w:val="24"/>
        </w:rPr>
        <w:t>核算方案</w:t>
      </w:r>
    </w:p>
    <w:p>
      <w:pPr>
        <w:pStyle w:val="TextBodyIndent"/>
        <w:spacing w:lineRule="auto" w:line="360"/>
        <w:ind w:firstLine="480"/>
        <w:rPr>
          <w:rFonts w:ascii="楷体" w:hAnsi="楷体" w:eastAsia="楷体" w:cs="楷体"/>
          <w:sz w:val="24"/>
        </w:rPr>
      </w:pPr>
      <w:r>
        <w:rPr>
          <w:rFonts w:ascii="SimHei" w:hAnsi="SimHei" w:cs="楷体" w:eastAsia="黑体"/>
          <w:sz w:val="24"/>
        </w:rPr>
        <w:t>根据</w:t>
      </w:r>
      <w:r>
        <w:rPr>
          <w:rFonts w:eastAsia="黑体" w:cs="楷体" w:ascii="SimHei" w:hAnsi="SimHei"/>
          <w:sz w:val="24"/>
        </w:rPr>
        <w:t>XX</w:t>
      </w:r>
      <w:r>
        <w:rPr>
          <w:rFonts w:ascii="SimHei" w:hAnsi="SimHei" w:cs="楷体" w:eastAsia="黑体"/>
          <w:sz w:val="24"/>
        </w:rPr>
        <w:t>地产的现状和未来发展趋势，我们设计了以下几套年度奖金的核算方案，以供</w:t>
      </w:r>
      <w:r>
        <w:rPr>
          <w:rFonts w:eastAsia="黑体" w:cs="楷体" w:ascii="SimHei" w:hAnsi="SimHei"/>
          <w:sz w:val="24"/>
        </w:rPr>
        <w:t>XX</w:t>
      </w:r>
      <w:r>
        <w:rPr>
          <w:rFonts w:ascii="SimHei" w:hAnsi="SimHei" w:cs="楷体" w:eastAsia="黑体"/>
          <w:sz w:val="24"/>
        </w:rPr>
        <w:t>的管理层选用。</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方案一：整体核算法</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整体核算法”的假设前提是所有的地区公司都在为</w:t>
      </w:r>
      <w:r>
        <w:rPr>
          <w:rFonts w:eastAsia="黑体" w:cs="楷体" w:ascii="SimHei" w:hAnsi="SimHei"/>
          <w:sz w:val="24"/>
        </w:rPr>
        <w:t>XX</w:t>
      </w:r>
      <w:r>
        <w:rPr>
          <w:rFonts w:ascii="SimHei" w:hAnsi="SimHei" w:cs="楷体" w:eastAsia="黑体"/>
          <w:sz w:val="24"/>
        </w:rPr>
        <w:t>地产作出贡献，只不过有些地区公司（处于成熟和拓展阶段）的贡献已经体现在财务数据（利润）中，有些地区公司（处于进入或拓展阶段）的贡献体现在未来的经营成果中，所以从长期来讲，地区公司之间可以通过“此消彼长”来实现平衡。</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）核算办法</w:t>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TextBodyIndent"/>
        <w:spacing w:lineRule="auto" w:line="360"/>
        <w:ind w:firstLine="480"/>
        <w:rPr>
          <w:rFonts w:ascii="楷体" w:hAnsi="楷体" w:eastAsia="楷体" w:cs="楷体"/>
          <w:sz w:val="24"/>
          <w:lang w:val="en-US" w:eastAsia="en-US"/>
        </w:rPr>
      </w:pPr>
      <w:r>
        <w:rPr>
          <w:rFonts w:ascii="SimHei" w:hAnsi="SimHei" w:cs="楷体" w:eastAsia="黑体"/>
          <w:sz w:val="24"/>
          <w:lang w:val="en-US" w:eastAsia="en-US"/>
        </w:rPr>
        <w:t>（</w:t>
      </w:r>
      <w:r>
        <w:rPr>
          <w:rFonts w:eastAsia="黑体" w:cs="楷体" w:ascii="SimHei" w:hAnsi="SimHei"/>
          <w:sz w:val="24"/>
          <w:lang w:val="en-US" w:eastAsia="en-US"/>
        </w:rPr>
        <w:t>2</w:t>
      </w:r>
      <w:r>
        <w:rPr>
          <w:rFonts w:ascii="SimHei" w:hAnsi="SimHei" w:cs="楷体" w:eastAsia="黑体"/>
          <w:sz w:val="24"/>
          <w:lang w:val="en-US" w:eastAsia="en-US"/>
        </w:rPr>
        <w:t>）说明</w:t>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TextBodyIndent"/>
        <w:spacing w:lineRule="auto" w:line="360"/>
        <w:ind w:firstLine="480"/>
        <w:rPr>
          <w:rFonts w:ascii="楷体" w:hAnsi="楷体" w:eastAsia="楷体" w:cs="楷体"/>
          <w:sz w:val="24"/>
        </w:rPr>
      </w:pPr>
      <w:r>
        <w:rPr>
          <w:rFonts w:ascii="SimHei" w:hAnsi="SimHei" w:cs="楷体" w:eastAsia="黑体"/>
          <w:sz w:val="24"/>
        </w:rPr>
        <w:t>核算办法中，其中“股份公司年度奖金分配系数”由公司薪酬考核委员会在年初确定年度经营计划时，根据行业发展环境和企业实际经营现状讨论决定。</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）优点</w:t>
      </w:r>
    </w:p>
    <w:p>
      <w:pPr>
        <w:pStyle w:val="TextBodyIndent"/>
        <w:spacing w:lineRule="auto" w:line="360"/>
        <w:ind w:firstLine="480"/>
        <w:rPr>
          <w:rFonts w:ascii="楷体" w:hAnsi="楷体" w:eastAsia="楷体" w:cs="楷体"/>
          <w:sz w:val="24"/>
        </w:rPr>
      </w:pPr>
      <w:r>
        <w:rPr>
          <w:rFonts w:ascii="SimHei" w:hAnsi="SimHei" w:cs="楷体" w:eastAsia="黑体"/>
          <w:sz w:val="24"/>
        </w:rPr>
        <w:t>采用“整体核算法”最明显的优点在于可以最大程度来实现不同地区公司之间保持相对均衡的状态，处于进入阶段的地区公司不会因为没有财务上的贡献而无法参与享受奖金，处于成熟阶段的地区公司也不会出现独享成果的场面。</w:t>
      </w:r>
    </w:p>
    <w:p>
      <w:pPr>
        <w:pStyle w:val="TextBodyIndent"/>
        <w:spacing w:lineRule="auto" w:line="360"/>
        <w:ind w:firstLine="480"/>
        <w:rPr>
          <w:rFonts w:ascii="楷体" w:hAnsi="楷体" w:eastAsia="楷体" w:cs="楷体"/>
          <w:sz w:val="24"/>
        </w:rPr>
      </w:pPr>
      <w:r>
        <w:rPr>
          <w:rFonts w:ascii="SimHei" w:hAnsi="SimHei" w:cs="楷体" w:eastAsia="黑体"/>
          <w:sz w:val="24"/>
        </w:rPr>
        <w:t>把大家的贡献都“捆绑”在一起来进行核算，可以从激励制度上保证所有地区公司工作目标的一致性，从而为</w:t>
      </w:r>
      <w:r>
        <w:rPr>
          <w:rFonts w:eastAsia="黑体" w:cs="楷体" w:ascii="SimHei" w:hAnsi="SimHei"/>
          <w:sz w:val="24"/>
        </w:rPr>
        <w:t>XX</w:t>
      </w:r>
      <w:r>
        <w:rPr>
          <w:rFonts w:ascii="SimHei" w:hAnsi="SimHei" w:cs="楷体" w:eastAsia="黑体"/>
          <w:sz w:val="24"/>
        </w:rPr>
        <w:t>实现战略目标奠定良好的基础。</w:t>
      </w:r>
    </w:p>
    <w:p>
      <w:pPr>
        <w:pStyle w:val="TextBodyIndent"/>
        <w:spacing w:lineRule="auto" w:line="360"/>
        <w:ind w:firstLine="480"/>
        <w:rPr>
          <w:rFonts w:ascii="楷体" w:hAnsi="楷体" w:eastAsia="楷体" w:cs="楷体"/>
          <w:sz w:val="24"/>
        </w:rPr>
      </w:pPr>
      <w:r>
        <w:rPr>
          <w:rFonts w:ascii="SimHei" w:hAnsi="SimHei" w:cs="楷体" w:eastAsia="黑体"/>
          <w:sz w:val="24"/>
        </w:rPr>
        <w:t>此外，采用“整体核算法”可以在某种程度上降低地区公司对经营目标的敏感性，从而避免地区公司因为个人利益而在确定经营目标时出现的“寸土必争”的紧张局面，可以缓解总部和地区公司之间的紧张关系。</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）缺点</w:t>
      </w:r>
    </w:p>
    <w:p>
      <w:pPr>
        <w:pStyle w:val="TextBodyIndent"/>
        <w:spacing w:lineRule="auto" w:line="360"/>
        <w:ind w:firstLine="480"/>
        <w:rPr>
          <w:rFonts w:ascii="楷体" w:hAnsi="楷体" w:eastAsia="楷体" w:cs="楷体"/>
          <w:sz w:val="24"/>
        </w:rPr>
      </w:pPr>
      <w:r>
        <w:rPr>
          <w:rFonts w:ascii="SimHei" w:hAnsi="SimHei" w:cs="楷体" w:eastAsia="黑体"/>
          <w:sz w:val="24"/>
        </w:rPr>
        <w:t>采用“整体核算法”模糊了各地区公司经营成果的差异，在某个时期内对于某些业绩较好的地区公司来说有不公平的感觉，可能会挫伤这些地区公司经理层的积极性。</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方案二：单独核算法</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单独核算法”的假设前提是对于可以用财务指标量化的地区公司（处于开拓和成熟阶段）应该“独享”其经营成果，才能更好地激励经理层持续努力获得更出色的业绩。而不能用财务指标量化的地区公司（处于进入和开拓阶段），则应该采用其他方式来分享其他地区公司的经营成果。</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单独核算法”另外一个前提是财务数据是可以准确量化经营成果的，地区公司经理层努力工作是获得经营成果的主要因素。</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）核算办法</w:t>
      </w:r>
    </w:p>
    <w:p>
      <w:pPr>
        <w:pStyle w:val="Style13"/>
        <w:numPr>
          <w:ilvl w:val="0"/>
          <w:numId w:val="11"/>
        </w:numPr>
        <w:spacing w:lineRule="auto" w:line="360"/>
        <w:ind w:start="0" w:firstLine="480"/>
        <w:rPr>
          <w:rFonts w:ascii="楷体" w:hAnsi="楷体" w:eastAsia="楷体" w:cs="楷体"/>
          <w:sz w:val="24"/>
          <w:szCs w:val="24"/>
        </w:rPr>
      </w:pPr>
      <w:r>
        <w:rPr>
          <w:rFonts w:ascii="SimHei" w:hAnsi="SimHei" w:cs="楷体" w:eastAsia="黑体"/>
          <w:sz w:val="24"/>
          <w:szCs w:val="24"/>
        </w:rPr>
        <w:t>成熟和拓展阶段公司</w:t>
      </w:r>
    </w:p>
    <w:p>
      <w:pPr>
        <w:pStyle w:val="Style13"/>
        <w:numPr>
          <w:ilvl w:val="0"/>
          <w:numId w:val="11"/>
        </w:numPr>
        <w:spacing w:lineRule="auto" w:line="360"/>
        <w:ind w:start="0" w:firstLine="480"/>
        <w:rPr>
          <w:rFonts w:ascii="楷体" w:hAnsi="楷体" w:eastAsia="楷体" w:cs="楷体"/>
          <w:sz w:val="24"/>
          <w:szCs w:val="24"/>
          <w:lang w:val="en-US" w:eastAsia="en-US"/>
        </w:rPr>
      </w:pPr>
      <w:r>
        <w:rPr>
          <w:rFonts w:ascii="SimHei" w:hAnsi="SimHei" w:eastAsia="黑体"/>
        </w:rPr>
      </w:r>
      <w:r>
        <w:rPr>
          <w:rFonts w:ascii="SimHei" w:hAnsi="SimHei" w:cs="楷体" w:eastAsia="黑体"/>
          <w:sz w:val="24"/>
          <w:szCs w:val="24"/>
          <w:lang w:val="en-US" w:eastAsia="en-US"/>
        </w:rPr>
        <w:t>进入阶段公司</w:t>
      </w:r>
    </w:p>
    <w:p>
      <w:pPr>
        <w:pStyle w:val="Normal"/>
        <w:spacing w:lineRule="auto" w:line="360"/>
        <w:ind w:firstLine="480"/>
        <w:rPr>
          <w:rFonts w:ascii="楷体" w:hAnsi="楷体" w:eastAsia="楷体" w:cs="楷体"/>
          <w:sz w:val="24"/>
        </w:rPr>
      </w:pPr>
      <w:r>
        <w:rPr>
          <w:rFonts w:ascii="SimHei" w:hAnsi="SimHei" w:eastAsia="黑体"/>
        </w:rPr>
      </w:r>
      <w:r>
        <w:rPr>
          <w:rFonts w:ascii="SimHei" w:hAnsi="SimHei" w:cs="楷体" w:eastAsia="黑体"/>
          <w:sz w:val="24"/>
        </w:rPr>
        <w:t>（</w:t>
      </w:r>
      <w:r>
        <w:rPr>
          <w:rFonts w:eastAsia="黑体" w:cs="楷体" w:ascii="SimHei" w:hAnsi="SimHei"/>
          <w:sz w:val="24"/>
        </w:rPr>
        <w:t>2</w:t>
      </w:r>
      <w:r>
        <w:rPr>
          <w:rFonts w:ascii="SimHei" w:hAnsi="SimHei" w:cs="楷体" w:eastAsia="黑体"/>
          <w:sz w:val="24"/>
        </w:rPr>
        <w:t>）说明</w:t>
      </w:r>
    </w:p>
    <w:p>
      <w:pPr>
        <w:pStyle w:val="TextBodyIndent"/>
        <w:spacing w:lineRule="auto" w:line="360"/>
        <w:ind w:firstLine="480"/>
        <w:rPr>
          <w:rFonts w:ascii="楷体" w:hAnsi="楷体" w:eastAsia="楷体" w:cs="楷体"/>
          <w:sz w:val="24"/>
        </w:rPr>
      </w:pPr>
      <w:r>
        <w:rPr>
          <w:rFonts w:ascii="SimHei" w:hAnsi="SimHei" w:cs="楷体" w:eastAsia="黑体"/>
          <w:sz w:val="24"/>
        </w:rPr>
        <w:t>核算办法中，对于处于成熟和开拓阶段公司的“某地区公司年度奖金分配系数”，由公司薪酬考核委员会在年初确定年度经营计划时，根据行业发展环境和企业实际经营现状讨论决定。</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）优点</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单独核算法”最大的优点可以充分体现各地区公司的经营成果，从而最大可能地激励地区公司的经理层。</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）缺点</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单独核算法”在意味着“高收益”的同时也意味着“高风险”，即对于某地区公司的经理层来讲要完全承担地区公司所有的经营风险。</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单独核算法”对总部制定各地区公司的经营目标的客观性和精确性也是一种挑战，不符合客观情况或者不够精确的经营目标对于任何一个地区公司都是不公平的，也有可能会引起地区公司经理层消极的反应。</w:t>
      </w:r>
    </w:p>
    <w:p>
      <w:pPr>
        <w:pStyle w:val="TextBodyIndent"/>
        <w:spacing w:lineRule="auto" w:line="360"/>
        <w:ind w:firstLine="480"/>
        <w:rPr>
          <w:rFonts w:ascii="楷体" w:hAnsi="楷体" w:eastAsia="楷体" w:cs="楷体"/>
          <w:sz w:val="24"/>
        </w:rPr>
      </w:pPr>
      <w:r>
        <w:rPr>
          <w:rFonts w:ascii="SimHei" w:hAnsi="SimHei" w:cs="楷体" w:eastAsia="黑体"/>
          <w:sz w:val="24"/>
        </w:rPr>
        <w:t>运用“单独核算法”时，“处于进入阶段地区公司的奖金”不在“成熟和开拓地区公司奖金总额”之中，这意味着总部需要“额外”支付一笔奖金，这也意味着薪酬考核委员会在年初设定“各地区公司年度奖金分配系数”时要考虑这一因素，以免最后的绩效奖金总额突破公司预先设定的上限。</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方案三：混合核算法</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）核算办法</w:t>
      </w:r>
    </w:p>
    <w:p>
      <w:pPr>
        <w:pStyle w:val="Style13"/>
        <w:numPr>
          <w:ilvl w:val="0"/>
          <w:numId w:val="11"/>
        </w:numPr>
        <w:spacing w:lineRule="auto" w:line="360"/>
        <w:ind w:start="0" w:firstLine="480"/>
        <w:rPr>
          <w:rFonts w:ascii="楷体" w:hAnsi="楷体" w:eastAsia="楷体" w:cs="楷体"/>
          <w:sz w:val="24"/>
          <w:szCs w:val="24"/>
        </w:rPr>
      </w:pPr>
      <w:r>
        <w:rPr>
          <w:rFonts w:ascii="SimHei" w:hAnsi="SimHei" w:cs="楷体" w:eastAsia="黑体"/>
          <w:sz w:val="24"/>
          <w:szCs w:val="24"/>
        </w:rPr>
        <w:t>成熟和拓展阶段公司</w:t>
      </w:r>
    </w:p>
    <w:p>
      <w:pPr>
        <w:pStyle w:val="Style13"/>
        <w:numPr>
          <w:ilvl w:val="0"/>
          <w:numId w:val="11"/>
        </w:numPr>
        <w:spacing w:lineRule="auto" w:line="360"/>
        <w:ind w:start="0" w:firstLine="480"/>
        <w:rPr>
          <w:rFonts w:ascii="楷体" w:hAnsi="楷体" w:eastAsia="楷体" w:cs="楷体"/>
          <w:sz w:val="24"/>
          <w:szCs w:val="24"/>
          <w:lang w:val="en-US" w:eastAsia="en-US"/>
        </w:rPr>
      </w:pPr>
      <w:r>
        <w:rPr>
          <w:rFonts w:ascii="SimHei" w:hAnsi="SimHei" w:eastAsia="黑体"/>
        </w:rPr>
      </w:r>
      <w:r>
        <w:rPr>
          <w:rFonts w:ascii="SimHei" w:hAnsi="SimHei" w:cs="楷体" w:eastAsia="黑体"/>
          <w:sz w:val="24"/>
          <w:szCs w:val="24"/>
          <w:lang w:val="en-US" w:eastAsia="en-US"/>
        </w:rPr>
        <w:t>进入阶段公司</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）说明</w:t>
      </w:r>
    </w:p>
    <w:p>
      <w:pPr>
        <w:pStyle w:val="TextBodyIndent"/>
        <w:spacing w:lineRule="auto" w:line="360"/>
        <w:ind w:firstLine="480"/>
        <w:rPr>
          <w:rFonts w:ascii="楷体" w:hAnsi="楷体" w:eastAsia="楷体" w:cs="楷体"/>
          <w:sz w:val="24"/>
        </w:rPr>
      </w:pPr>
      <w:r>
        <w:rPr>
          <w:rFonts w:ascii="SimHei" w:hAnsi="SimHei" w:cs="楷体" w:eastAsia="黑体"/>
          <w:sz w:val="24"/>
        </w:rPr>
        <w:t>核算办法中，对于处于成熟和开拓阶段公司的“某地区公司年度奖金分配系数”，由公司薪酬考核委员会在年初确定年度经营计划时，根据行业发展环境和企业实际经营现状讨论决定。</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）优点</w:t>
      </w:r>
    </w:p>
    <w:p>
      <w:pPr>
        <w:pStyle w:val="TextBodyIndent"/>
        <w:spacing w:lineRule="auto" w:line="360"/>
        <w:ind w:firstLine="480"/>
        <w:rPr>
          <w:rFonts w:ascii="楷体" w:hAnsi="楷体" w:eastAsia="楷体" w:cs="楷体"/>
          <w:sz w:val="24"/>
        </w:rPr>
      </w:pPr>
      <w:r>
        <w:rPr>
          <w:rFonts w:ascii="SimHei" w:hAnsi="SimHei" w:cs="楷体" w:eastAsia="黑体"/>
          <w:sz w:val="24"/>
        </w:rPr>
        <w:t>综合“综合核算法”和“单独核算法”两类方法的优点，既保证了股份公司整体目标一致性，又实现各地区公司激励最大化。</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）缺点</w:t>
      </w:r>
    </w:p>
    <w:p>
      <w:pPr>
        <w:pStyle w:val="TextBodyIndent"/>
        <w:spacing w:lineRule="auto" w:line="360"/>
        <w:ind w:firstLine="480"/>
        <w:rPr>
          <w:rFonts w:ascii="楷体" w:hAnsi="楷体" w:eastAsia="楷体" w:cs="楷体"/>
          <w:sz w:val="24"/>
        </w:rPr>
      </w:pPr>
      <w:r>
        <w:rPr>
          <w:rFonts w:ascii="SimHei" w:hAnsi="SimHei" w:cs="楷体" w:eastAsia="黑体"/>
          <w:sz w:val="24"/>
        </w:rPr>
        <w:t>综合两种办法，核算过程较为复杂。对于处于发展阶段的公司，要根据公司发展情况及时调整核算办法。</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我们的建议</w:t>
      </w:r>
    </w:p>
    <w:p>
      <w:pPr>
        <w:pStyle w:val="TextBodyIndent"/>
        <w:spacing w:lineRule="auto" w:line="360"/>
        <w:ind w:firstLine="480"/>
        <w:rPr>
          <w:rFonts w:ascii="楷体" w:hAnsi="楷体" w:eastAsia="楷体" w:cs="楷体"/>
          <w:sz w:val="24"/>
        </w:rPr>
      </w:pPr>
      <w:r>
        <w:rPr>
          <w:rFonts w:ascii="SimHei" w:hAnsi="SimHei" w:cs="楷体" w:eastAsia="黑体"/>
          <w:sz w:val="24"/>
        </w:rPr>
        <w:t>我们建议</w:t>
      </w:r>
      <w:r>
        <w:rPr>
          <w:rFonts w:eastAsia="黑体" w:cs="楷体" w:ascii="SimHei" w:hAnsi="SimHei"/>
          <w:sz w:val="24"/>
        </w:rPr>
        <w:t>XX</w:t>
      </w:r>
      <w:r>
        <w:rPr>
          <w:rFonts w:ascii="SimHei" w:hAnsi="SimHei" w:cs="楷体" w:eastAsia="黑体"/>
          <w:sz w:val="24"/>
        </w:rPr>
        <w:t>在现阶段选用“方案三”，其依据如下：</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w:t>
      </w:r>
      <w:r>
        <w:rPr>
          <w:rFonts w:eastAsia="黑体" w:cs="楷体" w:ascii="SimHei" w:hAnsi="SimHei"/>
          <w:sz w:val="24"/>
        </w:rPr>
        <w:t>XX</w:t>
      </w:r>
      <w:r>
        <w:rPr>
          <w:rFonts w:ascii="SimHei" w:hAnsi="SimHei" w:cs="楷体" w:eastAsia="黑体"/>
          <w:sz w:val="24"/>
        </w:rPr>
        <w:t>的文化特点</w:t>
      </w:r>
    </w:p>
    <w:p>
      <w:pPr>
        <w:pStyle w:val="TextBodyIndent"/>
        <w:spacing w:lineRule="auto" w:line="360"/>
        <w:ind w:firstLine="480"/>
        <w:rPr>
          <w:rFonts w:ascii="楷体" w:hAnsi="楷体" w:eastAsia="楷体" w:cs="楷体"/>
          <w:sz w:val="24"/>
        </w:rPr>
      </w:pPr>
      <w:r>
        <w:rPr>
          <w:rFonts w:eastAsia="黑体" w:cs="楷体" w:ascii="SimHei" w:hAnsi="SimHei"/>
          <w:sz w:val="24"/>
        </w:rPr>
        <w:t>XX</w:t>
      </w:r>
      <w:r>
        <w:rPr>
          <w:rFonts w:ascii="SimHei" w:hAnsi="SimHei" w:cs="楷体" w:eastAsia="黑体"/>
          <w:sz w:val="24"/>
        </w:rPr>
        <w:t>文化一个明显特征是强调“团队精神”，“方案三”符合</w:t>
      </w:r>
      <w:r>
        <w:rPr>
          <w:rFonts w:eastAsia="黑体" w:cs="楷体" w:ascii="SimHei" w:hAnsi="SimHei"/>
          <w:sz w:val="24"/>
        </w:rPr>
        <w:t>XX</w:t>
      </w:r>
      <w:r>
        <w:rPr>
          <w:rFonts w:ascii="SimHei" w:hAnsi="SimHei" w:cs="楷体" w:eastAsia="黑体"/>
          <w:sz w:val="24"/>
        </w:rPr>
        <w:t>这一文化特征。</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w:t>
      </w:r>
      <w:r>
        <w:rPr>
          <w:rFonts w:eastAsia="黑体" w:cs="楷体" w:ascii="SimHei" w:hAnsi="SimHei"/>
          <w:sz w:val="24"/>
        </w:rPr>
        <w:t>XX</w:t>
      </w:r>
      <w:r>
        <w:rPr>
          <w:rFonts w:ascii="SimHei" w:hAnsi="SimHei" w:cs="楷体" w:eastAsia="黑体"/>
          <w:sz w:val="24"/>
        </w:rPr>
        <w:t>地产的现状</w:t>
      </w:r>
    </w:p>
    <w:p>
      <w:pPr>
        <w:pStyle w:val="TextBodyIndent"/>
        <w:spacing w:lineRule="auto" w:line="360"/>
        <w:ind w:firstLine="480"/>
        <w:rPr>
          <w:rFonts w:ascii="楷体" w:hAnsi="楷体" w:eastAsia="楷体" w:cs="楷体"/>
          <w:sz w:val="24"/>
        </w:rPr>
      </w:pPr>
      <w:r>
        <w:rPr>
          <w:rFonts w:eastAsia="黑体" w:cs="楷体" w:ascii="SimHei" w:hAnsi="SimHei"/>
          <w:sz w:val="24"/>
        </w:rPr>
        <w:t>XX</w:t>
      </w:r>
      <w:r>
        <w:rPr>
          <w:rFonts w:ascii="SimHei" w:hAnsi="SimHei" w:cs="楷体" w:eastAsia="黑体"/>
          <w:sz w:val="24"/>
        </w:rPr>
        <w:t>地产作为我国地产行业的生力军，正题上正处于业务拓展阶段，全国范围内不同地区公司由于进入时间不同、市场环境不同、占有资源状况不同等原因而存在巨大的的差异，“方案三”可以弱化这一事实上存在的差异。</w:t>
      </w:r>
    </w:p>
    <w:p>
      <w:pPr>
        <w:pStyle w:val="TextBodyIndent"/>
        <w:spacing w:lineRule="auto" w:line="360"/>
        <w:ind w:firstLine="480"/>
        <w:rPr>
          <w:rFonts w:ascii="楷体" w:hAnsi="楷体" w:eastAsia="楷体" w:cs="楷体"/>
          <w:sz w:val="24"/>
        </w:rPr>
      </w:pPr>
      <w:r>
        <w:rPr>
          <w:rFonts w:ascii="SimHei" w:hAnsi="SimHei" w:cs="楷体" w:eastAsia="黑体"/>
          <w:sz w:val="24"/>
        </w:rPr>
        <w:t>从管理平台角度考虑，</w:t>
      </w:r>
      <w:r>
        <w:rPr>
          <w:rFonts w:eastAsia="黑体" w:cs="楷体" w:ascii="SimHei" w:hAnsi="SimHei"/>
          <w:sz w:val="24"/>
        </w:rPr>
        <w:t>XX</w:t>
      </w:r>
      <w:r>
        <w:rPr>
          <w:rFonts w:ascii="SimHei" w:hAnsi="SimHei" w:cs="楷体" w:eastAsia="黑体"/>
          <w:sz w:val="24"/>
        </w:rPr>
        <w:t>地产尚处于重组后初期阶段，一个统一的管理平台还处于不断调整和不断完善阶段，某些制度的缺陷或调整（例如年度经营预算制度）可能会凸现各地区公司之间的不平衡，从而成为潜在的消极因素。</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w:t>
      </w:r>
      <w:r>
        <w:rPr>
          <w:rFonts w:eastAsia="黑体" w:cs="楷体" w:ascii="SimHei" w:hAnsi="SimHei"/>
          <w:sz w:val="24"/>
        </w:rPr>
        <w:t>XX</w:t>
      </w:r>
      <w:r>
        <w:rPr>
          <w:rFonts w:ascii="SimHei" w:hAnsi="SimHei" w:cs="楷体" w:eastAsia="黑体"/>
          <w:sz w:val="24"/>
        </w:rPr>
        <w:t>地产的未来</w:t>
      </w:r>
    </w:p>
    <w:p>
      <w:pPr>
        <w:pStyle w:val="TextBodyIndent"/>
        <w:spacing w:lineRule="auto" w:line="360"/>
        <w:ind w:firstLine="480"/>
        <w:rPr>
          <w:rFonts w:ascii="楷体" w:hAnsi="楷体" w:eastAsia="楷体" w:cs="楷体"/>
          <w:sz w:val="24"/>
        </w:rPr>
      </w:pPr>
      <w:r>
        <w:rPr>
          <w:rFonts w:eastAsia="黑体" w:cs="楷体" w:ascii="SimHei" w:hAnsi="SimHei"/>
          <w:sz w:val="24"/>
        </w:rPr>
        <w:t>XX</w:t>
      </w:r>
      <w:r>
        <w:rPr>
          <w:rFonts w:ascii="SimHei" w:hAnsi="SimHei" w:cs="楷体" w:eastAsia="黑体"/>
          <w:sz w:val="24"/>
        </w:rPr>
        <w:t>地产未来的战略目标是要做“国内地产行业的领先者”。这样一个远大而宏伟的目标不是任何一个地区公司可以实现的，也不是在短期内可以实现的，需要有计划、有方向地集结和充分发挥</w:t>
      </w:r>
      <w:r>
        <w:rPr>
          <w:rFonts w:eastAsia="黑体" w:cs="楷体" w:ascii="SimHei" w:hAnsi="SimHei"/>
          <w:sz w:val="24"/>
        </w:rPr>
        <w:t>XX</w:t>
      </w:r>
      <w:r>
        <w:rPr>
          <w:rFonts w:ascii="SimHei" w:hAnsi="SimHei" w:cs="楷体" w:eastAsia="黑体"/>
          <w:sz w:val="24"/>
        </w:rPr>
        <w:t>地产所有资源（财务资源、人力资源、品牌资源等），经过较长时间持续的努力才能实现。“方案三”可以满足</w:t>
      </w:r>
      <w:r>
        <w:rPr>
          <w:rFonts w:eastAsia="黑体" w:cs="楷体" w:ascii="SimHei" w:hAnsi="SimHei"/>
          <w:sz w:val="24"/>
        </w:rPr>
        <w:t>XX</w:t>
      </w:r>
      <w:r>
        <w:rPr>
          <w:rFonts w:ascii="SimHei" w:hAnsi="SimHei" w:cs="楷体" w:eastAsia="黑体"/>
          <w:sz w:val="24"/>
        </w:rPr>
        <w:t>地产实现战略目标的需要。</w:t>
      </w:r>
    </w:p>
    <w:p>
      <w:pPr>
        <w:pStyle w:val="Heading4"/>
        <w:numPr>
          <w:ilvl w:val="2"/>
          <w:numId w:val="2"/>
        </w:numPr>
        <w:spacing w:lineRule="auto" w:line="360" w:before="0" w:after="0"/>
        <w:ind w:start="0" w:firstLine="482"/>
        <w:rPr>
          <w:rFonts w:ascii="楷体" w:hAnsi="楷体" w:eastAsia="楷体" w:cs="楷体"/>
          <w:szCs w:val="24"/>
        </w:rPr>
      </w:pPr>
      <w:bookmarkStart w:id="11" w:name="__RefHeading___Toc30302476"/>
      <w:bookmarkEnd w:id="11"/>
      <w:r>
        <w:rPr>
          <w:rFonts w:ascii="SimHei" w:hAnsi="SimHei" w:cs="楷体" w:eastAsia="黑体"/>
          <w:szCs w:val="24"/>
        </w:rPr>
        <w:t>支付时间和方式</w:t>
      </w:r>
    </w:p>
    <w:p>
      <w:pPr>
        <w:pStyle w:val="TextBodyIndent"/>
        <w:spacing w:lineRule="auto" w:line="360"/>
        <w:ind w:firstLine="480"/>
        <w:rPr>
          <w:rFonts w:ascii="楷体" w:hAnsi="楷体" w:eastAsia="楷体" w:cs="楷体"/>
          <w:sz w:val="24"/>
        </w:rPr>
      </w:pPr>
      <w:r>
        <w:rPr>
          <w:rFonts w:ascii="SimHei" w:hAnsi="SimHei" w:cs="楷体" w:eastAsia="黑体"/>
          <w:sz w:val="24"/>
        </w:rPr>
        <w:t>在奖金核算清楚之后，“何时获得奖金”和“以何种方式获得奖金”便成为被激励者最关心的问题。</w:t>
      </w:r>
    </w:p>
    <w:p>
      <w:pPr>
        <w:pStyle w:val="TextBodyIndent"/>
        <w:spacing w:lineRule="auto" w:line="360"/>
        <w:ind w:firstLine="480"/>
        <w:rPr>
          <w:rFonts w:ascii="楷体" w:hAnsi="楷体" w:eastAsia="楷体" w:cs="楷体"/>
          <w:sz w:val="24"/>
        </w:rPr>
      </w:pPr>
      <w:r>
        <w:rPr>
          <w:rFonts w:eastAsia="黑体" w:cs="楷体" w:ascii="SimHei" w:hAnsi="SimHei"/>
          <w:sz w:val="24"/>
        </w:rPr>
        <w:t>“</w:t>
      </w:r>
      <w:r>
        <w:rPr>
          <w:rFonts w:ascii="SimHei" w:hAnsi="SimHei" w:cs="楷体" w:eastAsia="黑体"/>
          <w:sz w:val="24"/>
        </w:rPr>
        <w:t>支付时间”可以分为“即时支付”和“延期支付”两种，“支付方式”可以分为“现金”和“股权”两种，根据这两个维度的组合，可以得出以下九种“支付时间和方式”方案（如图</w:t>
      </w:r>
      <w:r>
        <w:rPr>
          <w:rFonts w:eastAsia="黑体" w:cs="楷体" w:ascii="SimHei" w:hAnsi="SimHei"/>
          <w:sz w:val="24"/>
        </w:rPr>
        <w:t>2</w:t>
      </w:r>
      <w:r>
        <w:rPr>
          <w:rFonts w:ascii="SimHei" w:hAnsi="SimHei" w:cs="楷体" w:eastAsia="黑体"/>
          <w:sz w:val="24"/>
        </w:rPr>
        <w:t>所示），供</w:t>
      </w:r>
      <w:r>
        <w:rPr>
          <w:rFonts w:eastAsia="黑体" w:cs="楷体" w:ascii="SimHei" w:hAnsi="SimHei"/>
          <w:sz w:val="24"/>
        </w:rPr>
        <w:t>XX</w:t>
      </w:r>
      <w:r>
        <w:rPr>
          <w:rFonts w:ascii="SimHei" w:hAnsi="SimHei" w:cs="楷体" w:eastAsia="黑体"/>
          <w:sz w:val="24"/>
        </w:rPr>
        <w:t>的管理层选用。</w:t>
      </w:r>
    </w:p>
    <w:p>
      <w:pPr>
        <w:pStyle w:val="TextBodyIndent"/>
        <w:spacing w:lineRule="auto" w:line="360"/>
        <w:ind w:hanging="0"/>
        <w:rPr>
          <w:rFonts w:ascii="楷体" w:hAnsi="楷体" w:eastAsia="楷体" w:cs="楷体"/>
          <w:sz w:val="24"/>
          <w:lang w:val="en-US" w:eastAsia="en-US"/>
        </w:rPr>
      </w:pPr>
      <w:r>
        <w:rPr>
          <w:rFonts w:eastAsia="黑体" w:cs="楷体" w:ascii="SimHei" w:hAnsi="SimHei"/>
          <w:sz w:val="24"/>
          <w:lang w:val="en-US" w:eastAsia="en-US"/>
        </w:rPr>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图</w:t>
      </w:r>
      <w:r>
        <w:rPr>
          <w:rFonts w:eastAsia="黑体" w:cs="楷体" w:ascii="SimHei" w:hAnsi="SimHei"/>
          <w:sz w:val="24"/>
          <w:szCs w:val="24"/>
        </w:rPr>
        <w:t>2</w:t>
      </w:r>
      <w:r>
        <w:rPr>
          <w:rFonts w:ascii="SimHei" w:hAnsi="SimHei" w:cs="楷体" w:eastAsia="黑体"/>
          <w:sz w:val="24"/>
          <w:szCs w:val="24"/>
        </w:rPr>
        <w:t>：年度奖金的支付时间和支付方式</w:t>
      </w:r>
    </w:p>
    <w:p>
      <w:pPr>
        <w:pStyle w:val="Heading5"/>
        <w:numPr>
          <w:ilvl w:val="0"/>
          <w:numId w:val="12"/>
        </w:numPr>
        <w:spacing w:lineRule="auto" w:line="360" w:before="0" w:after="0"/>
        <w:ind w:start="0" w:firstLine="482"/>
        <w:rPr>
          <w:rFonts w:ascii="楷体" w:hAnsi="楷体" w:eastAsia="楷体" w:cs="楷体"/>
          <w:szCs w:val="24"/>
        </w:rPr>
      </w:pPr>
      <w:r>
        <w:rPr>
          <w:rFonts w:ascii="SimHei" w:hAnsi="SimHei" w:cs="楷体" w:eastAsia="黑体"/>
          <w:szCs w:val="24"/>
        </w:rPr>
        <w:t>方案一：完全即时现金支付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一是指所有的奖金在业绩实现当年就全部以现金的方式进行支付。该方案的最大优点在于可以最大程度满足被激励实实在在的感觉，缺点在于不能实现长期持续的激励，总部承担了较多的潜在风险（例如获取奖金后离职、虚报利润、资产加速折旧、发展后进不足等）。</w:t>
      </w:r>
    </w:p>
    <w:p>
      <w:pPr>
        <w:pStyle w:val="Heading5"/>
        <w:numPr>
          <w:ilvl w:val="0"/>
          <w:numId w:val="12"/>
        </w:numPr>
        <w:spacing w:lineRule="auto" w:line="360" w:before="0" w:after="0"/>
        <w:ind w:start="0" w:firstLine="482"/>
        <w:rPr>
          <w:rFonts w:ascii="楷体" w:hAnsi="楷体" w:eastAsia="楷体" w:cs="楷体"/>
          <w:szCs w:val="24"/>
        </w:rPr>
      </w:pPr>
      <w:r>
        <w:rPr>
          <w:rFonts w:ascii="SimHei" w:hAnsi="SimHei" w:cs="楷体" w:eastAsia="黑体"/>
          <w:szCs w:val="24"/>
        </w:rPr>
        <w:t>方案二：“即时＋延期”现金支付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方案二是指部分奖金在业绩实现当年以现金支付，剩下的部分在约定的年限内以现金方式支付。该方案的优点在于某种程度上降低了总部的潜在风险，但是全部以现金支付还是不能实现长期激励效果。</w:t>
      </w:r>
    </w:p>
    <w:p>
      <w:pPr>
        <w:pStyle w:val="Heading5"/>
        <w:numPr>
          <w:ilvl w:val="0"/>
          <w:numId w:val="12"/>
        </w:numPr>
        <w:spacing w:lineRule="auto" w:line="360" w:before="0" w:after="0"/>
        <w:ind w:start="0" w:firstLine="482"/>
        <w:rPr>
          <w:rFonts w:ascii="楷体" w:hAnsi="楷体" w:eastAsia="楷体" w:cs="楷体"/>
          <w:szCs w:val="24"/>
        </w:rPr>
      </w:pPr>
      <w:r>
        <w:rPr>
          <w:rFonts w:ascii="SimHei" w:hAnsi="SimHei" w:cs="楷体" w:eastAsia="黑体"/>
          <w:szCs w:val="24"/>
        </w:rPr>
        <w:t>方案三：完全延期现金支付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三是指所有的奖金全部在约定的年限内以现金方式支付。该方案的优点在于较大程度降低了总部的潜在风险。缺点是全部以现金支付还是不能实现长期激励效果，另一缺点是不能体现激励的及时性，从而可能会削弱激励的效果。</w:t>
      </w:r>
    </w:p>
    <w:p>
      <w:pPr>
        <w:pStyle w:val="Heading5"/>
        <w:numPr>
          <w:ilvl w:val="0"/>
          <w:numId w:val="12"/>
        </w:numPr>
        <w:spacing w:lineRule="auto" w:line="360" w:before="0" w:after="0"/>
        <w:ind w:start="0" w:firstLine="482"/>
        <w:rPr>
          <w:rFonts w:ascii="楷体" w:hAnsi="楷体" w:eastAsia="楷体" w:cs="楷体"/>
          <w:szCs w:val="24"/>
        </w:rPr>
      </w:pPr>
      <w:r>
        <w:rPr>
          <w:rFonts w:ascii="SimHei" w:hAnsi="SimHei" w:cs="楷体" w:eastAsia="黑体"/>
          <w:szCs w:val="24"/>
        </w:rPr>
        <w:t>方案四：完全即时股权支付</w:t>
      </w:r>
    </w:p>
    <w:p>
      <w:pPr>
        <w:pStyle w:val="TextBodyIndent"/>
        <w:spacing w:lineRule="auto" w:line="360"/>
        <w:ind w:firstLine="480"/>
        <w:rPr>
          <w:rFonts w:ascii="楷体" w:hAnsi="楷体" w:eastAsia="楷体" w:cs="楷体"/>
          <w:sz w:val="24"/>
        </w:rPr>
      </w:pPr>
      <w:r>
        <w:rPr>
          <w:rFonts w:ascii="SimHei" w:hAnsi="SimHei" w:cs="楷体" w:eastAsia="黑体"/>
          <w:sz w:val="24"/>
        </w:rPr>
        <w:t>方案四是指所有的奖金在业绩实现当年就全部以股权的方式进行支付。该方案的优点在于可以某种程度上实现长期激励，缺点是总部承担了较高的潜在风险，此外股权支付会降低大股东的股权集中度。</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方案五：“即时＋延期”股权支付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五是指部分奖金在业绩实现当年就以股权的方式进行支付，剩下的部分在约定的年限内以股权方式进行支付。该方案的优点在于可以在较大程度实现长期激励，缺点是总部承担了一定的潜在风险，此外股权支付会降低大股东的股权集中度。</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方案六：完全延期股权支付</w:t>
      </w:r>
    </w:p>
    <w:p>
      <w:pPr>
        <w:pStyle w:val="TextBodyIndent"/>
        <w:spacing w:lineRule="auto" w:line="360"/>
        <w:ind w:firstLine="480"/>
        <w:rPr>
          <w:rFonts w:ascii="楷体" w:hAnsi="楷体" w:eastAsia="楷体" w:cs="楷体"/>
          <w:sz w:val="24"/>
        </w:rPr>
      </w:pPr>
      <w:r>
        <w:rPr>
          <w:rFonts w:ascii="SimHei" w:hAnsi="SimHei" w:cs="楷体" w:eastAsia="黑体"/>
          <w:sz w:val="24"/>
        </w:rPr>
        <w:t>方案六是指所有的奖金全部在约定的年限内以股权方式进行支付。该方案的优点在于可以在最大程度实现长期激励，而且总部承担的潜在风险可以降到最低；该方案的缺点在于被激励对象会因为承诺兑现过于渺茫而失去激励的效果。</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方案七：即时“现金＋股权”支付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七是指所有的奖金在业绩实现当年全部支付，一部分以现金方式支付，另一部分以股权方式支付。这一方案的优点在于“长期激励”和“短期激励”之间取得了平衡，其缺点是“地区公司承担风险”和“总部承担风险”失去平衡，公司承担了较大的风险。</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方案八：延期“现金＋股权”支付</w:t>
      </w:r>
    </w:p>
    <w:p>
      <w:pPr>
        <w:pStyle w:val="TextBodyIndent"/>
        <w:spacing w:lineRule="auto" w:line="360"/>
        <w:ind w:firstLine="480"/>
        <w:rPr>
          <w:rFonts w:ascii="楷体" w:hAnsi="楷体" w:eastAsia="楷体" w:cs="楷体"/>
          <w:sz w:val="24"/>
        </w:rPr>
      </w:pPr>
      <w:r>
        <w:rPr>
          <w:rFonts w:ascii="SimHei" w:hAnsi="SimHei" w:cs="楷体" w:eastAsia="黑体"/>
          <w:sz w:val="24"/>
        </w:rPr>
        <w:t>方案八是指所有的奖金在约定的时间内支付，一部分以现金方式支付，另一部分以股权方式支付。这一方案的优点在于“长期激励”和“短期激励”之间取得了平衡，其缺点是“地区公司承担风险”和“总部承担风险”失去平衡，个人承担了较大的风险而削弱了激励效果。</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方案九：“即时＋延期”“现金＋股权”混合支付</w:t>
      </w:r>
    </w:p>
    <w:p>
      <w:pPr>
        <w:pStyle w:val="TextBodyIndent"/>
        <w:spacing w:lineRule="auto" w:line="360"/>
        <w:ind w:firstLine="480"/>
        <w:rPr>
          <w:rFonts w:ascii="楷体" w:hAnsi="楷体" w:eastAsia="楷体" w:cs="楷体"/>
          <w:sz w:val="24"/>
        </w:rPr>
      </w:pPr>
      <w:r>
        <w:rPr>
          <w:rFonts w:ascii="SimHei" w:hAnsi="SimHei" w:cs="楷体" w:eastAsia="黑体"/>
          <w:sz w:val="24"/>
        </w:rPr>
        <w:t>方案九是指部分奖金在业绩实现当年支付，其中一部分以现金方式支付，另一部分以股权支付；剩下的部分奖金在约定的时间内支付，一部分以现金方式支付，另一部分以股权方式支付。这一方案的优点在于“长期激励”和“短期激励”之间取得了平衡，在“地区公司承担风险”和“总部承担风险”也取得平衡，其缺点在于过于中庸，而且操作起来较为复杂。</w:t>
      </w:r>
    </w:p>
    <w:p>
      <w:pPr>
        <w:pStyle w:val="Heading5"/>
        <w:numPr>
          <w:ilvl w:val="0"/>
          <w:numId w:val="8"/>
        </w:numPr>
        <w:spacing w:lineRule="auto" w:line="360" w:before="0" w:after="0"/>
        <w:ind w:start="0" w:firstLine="482"/>
        <w:rPr>
          <w:rFonts w:ascii="楷体" w:hAnsi="楷体" w:eastAsia="楷体" w:cs="楷体"/>
          <w:szCs w:val="24"/>
        </w:rPr>
      </w:pPr>
      <w:r>
        <w:rPr>
          <w:rFonts w:ascii="SimHei" w:hAnsi="SimHei" w:cs="楷体" w:eastAsia="黑体"/>
          <w:szCs w:val="24"/>
        </w:rPr>
        <w:t>我们的建议</w:t>
      </w:r>
    </w:p>
    <w:p>
      <w:pPr>
        <w:pStyle w:val="TextBodyIndent"/>
        <w:spacing w:lineRule="auto" w:line="360"/>
        <w:ind w:firstLine="480"/>
        <w:rPr>
          <w:rFonts w:ascii="楷体" w:hAnsi="楷体" w:eastAsia="楷体" w:cs="楷体"/>
          <w:sz w:val="24"/>
        </w:rPr>
      </w:pPr>
      <w:r>
        <w:rPr>
          <w:rFonts w:ascii="SimHei" w:hAnsi="SimHei" w:cs="楷体" w:eastAsia="黑体"/>
          <w:sz w:val="24"/>
        </w:rPr>
        <w:t>根据我们对</w:t>
      </w:r>
      <w:r>
        <w:rPr>
          <w:rFonts w:eastAsia="黑体" w:cs="楷体" w:ascii="SimHei" w:hAnsi="SimHei"/>
          <w:sz w:val="24"/>
        </w:rPr>
        <w:t>XX</w:t>
      </w:r>
      <w:r>
        <w:rPr>
          <w:rFonts w:ascii="SimHei" w:hAnsi="SimHei" w:cs="楷体" w:eastAsia="黑体"/>
          <w:sz w:val="24"/>
        </w:rPr>
        <w:t>现状的了解，结合</w:t>
      </w:r>
      <w:r>
        <w:rPr>
          <w:rFonts w:eastAsia="黑体" w:cs="楷体" w:ascii="SimHei" w:hAnsi="SimHei"/>
          <w:sz w:val="24"/>
        </w:rPr>
        <w:t>XX</w:t>
      </w:r>
      <w:r>
        <w:rPr>
          <w:rFonts w:ascii="SimHei" w:hAnsi="SimHei" w:cs="楷体" w:eastAsia="黑体"/>
          <w:sz w:val="24"/>
        </w:rPr>
        <w:t>未来的发展趋势，我们建议</w:t>
      </w:r>
      <w:r>
        <w:rPr>
          <w:rFonts w:eastAsia="黑体" w:cs="楷体" w:ascii="SimHei" w:hAnsi="SimHei"/>
          <w:sz w:val="24"/>
        </w:rPr>
        <w:t>XX</w:t>
      </w:r>
      <w:r>
        <w:rPr>
          <w:rFonts w:ascii="SimHei" w:hAnsi="SimHei" w:cs="楷体" w:eastAsia="黑体"/>
          <w:sz w:val="24"/>
        </w:rPr>
        <w:t>采取以下奖金支付方案。</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）支付方案</w:t>
      </w:r>
    </w:p>
    <w:p>
      <w:pPr>
        <w:pStyle w:val="TextBodyIndent"/>
        <w:spacing w:lineRule="auto" w:line="360"/>
        <w:ind w:firstLine="480"/>
        <w:rPr>
          <w:rFonts w:ascii="楷体" w:hAnsi="楷体" w:eastAsia="楷体" w:cs="楷体"/>
          <w:sz w:val="24"/>
        </w:rPr>
      </w:pPr>
      <w:r>
        <w:rPr>
          <w:rFonts w:ascii="SimHei" w:hAnsi="SimHei" w:cs="楷体" w:eastAsia="黑体"/>
          <w:sz w:val="24"/>
        </w:rPr>
        <w:t>在我们的推荐方案中，首先不采用包含股权激励方式的方案，其次根据公司所处在的不同发展阶段采用不同的支付方案，如表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2</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XX</w:t>
      </w:r>
      <w:r>
        <w:rPr>
          <w:rFonts w:ascii="SimHei" w:hAnsi="SimHei" w:cs="楷体" w:eastAsia="黑体"/>
          <w:sz w:val="24"/>
          <w:szCs w:val="24"/>
        </w:rPr>
        <w:t>地产各地区公司奖金支付方案</w:t>
      </w:r>
    </w:p>
    <w:tbl>
      <w:tblPr>
        <w:tblW w:w="8327" w:type="dxa"/>
        <w:jc w:val="center"/>
        <w:tblInd w:w="0" w:type="dxa"/>
        <w:tblLayout w:type="fixed"/>
        <w:tblCellMar>
          <w:top w:w="0" w:type="dxa"/>
          <w:start w:w="108" w:type="dxa"/>
          <w:bottom w:w="0" w:type="dxa"/>
          <w:end w:w="108" w:type="dxa"/>
        </w:tblCellMar>
      </w:tblPr>
      <w:tblGrid>
        <w:gridCol w:w="1008"/>
        <w:gridCol w:w="1800"/>
        <w:gridCol w:w="2286"/>
        <w:gridCol w:w="1714"/>
        <w:gridCol w:w="1519"/>
      </w:tblGrid>
      <w:tr>
        <w:trPr>
          <w:cantSplit w:val="true"/>
        </w:trPr>
        <w:tc>
          <w:tcPr>
            <w:tcW w:w="2808" w:type="dxa"/>
            <w:gridSpan w:val="2"/>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公司类型</w:t>
            </w:r>
          </w:p>
        </w:tc>
        <w:tc>
          <w:tcPr>
            <w:tcW w:w="228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进入阶段公司</w:t>
            </w:r>
          </w:p>
        </w:tc>
        <w:tc>
          <w:tcPr>
            <w:tcW w:w="171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开拓阶段公司</w:t>
            </w:r>
          </w:p>
        </w:tc>
        <w:tc>
          <w:tcPr>
            <w:tcW w:w="151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成熟阶段公司</w:t>
            </w:r>
          </w:p>
        </w:tc>
      </w:tr>
      <w:tr>
        <w:trPr>
          <w:cantSplit w:val="true"/>
        </w:trPr>
        <w:tc>
          <w:tcPr>
            <w:tcW w:w="1008" w:type="dxa"/>
            <w:vMerge w:val="restart"/>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具体</w:t>
            </w:r>
          </w:p>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支付</w:t>
            </w:r>
          </w:p>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比例</w:t>
            </w:r>
          </w:p>
        </w:tc>
        <w:tc>
          <w:tcPr>
            <w:tcW w:w="180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当年</w:t>
            </w:r>
          </w:p>
        </w:tc>
        <w:tc>
          <w:tcPr>
            <w:tcW w:w="228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40</w:t>
            </w:r>
            <w:r>
              <w:rPr>
                <w:rFonts w:ascii="SimHei" w:hAnsi="SimHei" w:cs="楷体" w:eastAsia="黑体"/>
                <w:sz w:val="24"/>
              </w:rPr>
              <w:t>％</w:t>
            </w:r>
          </w:p>
        </w:tc>
        <w:tc>
          <w:tcPr>
            <w:tcW w:w="171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60</w:t>
            </w:r>
            <w:r>
              <w:rPr>
                <w:rFonts w:ascii="SimHei" w:hAnsi="SimHei" w:cs="楷体" w:eastAsia="黑体"/>
                <w:sz w:val="24"/>
              </w:rPr>
              <w:t>％</w:t>
            </w:r>
          </w:p>
        </w:tc>
        <w:tc>
          <w:tcPr>
            <w:tcW w:w="151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60</w:t>
            </w:r>
            <w:r>
              <w:rPr>
                <w:rFonts w:ascii="SimHei" w:hAnsi="SimHei" w:cs="楷体" w:eastAsia="黑体"/>
                <w:sz w:val="24"/>
              </w:rPr>
              <w:t>％</w:t>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TextBodyIndent"/>
              <w:snapToGrid w:val="false"/>
              <w:spacing w:lineRule="auto" w:line="360"/>
              <w:ind w:hanging="0"/>
              <w:jc w:val="center"/>
              <w:rPr>
                <w:rFonts w:ascii="楷体" w:hAnsi="楷体" w:eastAsia="楷体" w:cs="楷体"/>
                <w:sz w:val="24"/>
              </w:rPr>
            </w:pPr>
            <w:r>
              <w:rPr>
                <w:rFonts w:eastAsia="楷体" w:cs="楷体" w:ascii="楷体" w:hAnsi="楷体"/>
                <w:sz w:val="24"/>
              </w:rPr>
            </w:r>
          </w:p>
        </w:tc>
        <w:tc>
          <w:tcPr>
            <w:tcW w:w="180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第</w:t>
            </w:r>
            <w:r>
              <w:rPr>
                <w:rFonts w:eastAsia="黑体" w:cs="楷体" w:ascii="SimHei" w:hAnsi="SimHei"/>
                <w:sz w:val="24"/>
              </w:rPr>
              <w:t>2</w:t>
            </w:r>
            <w:r>
              <w:rPr>
                <w:rFonts w:ascii="SimHei" w:hAnsi="SimHei" w:cs="楷体" w:eastAsia="黑体"/>
                <w:sz w:val="24"/>
              </w:rPr>
              <w:t>年</w:t>
            </w:r>
          </w:p>
        </w:tc>
        <w:tc>
          <w:tcPr>
            <w:tcW w:w="228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30</w:t>
            </w:r>
            <w:r>
              <w:rPr>
                <w:rFonts w:ascii="SimHei" w:hAnsi="SimHei" w:cs="楷体" w:eastAsia="黑体"/>
                <w:sz w:val="24"/>
              </w:rPr>
              <w:t>％</w:t>
            </w:r>
          </w:p>
        </w:tc>
        <w:tc>
          <w:tcPr>
            <w:tcW w:w="171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20</w:t>
            </w:r>
            <w:r>
              <w:rPr>
                <w:rFonts w:ascii="SimHei" w:hAnsi="SimHei" w:cs="楷体" w:eastAsia="黑体"/>
                <w:sz w:val="24"/>
              </w:rPr>
              <w:t>％</w:t>
            </w:r>
          </w:p>
        </w:tc>
        <w:tc>
          <w:tcPr>
            <w:tcW w:w="151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20</w:t>
            </w:r>
            <w:r>
              <w:rPr>
                <w:rFonts w:ascii="SimHei" w:hAnsi="SimHei" w:cs="楷体" w:eastAsia="黑体"/>
                <w:sz w:val="24"/>
              </w:rPr>
              <w:t>％</w:t>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TextBodyIndent"/>
              <w:snapToGrid w:val="false"/>
              <w:spacing w:lineRule="auto" w:line="360"/>
              <w:ind w:hanging="0"/>
              <w:jc w:val="center"/>
              <w:rPr>
                <w:rFonts w:ascii="楷体" w:hAnsi="楷体" w:eastAsia="楷体" w:cs="楷体"/>
                <w:sz w:val="24"/>
              </w:rPr>
            </w:pPr>
            <w:r>
              <w:rPr>
                <w:rFonts w:eastAsia="楷体" w:cs="楷体" w:ascii="楷体" w:hAnsi="楷体"/>
                <w:sz w:val="24"/>
              </w:rPr>
            </w:r>
          </w:p>
        </w:tc>
        <w:tc>
          <w:tcPr>
            <w:tcW w:w="180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第</w:t>
            </w:r>
            <w:r>
              <w:rPr>
                <w:rFonts w:eastAsia="黑体" w:cs="楷体" w:ascii="SimHei" w:hAnsi="SimHei"/>
                <w:sz w:val="24"/>
              </w:rPr>
              <w:t>3</w:t>
            </w:r>
            <w:r>
              <w:rPr>
                <w:rFonts w:ascii="SimHei" w:hAnsi="SimHei" w:cs="楷体" w:eastAsia="黑体"/>
                <w:sz w:val="24"/>
              </w:rPr>
              <w:t>年</w:t>
            </w:r>
          </w:p>
        </w:tc>
        <w:tc>
          <w:tcPr>
            <w:tcW w:w="228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30</w:t>
            </w:r>
            <w:r>
              <w:rPr>
                <w:rFonts w:ascii="SimHei" w:hAnsi="SimHei" w:cs="楷体" w:eastAsia="黑体"/>
                <w:sz w:val="24"/>
              </w:rPr>
              <w:t>％</w:t>
            </w:r>
          </w:p>
        </w:tc>
        <w:tc>
          <w:tcPr>
            <w:tcW w:w="171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20</w:t>
            </w:r>
            <w:r>
              <w:rPr>
                <w:rFonts w:ascii="SimHei" w:hAnsi="SimHei" w:cs="楷体" w:eastAsia="黑体"/>
                <w:sz w:val="24"/>
              </w:rPr>
              <w:t>％</w:t>
            </w:r>
          </w:p>
        </w:tc>
        <w:tc>
          <w:tcPr>
            <w:tcW w:w="151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20</w:t>
            </w:r>
            <w:r>
              <w:rPr>
                <w:rFonts w:ascii="SimHei" w:hAnsi="SimHei" w:cs="楷体" w:eastAsia="黑体"/>
                <w:sz w:val="24"/>
              </w:rPr>
              <w:t>％</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）取消延期支付奖金</w:t>
      </w:r>
    </w:p>
    <w:p>
      <w:pPr>
        <w:pStyle w:val="TextBodyIndent"/>
        <w:spacing w:lineRule="auto" w:line="360"/>
        <w:ind w:firstLine="480"/>
        <w:rPr>
          <w:rFonts w:ascii="楷体" w:hAnsi="楷体" w:eastAsia="楷体" w:cs="楷体"/>
          <w:sz w:val="24"/>
        </w:rPr>
      </w:pPr>
      <w:r>
        <w:rPr>
          <w:rFonts w:ascii="SimHei" w:hAnsi="SimHei" w:cs="楷体" w:eastAsia="黑体"/>
          <w:sz w:val="24"/>
        </w:rPr>
        <w:t>当奖金的受惠对象出现以下相关情况时，公司可以单方面取消这些员工的延期支付奖金：</w:t>
      </w:r>
    </w:p>
    <w:p>
      <w:pPr>
        <w:pStyle w:val="Style13"/>
        <w:numPr>
          <w:ilvl w:val="1"/>
          <w:numId w:val="1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严重违反公司制度被公司除名者</w:t>
      </w:r>
    </w:p>
    <w:p>
      <w:pPr>
        <w:pStyle w:val="Style13"/>
        <w:numPr>
          <w:ilvl w:val="1"/>
          <w:numId w:val="1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合同期内且未经公司许可擅自离职者</w:t>
      </w:r>
    </w:p>
    <w:p>
      <w:pPr>
        <w:pStyle w:val="Style13"/>
        <w:numPr>
          <w:ilvl w:val="1"/>
          <w:numId w:val="1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被证实有私自占用公司资产或有贪污、受贿等行为者</w:t>
      </w:r>
    </w:p>
    <w:p>
      <w:pPr>
        <w:pStyle w:val="Style13"/>
        <w:numPr>
          <w:ilvl w:val="1"/>
          <w:numId w:val="1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被证实参与制定虚假财务数据者</w:t>
      </w:r>
    </w:p>
    <w:p>
      <w:pPr>
        <w:pStyle w:val="Style13"/>
        <w:numPr>
          <w:ilvl w:val="1"/>
          <w:numId w:val="1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被证实牺牲公司长期利益换取短期利益者</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）保留延期奖金奖金</w:t>
      </w:r>
    </w:p>
    <w:p>
      <w:pPr>
        <w:pStyle w:val="TextBodyIndent"/>
        <w:spacing w:lineRule="auto" w:line="360"/>
        <w:ind w:firstLine="480"/>
        <w:rPr>
          <w:rFonts w:ascii="楷体" w:hAnsi="楷体" w:eastAsia="楷体" w:cs="楷体"/>
          <w:sz w:val="24"/>
        </w:rPr>
      </w:pPr>
      <w:r>
        <w:rPr>
          <w:rFonts w:ascii="SimHei" w:hAnsi="SimHei" w:cs="楷体" w:eastAsia="黑体"/>
          <w:sz w:val="24"/>
        </w:rPr>
        <w:t>当奖金的受惠对象出现以下相关情况时，公司应该让这些员工保留获得延期支付奖金的权利：</w:t>
      </w:r>
    </w:p>
    <w:p>
      <w:pPr>
        <w:pStyle w:val="Style13"/>
        <w:numPr>
          <w:ilvl w:val="1"/>
          <w:numId w:val="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按公司规定正常离休者</w:t>
      </w:r>
    </w:p>
    <w:p>
      <w:pPr>
        <w:pStyle w:val="Style13"/>
        <w:numPr>
          <w:ilvl w:val="1"/>
          <w:numId w:val="4"/>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根据公司需要调离到其他公司任职者</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）提前兑现延迟支付奖金</w:t>
      </w:r>
    </w:p>
    <w:p>
      <w:pPr>
        <w:pStyle w:val="TextBodyIndent"/>
        <w:spacing w:lineRule="auto" w:line="360"/>
        <w:ind w:firstLine="480"/>
        <w:rPr>
          <w:rFonts w:ascii="楷体" w:hAnsi="楷体" w:eastAsia="楷体" w:cs="楷体"/>
          <w:sz w:val="24"/>
        </w:rPr>
      </w:pPr>
      <w:r>
        <w:rPr>
          <w:rFonts w:ascii="SimHei" w:hAnsi="SimHei" w:cs="楷体" w:eastAsia="黑体"/>
          <w:sz w:val="24"/>
        </w:rPr>
        <w:t>当奖金的受惠对象出现以下相关情况时，公司应该提前办理和支付这些员工的延期支付奖金：</w:t>
      </w:r>
    </w:p>
    <w:p>
      <w:pPr>
        <w:pStyle w:val="Style13"/>
        <w:numPr>
          <w:ilvl w:val="1"/>
          <w:numId w:val="5"/>
        </w:numPr>
        <w:tabs>
          <w:tab w:val="left" w:pos="0" w:leader="none"/>
          <w:tab w:val="left" w:pos="360" w:leader="none"/>
          <w:tab w:val="left" w:pos="721" w:leader="none"/>
          <w:tab w:val="left" w:pos="851" w:leader="none"/>
        </w:tabs>
        <w:spacing w:lineRule="auto" w:line="360"/>
        <w:ind w:start="0" w:firstLine="480"/>
        <w:rPr>
          <w:rFonts w:ascii="楷体" w:hAnsi="楷体" w:eastAsia="楷体" w:cs="楷体"/>
          <w:sz w:val="24"/>
          <w:szCs w:val="24"/>
        </w:rPr>
      </w:pPr>
      <w:r>
        <w:rPr>
          <w:rFonts w:ascii="SimHei" w:hAnsi="SimHei" w:cs="楷体" w:eastAsia="黑体"/>
          <w:sz w:val="24"/>
          <w:szCs w:val="24"/>
        </w:rPr>
        <w:t>按劳动合同规定正常离职者</w:t>
      </w:r>
    </w:p>
    <w:p>
      <w:pPr>
        <w:pStyle w:val="Style13"/>
        <w:numPr>
          <w:ilvl w:val="1"/>
          <w:numId w:val="5"/>
        </w:numPr>
        <w:tabs>
          <w:tab w:val="left" w:pos="0" w:leader="none"/>
          <w:tab w:val="left" w:pos="360" w:leader="none"/>
          <w:tab w:val="left" w:pos="721" w:leader="none"/>
          <w:tab w:val="left" w:pos="851" w:leader="none"/>
        </w:tabs>
        <w:spacing w:lineRule="auto" w:line="360"/>
        <w:ind w:start="0" w:firstLine="480"/>
        <w:rPr>
          <w:rFonts w:ascii="楷体" w:hAnsi="楷体" w:eastAsia="楷体" w:cs="楷体"/>
          <w:sz w:val="24"/>
          <w:szCs w:val="24"/>
        </w:rPr>
      </w:pPr>
      <w:r>
        <w:rPr>
          <w:rFonts w:ascii="SimHei" w:hAnsi="SimHei" w:cs="楷体" w:eastAsia="黑体"/>
          <w:sz w:val="24"/>
          <w:szCs w:val="24"/>
        </w:rPr>
        <w:t>由于不可抗力而无法在公司继续任职者</w:t>
      </w:r>
    </w:p>
    <w:p>
      <w:pPr>
        <w:pStyle w:val="Heading3"/>
        <w:numPr>
          <w:ilvl w:val="1"/>
          <w:numId w:val="2"/>
        </w:numPr>
        <w:tabs>
          <w:tab w:val="left" w:pos="851" w:leader="none"/>
          <w:tab w:val="left" w:pos="1140" w:leader="none"/>
        </w:tabs>
        <w:spacing w:lineRule="auto" w:line="360" w:before="0" w:after="0"/>
        <w:ind w:start="0" w:firstLine="482"/>
        <w:rPr>
          <w:rFonts w:ascii="楷体" w:hAnsi="楷体" w:eastAsia="楷体" w:cs="楷体"/>
          <w:szCs w:val="24"/>
        </w:rPr>
      </w:pPr>
      <w:bookmarkStart w:id="12" w:name="__RefHeading___Toc30302477"/>
      <w:bookmarkEnd w:id="12"/>
      <w:r>
        <w:rPr>
          <w:rFonts w:ascii="SimHei" w:hAnsi="SimHei" w:cs="楷体" w:eastAsia="黑体"/>
          <w:szCs w:val="24"/>
        </w:rPr>
        <w:t>奖金分配系数的确定</w:t>
      </w:r>
    </w:p>
    <w:p>
      <w:pPr>
        <w:pStyle w:val="TextBodyIndent"/>
        <w:spacing w:lineRule="auto" w:line="360"/>
        <w:ind w:firstLine="480"/>
        <w:rPr>
          <w:rFonts w:ascii="楷体" w:hAnsi="楷体" w:eastAsia="楷体" w:cs="楷体"/>
          <w:sz w:val="24"/>
        </w:rPr>
      </w:pPr>
      <w:r>
        <w:rPr>
          <w:rFonts w:ascii="SimHei" w:hAnsi="SimHei" w:cs="楷体" w:eastAsia="黑体"/>
          <w:sz w:val="24"/>
        </w:rPr>
        <w:t>奖金分配系数是奖金方案中的要素之一，涉及到很多因素。</w:t>
      </w:r>
    </w:p>
    <w:p>
      <w:pPr>
        <w:pStyle w:val="Heading4"/>
        <w:numPr>
          <w:ilvl w:val="2"/>
          <w:numId w:val="2"/>
        </w:numPr>
        <w:spacing w:lineRule="auto" w:line="360" w:before="0" w:after="0"/>
        <w:ind w:start="0" w:firstLine="482"/>
        <w:rPr>
          <w:rFonts w:ascii="楷体" w:hAnsi="楷体" w:eastAsia="楷体" w:cs="楷体"/>
          <w:szCs w:val="24"/>
        </w:rPr>
      </w:pPr>
      <w:bookmarkStart w:id="13" w:name="__RefHeading___Toc30302478"/>
      <w:bookmarkEnd w:id="13"/>
      <w:r>
        <w:rPr>
          <w:rFonts w:ascii="SimHei" w:hAnsi="SimHei" w:cs="楷体" w:eastAsia="黑体"/>
          <w:szCs w:val="24"/>
        </w:rPr>
        <w:t>确定奖金分配系数的原则</w:t>
      </w:r>
    </w:p>
    <w:p>
      <w:pPr>
        <w:pStyle w:val="TextBodyIndent"/>
        <w:spacing w:lineRule="auto" w:line="360"/>
        <w:ind w:firstLine="480"/>
        <w:rPr>
          <w:rFonts w:ascii="楷体" w:hAnsi="楷体" w:eastAsia="楷体" w:cs="楷体"/>
          <w:sz w:val="24"/>
        </w:rPr>
      </w:pPr>
      <w:r>
        <w:rPr>
          <w:rFonts w:ascii="SimHei" w:hAnsi="SimHei" w:cs="楷体" w:eastAsia="黑体"/>
          <w:sz w:val="24"/>
        </w:rPr>
        <w:t>对于</w:t>
      </w:r>
      <w:r>
        <w:rPr>
          <w:rFonts w:eastAsia="黑体" w:cs="楷体" w:ascii="SimHei" w:hAnsi="SimHei"/>
          <w:sz w:val="24"/>
        </w:rPr>
        <w:t>XX</w:t>
      </w:r>
      <w:r>
        <w:rPr>
          <w:rFonts w:ascii="SimHei" w:hAnsi="SimHei" w:cs="楷体" w:eastAsia="黑体"/>
          <w:sz w:val="24"/>
        </w:rPr>
        <w:t>来讲，既要考虑到总部和地区公司之间的平衡，又要考虑到地区公司之间的平衡，还要考虑到项目之间的平衡。</w:t>
      </w:r>
    </w:p>
    <w:p>
      <w:pPr>
        <w:pStyle w:val="Heading5"/>
        <w:numPr>
          <w:ilvl w:val="0"/>
          <w:numId w:val="6"/>
        </w:numPr>
        <w:spacing w:lineRule="auto" w:line="360" w:before="0" w:after="0"/>
        <w:ind w:start="0" w:firstLine="482"/>
        <w:rPr>
          <w:rFonts w:ascii="楷体" w:hAnsi="楷体" w:eastAsia="楷体" w:cs="楷体"/>
          <w:szCs w:val="24"/>
        </w:rPr>
      </w:pPr>
      <w:r>
        <w:rPr>
          <w:rFonts w:ascii="SimHei" w:hAnsi="SimHei" w:cs="楷体" w:eastAsia="黑体"/>
          <w:szCs w:val="24"/>
        </w:rPr>
        <w:t>要素平衡的原则</w:t>
      </w:r>
    </w:p>
    <w:p>
      <w:pPr>
        <w:pStyle w:val="TextBodyIndent"/>
        <w:spacing w:lineRule="auto" w:line="360"/>
        <w:ind w:firstLine="480"/>
        <w:rPr>
          <w:rFonts w:ascii="楷体" w:hAnsi="楷体" w:eastAsia="楷体" w:cs="楷体"/>
          <w:sz w:val="24"/>
        </w:rPr>
      </w:pPr>
      <w:r>
        <w:rPr>
          <w:rFonts w:ascii="SimHei" w:hAnsi="SimHei" w:cs="楷体" w:eastAsia="黑体"/>
          <w:sz w:val="24"/>
        </w:rPr>
        <w:t>要素平衡原则是指参与奖金分配的各要素之间要与要素对附加价值的贡献保持平衡，而不能有明显的偏颇。</w:t>
      </w:r>
    </w:p>
    <w:p>
      <w:pPr>
        <w:pStyle w:val="TextBodyIndent"/>
        <w:spacing w:lineRule="auto" w:line="360"/>
        <w:ind w:firstLine="480"/>
        <w:rPr>
          <w:rFonts w:ascii="楷体" w:hAnsi="楷体" w:eastAsia="楷体" w:cs="楷体"/>
          <w:sz w:val="24"/>
        </w:rPr>
      </w:pPr>
      <w:r>
        <w:rPr>
          <w:rFonts w:ascii="SimHei" w:hAnsi="SimHei" w:cs="楷体" w:eastAsia="黑体"/>
          <w:sz w:val="24"/>
        </w:rPr>
        <w:t>根据我国地产行业的特点，参与奖金分配的要素包括：</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）资本</w:t>
      </w:r>
    </w:p>
    <w:p>
      <w:pPr>
        <w:pStyle w:val="TextBodyIndent"/>
        <w:spacing w:lineRule="auto" w:line="360"/>
        <w:ind w:firstLine="480"/>
        <w:rPr>
          <w:rFonts w:ascii="楷体" w:hAnsi="楷体" w:eastAsia="楷体" w:cs="楷体"/>
          <w:sz w:val="24"/>
        </w:rPr>
      </w:pPr>
      <w:r>
        <w:rPr>
          <w:rFonts w:ascii="SimHei" w:hAnsi="SimHei" w:cs="楷体" w:eastAsia="黑体"/>
          <w:sz w:val="24"/>
        </w:rPr>
        <w:t>资本是现代经济活动的首要要素，任何商业活动都不能脱离资本之外而运行。</w:t>
      </w:r>
      <w:r>
        <w:rPr>
          <w:rFonts w:ascii="SimHei" w:hAnsi="SimHei" w:cs="楷体" w:eastAsia="黑体"/>
          <w:sz w:val="24"/>
        </w:rPr>
        <w:t>房地产行业是一个资金密集型的行业，要想在日益激烈的房地产市场竞争中长久地生存和发展，必须具有强大的资金实力。</w:t>
      </w:r>
      <w:r>
        <w:rPr>
          <w:rFonts w:ascii="SimHei" w:hAnsi="SimHei" w:cs="楷体" w:eastAsia="黑体"/>
          <w:sz w:val="24"/>
        </w:rPr>
        <w:t>土地对于地产行业有特殊的地位，任何项目和产品都是依附于特定的土地之上。结合我国的实际现状，土地作为不可再生资源在地产行业的经营要素中，地位越来越被重视。对于地产公司来讲，土地可以归集到资本要素中。</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）品牌</w:t>
      </w:r>
    </w:p>
    <w:p>
      <w:pPr>
        <w:pStyle w:val="TextBodyIndent"/>
        <w:spacing w:lineRule="auto" w:line="360"/>
        <w:ind w:firstLine="480"/>
        <w:rPr>
          <w:rFonts w:ascii="楷体" w:hAnsi="楷体" w:eastAsia="楷体" w:cs="楷体"/>
          <w:sz w:val="24"/>
        </w:rPr>
      </w:pPr>
      <w:r>
        <w:rPr>
          <w:rFonts w:ascii="SimHei" w:hAnsi="SimHei" w:cs="楷体" w:eastAsia="黑体"/>
          <w:sz w:val="24"/>
        </w:rPr>
        <w:t>我国房地产行业已经进入了品牌经营时代。</w:t>
      </w:r>
      <w:r>
        <w:rPr>
          <w:rFonts w:ascii="SimHei" w:hAnsi="SimHei" w:cs="楷体" w:eastAsia="黑体"/>
          <w:sz w:val="24"/>
        </w:rPr>
        <w:t>拥有一个知名品牌，是企业获取可持续发展的一个非常重要的因素。房地产业走向以品牌为主要竞争手段的多元化、纵深化竞争阶段，这既是产业竞争的结果，也是市场走向成熟的必然要求。</w:t>
      </w:r>
      <w:r>
        <w:rPr>
          <w:rFonts w:ascii="SimHei" w:hAnsi="SimHei" w:cs="楷体" w:eastAsia="黑体"/>
          <w:sz w:val="24"/>
        </w:rPr>
        <w:t>品牌化经营将会提高房地产企业地域扩张的效率，降低开拓新兴市场的营销成本</w:t>
      </w:r>
      <w:r>
        <w:rPr>
          <w:rFonts w:ascii="SimHei" w:hAnsi="SimHei" w:cs="楷体" w:eastAsia="黑体"/>
          <w:sz w:val="24"/>
        </w:rPr>
        <w:t>。</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）技术</w:t>
      </w:r>
    </w:p>
    <w:p>
      <w:pPr>
        <w:pStyle w:val="TextBodyIndent"/>
        <w:spacing w:lineRule="auto" w:line="360"/>
        <w:ind w:firstLine="480"/>
        <w:rPr>
          <w:rFonts w:ascii="楷体" w:hAnsi="楷体" w:eastAsia="楷体" w:cs="楷体"/>
          <w:sz w:val="24"/>
        </w:rPr>
      </w:pPr>
      <w:r>
        <w:rPr>
          <w:rFonts w:ascii="SimHei" w:hAnsi="SimHei" w:cs="楷体" w:eastAsia="黑体"/>
          <w:sz w:val="24"/>
        </w:rPr>
        <w:t>技术是现代经济活动的重要要素，所有的产品和服务都是以一定的技术为基础。经过十多年的高速发展，我国房地产行业的产品已经从“供不应求”进入“供大于求”时代，追求产品高质量和个性化的需求特征趋势越来越明显，技术（包括设计技术、材料技术、工程技术等）要素在地产行业的作用也越来越重要。</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）管理</w:t>
      </w:r>
    </w:p>
    <w:p>
      <w:pPr>
        <w:pStyle w:val="TextBodyIndent"/>
        <w:spacing w:lineRule="auto" w:line="360"/>
        <w:ind w:firstLine="480"/>
        <w:rPr>
          <w:rFonts w:ascii="楷体" w:hAnsi="楷体" w:eastAsia="楷体" w:cs="楷体"/>
          <w:sz w:val="24"/>
        </w:rPr>
      </w:pPr>
      <w:r>
        <w:rPr>
          <w:rFonts w:ascii="SimHei" w:hAnsi="SimHei" w:cs="楷体" w:eastAsia="黑体"/>
          <w:sz w:val="24"/>
        </w:rPr>
        <w:t>管理作为一项经营要素在房地产行业里也越来越受到重视。成功的房地产企业实际上可以归结为其利用科学的管理手段整合各种资源（资本、土地、品牌、技术）的结果。</w:t>
      </w:r>
    </w:p>
    <w:p>
      <w:pPr>
        <w:pStyle w:val="Heading5"/>
        <w:numPr>
          <w:ilvl w:val="0"/>
          <w:numId w:val="6"/>
        </w:numPr>
        <w:spacing w:lineRule="auto" w:line="360" w:before="0" w:after="0"/>
        <w:ind w:start="0" w:firstLine="482"/>
        <w:rPr>
          <w:rFonts w:ascii="楷体" w:hAnsi="楷体" w:eastAsia="楷体" w:cs="楷体"/>
          <w:szCs w:val="24"/>
        </w:rPr>
      </w:pPr>
      <w:r>
        <w:rPr>
          <w:rFonts w:ascii="SimHei" w:hAnsi="SimHei" w:cs="楷体" w:eastAsia="黑体"/>
          <w:szCs w:val="24"/>
        </w:rPr>
        <w:t>利益主体平衡的原则</w:t>
      </w:r>
    </w:p>
    <w:p>
      <w:pPr>
        <w:pStyle w:val="TextBodyIndent"/>
        <w:spacing w:lineRule="auto" w:line="360"/>
        <w:ind w:firstLine="480"/>
        <w:rPr>
          <w:rFonts w:ascii="楷体" w:hAnsi="楷体" w:eastAsia="楷体" w:cs="楷体"/>
          <w:sz w:val="24"/>
        </w:rPr>
      </w:pPr>
      <w:r>
        <w:rPr>
          <w:rFonts w:eastAsia="黑体" w:cs="楷体" w:ascii="SimHei" w:hAnsi="SimHei"/>
          <w:sz w:val="24"/>
        </w:rPr>
        <w:t>XX</w:t>
      </w:r>
      <w:r>
        <w:rPr>
          <w:rFonts w:ascii="SimHei" w:hAnsi="SimHei" w:cs="楷体" w:eastAsia="黑体"/>
          <w:sz w:val="24"/>
        </w:rPr>
        <w:t>地产作为一个立志成为我国房地产行业领先者的现代地产企业，在管理上存在以下明显的特点：</w:t>
      </w:r>
    </w:p>
    <w:p>
      <w:pPr>
        <w:pStyle w:val="Style13"/>
        <w:numPr>
          <w:ilvl w:val="0"/>
          <w:numId w:val="11"/>
        </w:numPr>
        <w:spacing w:lineRule="auto" w:line="360"/>
        <w:ind w:start="0" w:firstLine="480"/>
        <w:rPr>
          <w:rFonts w:ascii="楷体" w:hAnsi="楷体" w:eastAsia="楷体" w:cs="楷体"/>
          <w:sz w:val="24"/>
          <w:szCs w:val="24"/>
        </w:rPr>
      </w:pPr>
      <w:r>
        <w:rPr>
          <w:rFonts w:ascii="SimHei" w:hAnsi="SimHei" w:cs="楷体" w:eastAsia="黑体"/>
          <w:sz w:val="24"/>
          <w:szCs w:val="24"/>
        </w:rPr>
        <w:t>所有权和经营权分离</w:t>
      </w:r>
    </w:p>
    <w:p>
      <w:pPr>
        <w:pStyle w:val="Style13"/>
        <w:numPr>
          <w:ilvl w:val="0"/>
          <w:numId w:val="11"/>
        </w:numPr>
        <w:spacing w:lineRule="auto" w:line="360"/>
        <w:ind w:start="0" w:firstLine="480"/>
        <w:rPr>
          <w:rFonts w:ascii="楷体" w:hAnsi="楷体" w:eastAsia="楷体" w:cs="楷体"/>
          <w:sz w:val="24"/>
          <w:szCs w:val="24"/>
        </w:rPr>
      </w:pPr>
      <w:r>
        <w:rPr>
          <w:rFonts w:ascii="SimHei" w:hAnsi="SimHei" w:cs="楷体" w:eastAsia="黑体"/>
          <w:sz w:val="24"/>
          <w:szCs w:val="24"/>
        </w:rPr>
        <w:t>跨地域经营</w:t>
      </w:r>
    </w:p>
    <w:p>
      <w:pPr>
        <w:pStyle w:val="Style13"/>
        <w:numPr>
          <w:ilvl w:val="0"/>
          <w:numId w:val="11"/>
        </w:numPr>
        <w:spacing w:lineRule="auto" w:line="360"/>
        <w:ind w:start="0" w:firstLine="480"/>
        <w:rPr>
          <w:rFonts w:ascii="楷体" w:hAnsi="楷体" w:eastAsia="楷体" w:cs="楷体"/>
          <w:sz w:val="24"/>
          <w:szCs w:val="24"/>
        </w:rPr>
      </w:pPr>
      <w:r>
        <w:rPr>
          <w:rFonts w:ascii="SimHei" w:hAnsi="SimHei" w:cs="楷体" w:eastAsia="黑体"/>
          <w:sz w:val="24"/>
          <w:szCs w:val="24"/>
        </w:rPr>
        <w:t>投资控股型</w:t>
      </w:r>
    </w:p>
    <w:p>
      <w:pPr>
        <w:pStyle w:val="TextBodyIndent"/>
        <w:spacing w:lineRule="auto" w:line="360"/>
        <w:ind w:firstLine="480"/>
        <w:rPr>
          <w:rFonts w:ascii="楷体" w:hAnsi="楷体" w:eastAsia="楷体" w:cs="楷体"/>
          <w:sz w:val="24"/>
        </w:rPr>
      </w:pPr>
      <w:r>
        <w:rPr>
          <w:rFonts w:ascii="SimHei" w:hAnsi="SimHei" w:cs="楷体" w:eastAsia="黑体"/>
          <w:sz w:val="24"/>
        </w:rPr>
        <w:t>在这样一种管理模式下，股东、总部、地区公司对于某一特定要素的贡献率是不一样的，在确定分配系数时，要予以客观评价，以获得合理的平衡。</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）股东</w:t>
      </w:r>
    </w:p>
    <w:p>
      <w:pPr>
        <w:pStyle w:val="TextBodyIndent"/>
        <w:spacing w:lineRule="auto" w:line="360"/>
        <w:ind w:firstLine="480"/>
        <w:rPr>
          <w:rFonts w:ascii="楷体" w:hAnsi="楷体" w:eastAsia="楷体" w:cs="楷体"/>
          <w:sz w:val="24"/>
        </w:rPr>
      </w:pPr>
      <w:r>
        <w:rPr>
          <w:rFonts w:ascii="SimHei" w:hAnsi="SimHei" w:cs="楷体" w:eastAsia="黑体"/>
          <w:sz w:val="24"/>
        </w:rPr>
        <w:t>在现代股份制企业制度下，股东和经营者分离，股东是公司的资本中心。</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）总部经营者</w:t>
      </w:r>
    </w:p>
    <w:p>
      <w:pPr>
        <w:pStyle w:val="TextBodyIndent"/>
        <w:spacing w:lineRule="auto" w:line="360"/>
        <w:ind w:firstLine="480"/>
        <w:rPr>
          <w:rFonts w:ascii="楷体" w:hAnsi="楷体" w:eastAsia="楷体" w:cs="楷体"/>
          <w:sz w:val="24"/>
        </w:rPr>
      </w:pPr>
      <w:r>
        <w:rPr>
          <w:rFonts w:ascii="SimHei" w:hAnsi="SimHei" w:cs="楷体" w:eastAsia="黑体"/>
          <w:sz w:val="24"/>
        </w:rPr>
        <w:t>根据</w:t>
      </w:r>
      <w:r>
        <w:rPr>
          <w:rFonts w:eastAsia="黑体" w:cs="楷体" w:ascii="SimHei" w:hAnsi="SimHei"/>
          <w:sz w:val="24"/>
        </w:rPr>
        <w:t>XX</w:t>
      </w:r>
      <w:r>
        <w:rPr>
          <w:rFonts w:ascii="SimHei" w:hAnsi="SimHei" w:cs="楷体" w:eastAsia="黑体"/>
          <w:sz w:val="24"/>
        </w:rPr>
        <w:t>地产的规划，总部将成为投资决策中心、管理调控中心、资源配置中心、信息整合中心、产业推广、品牌与文化输出中心，是整个公司的决策中心，扮演着“神经中枢”的角色。</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）地区公司经营者</w:t>
      </w:r>
    </w:p>
    <w:p>
      <w:pPr>
        <w:pStyle w:val="TextBodyIndent"/>
        <w:spacing w:lineRule="auto" w:line="360"/>
        <w:ind w:firstLine="480"/>
        <w:rPr>
          <w:rFonts w:ascii="楷体" w:hAnsi="楷体" w:eastAsia="楷体" w:cs="楷体"/>
          <w:sz w:val="24"/>
        </w:rPr>
      </w:pPr>
      <w:r>
        <w:rPr>
          <w:rFonts w:ascii="SimHei" w:hAnsi="SimHei" w:cs="楷体" w:eastAsia="黑体"/>
          <w:sz w:val="24"/>
        </w:rPr>
        <w:t>根据</w:t>
      </w:r>
      <w:r>
        <w:rPr>
          <w:rFonts w:eastAsia="黑体" w:cs="楷体" w:ascii="SimHei" w:hAnsi="SimHei"/>
          <w:sz w:val="24"/>
        </w:rPr>
        <w:t>XX</w:t>
      </w:r>
      <w:r>
        <w:rPr>
          <w:rFonts w:ascii="SimHei" w:hAnsi="SimHei" w:cs="楷体" w:eastAsia="黑体"/>
          <w:sz w:val="24"/>
        </w:rPr>
        <w:t>地产的规划，各地区公司将成为经营中心和利润创造中心、区域发展中心，是总部和项目的纽带，扮演着“神经元”的角色。</w:t>
      </w:r>
    </w:p>
    <w:p>
      <w:pPr>
        <w:pStyle w:val="Heading4"/>
        <w:numPr>
          <w:ilvl w:val="2"/>
          <w:numId w:val="2"/>
        </w:numPr>
        <w:spacing w:lineRule="auto" w:line="360" w:before="0" w:after="0"/>
        <w:ind w:start="0" w:firstLine="482"/>
        <w:rPr>
          <w:rFonts w:ascii="楷体" w:hAnsi="楷体" w:eastAsia="楷体" w:cs="楷体"/>
          <w:szCs w:val="24"/>
        </w:rPr>
      </w:pPr>
      <w:bookmarkStart w:id="14" w:name="__RefHeading___Toc30302479"/>
      <w:bookmarkEnd w:id="14"/>
      <w:r>
        <w:rPr>
          <w:rFonts w:ascii="SimHei" w:hAnsi="SimHei" w:cs="楷体" w:eastAsia="黑体"/>
          <w:szCs w:val="24"/>
        </w:rPr>
        <w:t>确定奖金分配系数的方法</w:t>
      </w:r>
    </w:p>
    <w:p>
      <w:pPr>
        <w:pStyle w:val="Heading5"/>
        <w:numPr>
          <w:ilvl w:val="0"/>
          <w:numId w:val="7"/>
        </w:numPr>
        <w:spacing w:lineRule="auto" w:line="360" w:before="0" w:after="0"/>
        <w:ind w:start="0" w:firstLine="482"/>
        <w:rPr>
          <w:rFonts w:ascii="楷体" w:hAnsi="楷体" w:eastAsia="楷体" w:cs="楷体"/>
          <w:szCs w:val="24"/>
        </w:rPr>
      </w:pPr>
      <w:r>
        <w:rPr>
          <w:rFonts w:ascii="SimHei" w:hAnsi="SimHei" w:cs="楷体" w:eastAsia="黑体"/>
          <w:szCs w:val="24"/>
        </w:rPr>
        <w:t>奖金分配系数的决策者</w:t>
      </w:r>
    </w:p>
    <w:p>
      <w:pPr>
        <w:pStyle w:val="TextBodyIndent"/>
        <w:spacing w:lineRule="auto" w:line="360"/>
        <w:ind w:firstLine="480"/>
        <w:rPr>
          <w:rFonts w:ascii="楷体" w:hAnsi="楷体" w:eastAsia="楷体" w:cs="楷体"/>
          <w:sz w:val="24"/>
        </w:rPr>
      </w:pPr>
      <w:r>
        <w:rPr>
          <w:rFonts w:ascii="SimHei" w:hAnsi="SimHei" w:cs="楷体" w:eastAsia="黑体"/>
          <w:sz w:val="24"/>
        </w:rPr>
        <w:t>根据</w:t>
      </w:r>
      <w:r>
        <w:rPr>
          <w:rFonts w:eastAsia="黑体" w:cs="楷体" w:ascii="SimHei" w:hAnsi="SimHei"/>
          <w:sz w:val="24"/>
        </w:rPr>
        <w:t>XX</w:t>
      </w:r>
      <w:r>
        <w:rPr>
          <w:rFonts w:ascii="SimHei" w:hAnsi="SimHei" w:cs="楷体" w:eastAsia="黑体"/>
          <w:sz w:val="24"/>
        </w:rPr>
        <w:t>地产的现状，我们建议由薪酬考核委员会来制定奖金分配系数，以保证分配系数的合理性和公正性。</w:t>
      </w:r>
    </w:p>
    <w:p>
      <w:pPr>
        <w:pStyle w:val="Heading5"/>
        <w:numPr>
          <w:ilvl w:val="0"/>
          <w:numId w:val="7"/>
        </w:numPr>
        <w:spacing w:lineRule="auto" w:line="360" w:before="0" w:after="0"/>
        <w:ind w:start="0" w:firstLine="482"/>
        <w:rPr>
          <w:rFonts w:ascii="楷体" w:hAnsi="楷体" w:eastAsia="楷体" w:cs="楷体"/>
          <w:szCs w:val="24"/>
        </w:rPr>
      </w:pPr>
      <w:r>
        <w:rPr>
          <w:rFonts w:ascii="SimHei" w:hAnsi="SimHei" w:cs="楷体" w:eastAsia="黑体"/>
          <w:szCs w:val="24"/>
        </w:rPr>
        <w:t>确定项目奖金分配系数</w:t>
      </w:r>
    </w:p>
    <w:p>
      <w:pPr>
        <w:pStyle w:val="TextBodyIndent"/>
        <w:spacing w:lineRule="auto" w:line="360"/>
        <w:ind w:firstLine="480"/>
        <w:rPr>
          <w:rFonts w:ascii="楷体" w:hAnsi="楷体" w:eastAsia="楷体" w:cs="楷体"/>
          <w:sz w:val="24"/>
        </w:rPr>
      </w:pPr>
      <w:r>
        <w:rPr>
          <w:rFonts w:ascii="SimHei" w:hAnsi="SimHei" w:cs="楷体" w:eastAsia="黑体"/>
          <w:sz w:val="24"/>
        </w:rPr>
        <w:t>薪酬委员会在确定和修改奖金分配系数时，按照以下步骤进行：</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）第一步：确定要素分配权重</w:t>
      </w:r>
    </w:p>
    <w:p>
      <w:pPr>
        <w:pStyle w:val="TextBodyIndent"/>
        <w:spacing w:lineRule="auto" w:line="360"/>
        <w:ind w:firstLine="480"/>
        <w:rPr>
          <w:rFonts w:ascii="楷体" w:hAnsi="楷体" w:eastAsia="楷体" w:cs="楷体"/>
          <w:sz w:val="24"/>
        </w:rPr>
      </w:pPr>
      <w:r>
        <w:rPr>
          <w:rFonts w:ascii="SimHei" w:hAnsi="SimHei" w:cs="楷体" w:eastAsia="黑体"/>
          <w:sz w:val="24"/>
        </w:rPr>
        <w:t>薪酬考核委员会根据每个项目中的资本、品牌、技术、管理四个要素的重要程度进行权重分配。如表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3</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3</w:t>
      </w:r>
      <w:r>
        <w:rPr>
          <w:rFonts w:ascii="SimHei" w:hAnsi="SimHei" w:cs="楷体" w:eastAsia="黑体"/>
          <w:sz w:val="24"/>
          <w:szCs w:val="24"/>
        </w:rPr>
        <w:t>：要素权重分配表</w:t>
      </w:r>
    </w:p>
    <w:tbl>
      <w:tblPr>
        <w:tblW w:w="8222" w:type="dxa"/>
        <w:jc w:val="center"/>
        <w:tblInd w:w="0" w:type="dxa"/>
        <w:tblLayout w:type="fixed"/>
        <w:tblCellMar>
          <w:top w:w="0" w:type="dxa"/>
          <w:start w:w="108" w:type="dxa"/>
          <w:bottom w:w="0" w:type="dxa"/>
          <w:end w:w="108" w:type="dxa"/>
        </w:tblCellMar>
      </w:tblPr>
      <w:tblGrid>
        <w:gridCol w:w="1115"/>
        <w:gridCol w:w="1001"/>
        <w:gridCol w:w="1001"/>
        <w:gridCol w:w="1001"/>
        <w:gridCol w:w="1001"/>
        <w:gridCol w:w="3103"/>
      </w:tblGrid>
      <w:tr>
        <w:trPr/>
        <w:tc>
          <w:tcPr>
            <w:tcW w:w="111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分配要素</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资本（</w:t>
            </w:r>
            <w:r>
              <w:rPr>
                <w:rFonts w:eastAsia="黑体" w:cs="楷体" w:ascii="SimHei" w:hAnsi="SimHei"/>
                <w:b/>
                <w:bCs/>
                <w:sz w:val="24"/>
              </w:rPr>
              <w:t>A</w:t>
            </w:r>
            <w:r>
              <w:rPr>
                <w:rFonts w:ascii="SimHei" w:hAnsi="SimHei" w:cs="楷体" w:eastAsia="黑体"/>
                <w:b/>
                <w:bCs/>
                <w:sz w:val="24"/>
              </w:rPr>
              <w:t>）</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品牌</w:t>
            </w:r>
            <w:r>
              <w:rPr>
                <w:rFonts w:eastAsia="黑体" w:cs="楷体" w:ascii="SimHei" w:hAnsi="SimHei"/>
                <w:b/>
                <w:bCs/>
                <w:sz w:val="24"/>
              </w:rPr>
              <w:t>(C)</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技术</w:t>
            </w:r>
            <w:r>
              <w:rPr>
                <w:rFonts w:eastAsia="黑体" w:cs="楷体" w:ascii="SimHei" w:hAnsi="SimHei"/>
                <w:b/>
                <w:bCs/>
                <w:sz w:val="24"/>
              </w:rPr>
              <w:t>(D)</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管理</w:t>
            </w:r>
            <w:r>
              <w:rPr>
                <w:rFonts w:eastAsia="黑体" w:cs="楷体" w:ascii="SimHei" w:hAnsi="SimHei"/>
                <w:b/>
                <w:bCs/>
                <w:sz w:val="24"/>
              </w:rPr>
              <w:t>(E)</w:t>
            </w:r>
          </w:p>
        </w:tc>
        <w:tc>
          <w:tcPr>
            <w:tcW w:w="310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合计</w:t>
            </w:r>
          </w:p>
        </w:tc>
      </w:tr>
      <w:tr>
        <w:trPr/>
        <w:tc>
          <w:tcPr>
            <w:tcW w:w="111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权重</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w:t>
            </w:r>
          </w:p>
        </w:tc>
        <w:tc>
          <w:tcPr>
            <w:tcW w:w="310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A+B+C+D =100</w:t>
            </w:r>
            <w:r>
              <w:rPr>
                <w:rFonts w:ascii="SimHei" w:hAnsi="SimHei" w:cs="楷体" w:eastAsia="黑体"/>
                <w:sz w:val="24"/>
              </w:rPr>
              <w:t>％</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要素分配权重一般取决于行业特征，在某一时期内是稳定的。根据我们对房地产行业现状的分析，我们建议各要素权重如下：</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4</w:t>
      </w:r>
      <w:r>
        <w:rPr>
          <w:rFonts w:ascii="SimHei" w:hAnsi="SimHei" w:cs="楷体" w:eastAsia="黑体"/>
          <w:sz w:val="24"/>
          <w:szCs w:val="24"/>
        </w:rPr>
        <w:t>：要素权重分配建议值</w:t>
      </w:r>
    </w:p>
    <w:tbl>
      <w:tblPr>
        <w:tblW w:w="8080" w:type="dxa"/>
        <w:jc w:val="center"/>
        <w:tblInd w:w="0" w:type="dxa"/>
        <w:tblLayout w:type="fixed"/>
        <w:tblCellMar>
          <w:top w:w="0" w:type="dxa"/>
          <w:start w:w="108" w:type="dxa"/>
          <w:bottom w:w="0" w:type="dxa"/>
          <w:end w:w="108" w:type="dxa"/>
        </w:tblCellMar>
      </w:tblPr>
      <w:tblGrid>
        <w:gridCol w:w="973"/>
        <w:gridCol w:w="1001"/>
        <w:gridCol w:w="1001"/>
        <w:gridCol w:w="1001"/>
        <w:gridCol w:w="1001"/>
        <w:gridCol w:w="3103"/>
      </w:tblGrid>
      <w:tr>
        <w:trPr/>
        <w:tc>
          <w:tcPr>
            <w:tcW w:w="9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分配要素</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资本（</w:t>
            </w:r>
            <w:r>
              <w:rPr>
                <w:rFonts w:eastAsia="黑体" w:cs="楷体" w:ascii="SimHei" w:hAnsi="SimHei"/>
                <w:b/>
                <w:bCs/>
                <w:sz w:val="24"/>
              </w:rPr>
              <w:t>A</w:t>
            </w:r>
            <w:r>
              <w:rPr>
                <w:rFonts w:ascii="SimHei" w:hAnsi="SimHei" w:cs="楷体" w:eastAsia="黑体"/>
                <w:b/>
                <w:bCs/>
                <w:sz w:val="24"/>
              </w:rPr>
              <w:t>）</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品牌</w:t>
            </w:r>
            <w:r>
              <w:rPr>
                <w:rFonts w:eastAsia="黑体" w:cs="楷体" w:ascii="SimHei" w:hAnsi="SimHei"/>
                <w:b/>
                <w:bCs/>
                <w:sz w:val="24"/>
              </w:rPr>
              <w:t>(C)</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技术</w:t>
            </w:r>
            <w:r>
              <w:rPr>
                <w:rFonts w:eastAsia="黑体" w:cs="楷体" w:ascii="SimHei" w:hAnsi="SimHei"/>
                <w:b/>
                <w:bCs/>
                <w:sz w:val="24"/>
              </w:rPr>
              <w:t>(D)</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管理</w:t>
            </w:r>
            <w:r>
              <w:rPr>
                <w:rFonts w:eastAsia="黑体" w:cs="楷体" w:ascii="SimHei" w:hAnsi="SimHei"/>
                <w:b/>
                <w:bCs/>
                <w:sz w:val="24"/>
              </w:rPr>
              <w:t>(E)</w:t>
            </w:r>
          </w:p>
        </w:tc>
        <w:tc>
          <w:tcPr>
            <w:tcW w:w="310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合计</w:t>
            </w:r>
          </w:p>
        </w:tc>
      </w:tr>
      <w:tr>
        <w:trPr/>
        <w:tc>
          <w:tcPr>
            <w:tcW w:w="9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权重</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w:t>
            </w:r>
            <w:r>
              <w:rPr>
                <w:rFonts w:ascii="SimHei" w:hAnsi="SimHei" w:cs="楷体" w:eastAsia="黑体"/>
                <w:sz w:val="24"/>
              </w:rPr>
              <w:t>＝</w:t>
            </w:r>
            <w:r>
              <w:rPr>
                <w:rFonts w:eastAsia="黑体" w:cs="楷体" w:ascii="SimHei" w:hAnsi="SimHei"/>
                <w:sz w:val="24"/>
              </w:rPr>
              <w:t>40</w:t>
            </w:r>
            <w:r>
              <w:rPr>
                <w:rFonts w:ascii="SimHei" w:hAnsi="SimHei" w:cs="楷体" w:eastAsia="黑体"/>
                <w:sz w:val="24"/>
              </w:rPr>
              <w:t>％</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w:t>
            </w:r>
            <w:r>
              <w:rPr>
                <w:rFonts w:ascii="SimHei" w:hAnsi="SimHei" w:cs="楷体" w:eastAsia="黑体"/>
                <w:sz w:val="24"/>
              </w:rPr>
              <w:t>＝</w:t>
            </w:r>
            <w:r>
              <w:rPr>
                <w:rFonts w:eastAsia="黑体" w:cs="楷体" w:ascii="SimHei" w:hAnsi="SimHei"/>
                <w:sz w:val="24"/>
              </w:rPr>
              <w:t>20</w:t>
            </w:r>
            <w:r>
              <w:rPr>
                <w:rFonts w:ascii="SimHei" w:hAnsi="SimHei" w:cs="楷体" w:eastAsia="黑体"/>
                <w:sz w:val="24"/>
              </w:rPr>
              <w:t>％</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w:t>
            </w:r>
            <w:r>
              <w:rPr>
                <w:rFonts w:ascii="SimHei" w:hAnsi="SimHei" w:cs="楷体" w:eastAsia="黑体"/>
                <w:sz w:val="24"/>
              </w:rPr>
              <w:t>＝</w:t>
            </w:r>
            <w:r>
              <w:rPr>
                <w:rFonts w:eastAsia="黑体" w:cs="楷体" w:ascii="SimHei" w:hAnsi="SimHei"/>
                <w:sz w:val="24"/>
              </w:rPr>
              <w:t>20</w:t>
            </w:r>
            <w:r>
              <w:rPr>
                <w:rFonts w:ascii="SimHei" w:hAnsi="SimHei" w:cs="楷体" w:eastAsia="黑体"/>
                <w:sz w:val="24"/>
              </w:rPr>
              <w:t>％</w:t>
            </w:r>
          </w:p>
        </w:tc>
        <w:tc>
          <w:tcPr>
            <w:tcW w:w="100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w:t>
            </w:r>
            <w:r>
              <w:rPr>
                <w:rFonts w:ascii="SimHei" w:hAnsi="SimHei" w:cs="楷体" w:eastAsia="黑体"/>
                <w:sz w:val="24"/>
              </w:rPr>
              <w:t>＝</w:t>
            </w:r>
            <w:r>
              <w:rPr>
                <w:rFonts w:eastAsia="黑体" w:cs="楷体" w:ascii="SimHei" w:hAnsi="SimHei"/>
                <w:sz w:val="24"/>
              </w:rPr>
              <w:t>20</w:t>
            </w:r>
            <w:r>
              <w:rPr>
                <w:rFonts w:ascii="SimHei" w:hAnsi="SimHei" w:cs="楷体" w:eastAsia="黑体"/>
                <w:sz w:val="24"/>
              </w:rPr>
              <w:t>％</w:t>
            </w:r>
          </w:p>
        </w:tc>
        <w:tc>
          <w:tcPr>
            <w:tcW w:w="310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A+B+C+D =100</w:t>
            </w:r>
            <w:r>
              <w:rPr>
                <w:rFonts w:ascii="SimHei" w:hAnsi="SimHei" w:cs="楷体" w:eastAsia="黑体"/>
                <w:sz w:val="24"/>
              </w:rPr>
              <w:t>％</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）第二步：确定各利益主体对各要素贡献率</w:t>
      </w:r>
    </w:p>
    <w:p>
      <w:pPr>
        <w:pStyle w:val="TextBodyIndent"/>
        <w:spacing w:lineRule="auto" w:line="360"/>
        <w:ind w:firstLine="480"/>
        <w:rPr>
          <w:rFonts w:ascii="楷体" w:hAnsi="楷体" w:eastAsia="楷体" w:cs="楷体"/>
          <w:sz w:val="24"/>
        </w:rPr>
      </w:pPr>
      <w:r>
        <w:rPr>
          <w:rFonts w:ascii="SimHei" w:hAnsi="SimHei" w:cs="楷体" w:eastAsia="黑体"/>
          <w:sz w:val="24"/>
        </w:rPr>
        <w:t>薪酬考核委员会根据每个项目中各利益主体对资本、品牌、技术、管理四个要素的贡献率进行权重分配。如表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5</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5</w:t>
      </w:r>
      <w:r>
        <w:rPr>
          <w:rFonts w:ascii="SimHei" w:hAnsi="SimHei" w:cs="楷体" w:eastAsia="黑体"/>
          <w:sz w:val="24"/>
          <w:szCs w:val="24"/>
        </w:rPr>
        <w:t>：要素贡献率分配表</w:t>
      </w:r>
    </w:p>
    <w:tbl>
      <w:tblPr>
        <w:tblW w:w="8048" w:type="dxa"/>
        <w:jc w:val="center"/>
        <w:tblInd w:w="0" w:type="dxa"/>
        <w:tblLayout w:type="fixed"/>
        <w:tblCellMar>
          <w:top w:w="0" w:type="dxa"/>
          <w:start w:w="108" w:type="dxa"/>
          <w:bottom w:w="0" w:type="dxa"/>
          <w:end w:w="108" w:type="dxa"/>
        </w:tblCellMar>
      </w:tblPr>
      <w:tblGrid>
        <w:gridCol w:w="2557"/>
        <w:gridCol w:w="1372"/>
        <w:gridCol w:w="1373"/>
        <w:gridCol w:w="1373"/>
        <w:gridCol w:w="1373"/>
      </w:tblGrid>
      <w:tr>
        <w:trPr/>
        <w:tc>
          <w:tcPr>
            <w:tcW w:w="255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要素贡献率</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资本（</w:t>
            </w:r>
            <w:r>
              <w:rPr>
                <w:rFonts w:eastAsia="黑体" w:cs="楷体" w:ascii="SimHei" w:hAnsi="SimHei"/>
                <w:b/>
                <w:bCs/>
                <w:sz w:val="24"/>
              </w:rPr>
              <w:t>A</w:t>
            </w:r>
            <w:r>
              <w:rPr>
                <w:rFonts w:ascii="SimHei" w:hAnsi="SimHei" w:cs="楷体" w:eastAsia="黑体"/>
                <w:b/>
                <w:bCs/>
                <w:sz w:val="24"/>
              </w:rPr>
              <w:t>）</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品牌</w:t>
            </w:r>
            <w:r>
              <w:rPr>
                <w:rFonts w:eastAsia="黑体" w:cs="楷体" w:ascii="SimHei" w:hAnsi="SimHei"/>
                <w:b/>
                <w:bCs/>
                <w:sz w:val="24"/>
              </w:rPr>
              <w:t>(B)</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技术</w:t>
            </w:r>
            <w:r>
              <w:rPr>
                <w:rFonts w:eastAsia="黑体" w:cs="楷体" w:ascii="SimHei" w:hAnsi="SimHei"/>
                <w:b/>
                <w:bCs/>
                <w:sz w:val="24"/>
              </w:rPr>
              <w:t>(C)</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管理</w:t>
            </w:r>
            <w:r>
              <w:rPr>
                <w:rFonts w:eastAsia="黑体" w:cs="楷体" w:ascii="SimHei" w:hAnsi="SimHei"/>
                <w:b/>
                <w:bCs/>
                <w:sz w:val="24"/>
              </w:rPr>
              <w:t>(D)</w:t>
            </w:r>
          </w:p>
        </w:tc>
      </w:tr>
      <w:tr>
        <w:trPr/>
        <w:tc>
          <w:tcPr>
            <w:tcW w:w="255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股东（</w:t>
            </w:r>
            <w:r>
              <w:rPr>
                <w:rFonts w:eastAsia="黑体" w:cs="楷体" w:ascii="SimHei" w:hAnsi="SimHei"/>
                <w:b/>
                <w:bCs/>
                <w:sz w:val="24"/>
              </w:rPr>
              <w:t>GD</w:t>
            </w:r>
            <w:r>
              <w:rPr>
                <w:rFonts w:ascii="SimHei" w:hAnsi="SimHei" w:cs="楷体" w:eastAsia="黑体"/>
                <w:b/>
                <w:bCs/>
                <w:sz w:val="24"/>
              </w:rPr>
              <w:t>）</w:t>
            </w:r>
          </w:p>
        </w:tc>
        <w:tc>
          <w:tcPr>
            <w:tcW w:w="1372"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Aa</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Ba</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Ca</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Da</w:t>
            </w:r>
          </w:p>
        </w:tc>
      </w:tr>
      <w:tr>
        <w:trPr/>
        <w:tc>
          <w:tcPr>
            <w:tcW w:w="255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 xml:space="preserve">总部 </w:t>
            </w:r>
            <w:r>
              <w:rPr>
                <w:rFonts w:eastAsia="黑体" w:cs="楷体" w:ascii="SimHei" w:hAnsi="SimHei"/>
                <w:b/>
                <w:bCs/>
                <w:sz w:val="24"/>
              </w:rPr>
              <w:t>(ZB)</w:t>
            </w:r>
          </w:p>
        </w:tc>
        <w:tc>
          <w:tcPr>
            <w:tcW w:w="1372"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Ab</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Bb</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Cb</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Db</w:t>
            </w:r>
          </w:p>
        </w:tc>
      </w:tr>
      <w:tr>
        <w:trPr/>
        <w:tc>
          <w:tcPr>
            <w:tcW w:w="255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 xml:space="preserve">地区公司 </w:t>
            </w:r>
            <w:r>
              <w:rPr>
                <w:rFonts w:eastAsia="黑体" w:cs="楷体" w:ascii="SimHei" w:hAnsi="SimHei"/>
                <w:b/>
                <w:bCs/>
                <w:sz w:val="24"/>
              </w:rPr>
              <w:t>(DQ)</w:t>
            </w:r>
          </w:p>
        </w:tc>
        <w:tc>
          <w:tcPr>
            <w:tcW w:w="1372"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Ac</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Bc</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Cc</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Dc</w:t>
            </w:r>
          </w:p>
        </w:tc>
      </w:tr>
      <w:tr>
        <w:trPr/>
        <w:tc>
          <w:tcPr>
            <w:tcW w:w="255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合计</w:t>
            </w:r>
          </w:p>
        </w:tc>
        <w:tc>
          <w:tcPr>
            <w:tcW w:w="1372"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Aa+Ab+Ac</w:t>
            </w:r>
          </w:p>
          <w:p>
            <w:pPr>
              <w:pStyle w:val="TextBodyIndent"/>
              <w:spacing w:lineRule="auto" w:line="360"/>
              <w:ind w:hanging="0"/>
              <w:jc w:val="center"/>
              <w:rPr>
                <w:rFonts w:ascii="楷体" w:hAnsi="楷体" w:eastAsia="楷体" w:cs="楷体"/>
                <w:sz w:val="24"/>
              </w:rPr>
            </w:pPr>
            <w:r>
              <w:rPr>
                <w:rFonts w:eastAsia="黑体" w:cs="楷体" w:ascii="SimHei" w:hAnsi="SimHei"/>
                <w:sz w:val="24"/>
              </w:rPr>
              <w:t>=100</w:t>
            </w:r>
            <w:r>
              <w:rPr>
                <w:rFonts w:ascii="SimHei" w:hAnsi="SimHei" w:cs="楷体" w:eastAsia="黑体"/>
                <w:sz w:val="24"/>
              </w:rPr>
              <w:t>％</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Ba+Bb+Bc</w:t>
            </w:r>
          </w:p>
          <w:p>
            <w:pPr>
              <w:pStyle w:val="TextBodyIndent"/>
              <w:spacing w:lineRule="auto" w:line="360"/>
              <w:ind w:hanging="0"/>
              <w:jc w:val="center"/>
              <w:rPr>
                <w:rFonts w:ascii="楷体" w:hAnsi="楷体" w:eastAsia="楷体" w:cs="楷体"/>
                <w:sz w:val="24"/>
              </w:rPr>
            </w:pPr>
            <w:r>
              <w:rPr>
                <w:rFonts w:eastAsia="黑体" w:cs="楷体" w:ascii="SimHei" w:hAnsi="SimHei"/>
                <w:sz w:val="24"/>
              </w:rPr>
              <w:t>=100</w:t>
            </w:r>
            <w:r>
              <w:rPr>
                <w:rFonts w:ascii="SimHei" w:hAnsi="SimHei" w:cs="楷体" w:eastAsia="黑体"/>
                <w:sz w:val="24"/>
              </w:rPr>
              <w:t>％</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Ca+Cb+Cc</w:t>
            </w:r>
          </w:p>
          <w:p>
            <w:pPr>
              <w:pStyle w:val="TextBodyIndent"/>
              <w:spacing w:lineRule="auto" w:line="360"/>
              <w:ind w:hanging="0"/>
              <w:jc w:val="center"/>
              <w:rPr>
                <w:rFonts w:ascii="楷体" w:hAnsi="楷体" w:eastAsia="楷体" w:cs="楷体"/>
                <w:sz w:val="24"/>
              </w:rPr>
            </w:pPr>
            <w:r>
              <w:rPr>
                <w:rFonts w:eastAsia="黑体" w:cs="楷体" w:ascii="SimHei" w:hAnsi="SimHei"/>
                <w:sz w:val="24"/>
              </w:rPr>
              <w:t>=100</w:t>
            </w:r>
            <w:r>
              <w:rPr>
                <w:rFonts w:ascii="SimHei" w:hAnsi="SimHei" w:cs="楷体" w:eastAsia="黑体"/>
                <w:sz w:val="24"/>
              </w:rPr>
              <w:t>％</w:t>
            </w:r>
          </w:p>
        </w:tc>
        <w:tc>
          <w:tcPr>
            <w:tcW w:w="137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Da+Db+Dc</w:t>
            </w:r>
          </w:p>
          <w:p>
            <w:pPr>
              <w:pStyle w:val="TextBodyIndent"/>
              <w:spacing w:lineRule="auto" w:line="360"/>
              <w:ind w:hanging="0"/>
              <w:jc w:val="center"/>
              <w:rPr>
                <w:rFonts w:ascii="楷体" w:hAnsi="楷体" w:eastAsia="楷体" w:cs="楷体"/>
                <w:sz w:val="24"/>
              </w:rPr>
            </w:pPr>
            <w:r>
              <w:rPr>
                <w:rFonts w:eastAsia="黑体" w:cs="楷体" w:ascii="SimHei" w:hAnsi="SimHei"/>
                <w:sz w:val="24"/>
              </w:rPr>
              <w:t>=100</w:t>
            </w:r>
            <w:r>
              <w:rPr>
                <w:rFonts w:ascii="SimHei" w:hAnsi="SimHei" w:cs="楷体" w:eastAsia="黑体"/>
                <w:sz w:val="24"/>
              </w:rPr>
              <w:t>％</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）第三步：计算各要素的分配系数</w:t>
      </w:r>
    </w:p>
    <w:p>
      <w:pPr>
        <w:pStyle w:val="TextBodyIndent"/>
        <w:spacing w:lineRule="auto" w:line="360"/>
        <w:ind w:firstLine="480"/>
        <w:rPr>
          <w:rFonts w:ascii="楷体" w:hAnsi="楷体" w:eastAsia="楷体" w:cs="楷体"/>
          <w:sz w:val="24"/>
        </w:rPr>
      </w:pPr>
      <w:r>
        <w:rPr>
          <w:rFonts w:ascii="SimHei" w:hAnsi="SimHei" w:eastAsia="黑体"/>
        </w:rPr>
      </w:r>
      <w:r>
        <w:rPr>
          <w:rFonts w:ascii="SimHei" w:hAnsi="SimHei" w:cs="楷体" w:eastAsia="黑体"/>
          <w:sz w:val="24"/>
        </w:rPr>
        <w:t>根据上面的赋值，计算得出个要素的分配系数：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6</w:t>
      </w:r>
      <w:r>
        <w:rPr>
          <w:rFonts w:ascii="SimHei" w:hAnsi="SimHei" w:cs="楷体" w:eastAsia="黑体"/>
          <w:sz w:val="24"/>
          <w:szCs w:val="24"/>
        </w:rPr>
        <w:t>：要素分配系数表</w:t>
      </w:r>
    </w:p>
    <w:tbl>
      <w:tblPr>
        <w:tblW w:w="8100" w:type="dxa"/>
        <w:jc w:val="center"/>
        <w:tblInd w:w="0" w:type="dxa"/>
        <w:tblLayout w:type="fixed"/>
        <w:tblCellMar>
          <w:top w:w="0" w:type="dxa"/>
          <w:start w:w="108" w:type="dxa"/>
          <w:bottom w:w="0" w:type="dxa"/>
          <w:end w:w="108" w:type="dxa"/>
        </w:tblCellMar>
      </w:tblPr>
      <w:tblGrid>
        <w:gridCol w:w="1980"/>
        <w:gridCol w:w="1530"/>
        <w:gridCol w:w="1530"/>
        <w:gridCol w:w="1530"/>
        <w:gridCol w:w="1530"/>
      </w:tblGrid>
      <w:tr>
        <w:trPr/>
        <w:tc>
          <w:tcPr>
            <w:tcW w:w="19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要素分配系数</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ascii="SimHei" w:hAnsi="SimHei" w:cs="楷体" w:eastAsia="黑体"/>
                <w:sz w:val="24"/>
              </w:rPr>
              <w:t>资本（</w:t>
            </w:r>
            <w:r>
              <w:rPr>
                <w:rFonts w:eastAsia="黑体" w:cs="楷体" w:ascii="SimHei" w:hAnsi="SimHei"/>
                <w:sz w:val="24"/>
              </w:rPr>
              <w:t>A</w:t>
            </w:r>
            <w:r>
              <w:rPr>
                <w:rFonts w:ascii="SimHei" w:hAnsi="SimHei" w:cs="楷体" w:eastAsia="黑体"/>
                <w:sz w:val="24"/>
              </w:rPr>
              <w:t>）</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ascii="SimHei" w:hAnsi="SimHei" w:cs="楷体" w:eastAsia="黑体"/>
                <w:sz w:val="24"/>
              </w:rPr>
              <w:t>品牌</w:t>
            </w:r>
            <w:r>
              <w:rPr>
                <w:rFonts w:eastAsia="黑体" w:cs="楷体" w:ascii="SimHei" w:hAnsi="SimHei"/>
                <w:sz w:val="24"/>
              </w:rPr>
              <w:t>(B)</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ascii="SimHei" w:hAnsi="SimHei" w:cs="楷体" w:eastAsia="黑体"/>
                <w:sz w:val="24"/>
              </w:rPr>
              <w:t>技术</w:t>
            </w:r>
            <w:r>
              <w:rPr>
                <w:rFonts w:eastAsia="黑体" w:cs="楷体" w:ascii="SimHei" w:hAnsi="SimHei"/>
                <w:sz w:val="24"/>
              </w:rPr>
              <w:t>(C)</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ascii="SimHei" w:hAnsi="SimHei" w:cs="楷体" w:eastAsia="黑体"/>
                <w:sz w:val="24"/>
              </w:rPr>
              <w:t>管理</w:t>
            </w:r>
            <w:r>
              <w:rPr>
                <w:rFonts w:eastAsia="黑体" w:cs="楷体" w:ascii="SimHei" w:hAnsi="SimHei"/>
                <w:sz w:val="24"/>
              </w:rPr>
              <w:t>(D)</w:t>
            </w:r>
          </w:p>
        </w:tc>
      </w:tr>
      <w:tr>
        <w:trPr/>
        <w:tc>
          <w:tcPr>
            <w:tcW w:w="19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股东（</w:t>
            </w:r>
            <w:r>
              <w:rPr>
                <w:rFonts w:eastAsia="黑体" w:cs="楷体" w:ascii="SimHei" w:hAnsi="SimHei"/>
                <w:sz w:val="24"/>
              </w:rPr>
              <w:t>GD</w:t>
            </w:r>
            <w:r>
              <w:rPr>
                <w:rFonts w:ascii="SimHei" w:hAnsi="SimHei" w:cs="楷体" w:eastAsia="黑体"/>
                <w:sz w:val="24"/>
              </w:rPr>
              <w:t>）</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GDA=Aa×A</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GDB=Ba×B</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GDC=Ca×C</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GDD=Da×D</w:t>
            </w:r>
          </w:p>
        </w:tc>
      </w:tr>
      <w:tr>
        <w:trPr/>
        <w:tc>
          <w:tcPr>
            <w:tcW w:w="19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 xml:space="preserve">总部 </w:t>
            </w:r>
            <w:r>
              <w:rPr>
                <w:rFonts w:eastAsia="黑体" w:cs="楷体" w:ascii="SimHei" w:hAnsi="SimHei"/>
                <w:sz w:val="24"/>
              </w:rPr>
              <w:t>(ZB)</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ZBA=Ab×A</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ZBB=Bb×B</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ZBC=Cb×C</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ZBD=Db×D</w:t>
            </w:r>
          </w:p>
        </w:tc>
      </w:tr>
      <w:tr>
        <w:trPr/>
        <w:tc>
          <w:tcPr>
            <w:tcW w:w="19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sz w:val="24"/>
              </w:rPr>
              <w:t xml:space="preserve">地区公司 </w:t>
            </w:r>
            <w:r>
              <w:rPr>
                <w:rFonts w:eastAsia="黑体" w:cs="楷体" w:ascii="SimHei" w:hAnsi="SimHei"/>
                <w:sz w:val="24"/>
              </w:rPr>
              <w:t>(DQ)</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DQA=Ac×A</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DQB=Bc×B</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DQC=Cc×C</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DQD=Dc×D</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4</w:t>
      </w:r>
      <w:r>
        <w:rPr>
          <w:rFonts w:ascii="SimHei" w:hAnsi="SimHei" w:cs="楷体" w:eastAsia="黑体"/>
          <w:sz w:val="24"/>
        </w:rPr>
        <w:t>）第四步：要素分配系数归集</w:t>
      </w:r>
    </w:p>
    <w:p>
      <w:pPr>
        <w:pStyle w:val="TextBodyIndent"/>
        <w:spacing w:lineRule="auto" w:line="360"/>
        <w:ind w:firstLine="480"/>
        <w:rPr>
          <w:rFonts w:ascii="楷体" w:hAnsi="楷体" w:eastAsia="楷体" w:cs="楷体"/>
          <w:sz w:val="24"/>
        </w:rPr>
      </w:pPr>
      <w:r>
        <w:rPr>
          <w:rFonts w:ascii="SimHei" w:hAnsi="SimHei" w:cs="楷体" w:eastAsia="黑体"/>
          <w:sz w:val="24"/>
        </w:rPr>
        <w:t>把同属于某利益主体的分配系数进行归集，得到各利益主体的分配系数，如表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7</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7</w:t>
      </w:r>
      <w:r>
        <w:rPr>
          <w:rFonts w:ascii="SimHei" w:hAnsi="SimHei" w:cs="楷体" w:eastAsia="黑体"/>
          <w:sz w:val="24"/>
          <w:szCs w:val="24"/>
        </w:rPr>
        <w:t>：要素分配系数归集表</w:t>
      </w:r>
    </w:p>
    <w:tbl>
      <w:tblPr>
        <w:tblW w:w="7976" w:type="dxa"/>
        <w:jc w:val="center"/>
        <w:tblInd w:w="0" w:type="dxa"/>
        <w:tblLayout w:type="fixed"/>
        <w:tblCellMar>
          <w:top w:w="0" w:type="dxa"/>
          <w:start w:w="108" w:type="dxa"/>
          <w:bottom w:w="0" w:type="dxa"/>
          <w:end w:w="108" w:type="dxa"/>
        </w:tblCellMar>
      </w:tblPr>
      <w:tblGrid>
        <w:gridCol w:w="2628"/>
        <w:gridCol w:w="5348"/>
      </w:tblGrid>
      <w:tr>
        <w:trPr/>
        <w:tc>
          <w:tcPr>
            <w:tcW w:w="262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利益主体</w:t>
            </w:r>
          </w:p>
        </w:tc>
        <w:tc>
          <w:tcPr>
            <w:tcW w:w="534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ascii="SimHei" w:hAnsi="SimHei" w:cs="楷体" w:eastAsia="黑体"/>
                <w:b/>
                <w:bCs/>
                <w:sz w:val="24"/>
              </w:rPr>
              <w:t>归集后的要素分配系数（</w:t>
            </w:r>
            <w:r>
              <w:rPr>
                <w:rFonts w:eastAsia="黑体" w:cs="楷体" w:ascii="SimHei" w:hAnsi="SimHei"/>
                <w:b/>
                <w:bCs/>
                <w:sz w:val="24"/>
              </w:rPr>
              <w:t>fp</w:t>
            </w:r>
            <w:r>
              <w:rPr>
                <w:rFonts w:ascii="SimHei" w:hAnsi="SimHei" w:cs="楷体" w:eastAsia="黑体"/>
                <w:b/>
                <w:bCs/>
                <w:sz w:val="24"/>
              </w:rPr>
              <w:t>）</w:t>
            </w:r>
          </w:p>
        </w:tc>
      </w:tr>
      <w:tr>
        <w:trPr/>
        <w:tc>
          <w:tcPr>
            <w:tcW w:w="262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股东（</w:t>
            </w:r>
            <w:r>
              <w:rPr>
                <w:rFonts w:eastAsia="黑体" w:cs="楷体" w:ascii="SimHei" w:hAnsi="SimHei"/>
                <w:b/>
                <w:bCs/>
                <w:sz w:val="24"/>
              </w:rPr>
              <w:t>GD</w:t>
            </w:r>
            <w:r>
              <w:rPr>
                <w:rFonts w:ascii="SimHei" w:hAnsi="SimHei" w:cs="楷体" w:eastAsia="黑体"/>
                <w:b/>
                <w:bCs/>
                <w:sz w:val="24"/>
              </w:rPr>
              <w:t>）</w:t>
            </w:r>
          </w:p>
        </w:tc>
        <w:tc>
          <w:tcPr>
            <w:tcW w:w="534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GDfp=GDA+GDB+GDC+GDD</w:t>
            </w:r>
          </w:p>
        </w:tc>
      </w:tr>
      <w:tr>
        <w:trPr/>
        <w:tc>
          <w:tcPr>
            <w:tcW w:w="262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 xml:space="preserve">总部经 </w:t>
            </w:r>
            <w:r>
              <w:rPr>
                <w:rFonts w:eastAsia="黑体" w:cs="楷体" w:ascii="SimHei" w:hAnsi="SimHei"/>
                <w:b/>
                <w:bCs/>
                <w:sz w:val="24"/>
              </w:rPr>
              <w:t>(ZB)</w:t>
            </w:r>
          </w:p>
        </w:tc>
        <w:tc>
          <w:tcPr>
            <w:tcW w:w="534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ZBfp=ZBA+ZBB+ZBC+ZBD</w:t>
            </w:r>
          </w:p>
        </w:tc>
      </w:tr>
      <w:tr>
        <w:trPr/>
        <w:tc>
          <w:tcPr>
            <w:tcW w:w="262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 xml:space="preserve">地区公司 </w:t>
            </w:r>
            <w:r>
              <w:rPr>
                <w:rFonts w:eastAsia="黑体" w:cs="楷体" w:ascii="SimHei" w:hAnsi="SimHei"/>
                <w:b/>
                <w:bCs/>
                <w:sz w:val="24"/>
              </w:rPr>
              <w:t>(DQ)</w:t>
            </w:r>
          </w:p>
        </w:tc>
        <w:tc>
          <w:tcPr>
            <w:tcW w:w="534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DQfp=DGA+DQB+DQC+DQD</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5</w:t>
      </w:r>
      <w:r>
        <w:rPr>
          <w:rFonts w:ascii="SimHei" w:hAnsi="SimHei" w:cs="楷体" w:eastAsia="黑体"/>
          <w:sz w:val="24"/>
        </w:rPr>
        <w:t>）第五步：确定某一项目的年度奖金和项目奖金分配系数</w:t>
      </w:r>
    </w:p>
    <w:p>
      <w:pPr>
        <w:pStyle w:val="TextBodyIndent"/>
        <w:spacing w:lineRule="auto" w:line="360"/>
        <w:ind w:firstLine="480"/>
        <w:rPr>
          <w:rFonts w:ascii="楷体" w:hAnsi="楷体" w:eastAsia="楷体" w:cs="楷体"/>
          <w:sz w:val="24"/>
        </w:rPr>
      </w:pPr>
      <w:r>
        <w:rPr>
          <w:rFonts w:ascii="SimHei" w:hAnsi="SimHei" w:cs="楷体" w:eastAsia="黑体"/>
          <w:sz w:val="24"/>
        </w:rPr>
        <w:t>对于总部来讲，只有年度分配系数。对于地区公司来讲，为实现年度奖金的主体地位，把分配系数的</w:t>
      </w:r>
      <w:r>
        <w:rPr>
          <w:rFonts w:eastAsia="黑体" w:cs="楷体" w:ascii="SimHei" w:hAnsi="SimHei"/>
          <w:sz w:val="24"/>
        </w:rPr>
        <w:t>70</w:t>
      </w:r>
      <w:r>
        <w:rPr>
          <w:rFonts w:ascii="SimHei" w:hAnsi="SimHei" w:cs="楷体" w:eastAsia="黑体"/>
          <w:sz w:val="24"/>
        </w:rPr>
        <w:t>％归为年度奖金分配系数，</w:t>
      </w:r>
      <w:r>
        <w:rPr>
          <w:rFonts w:eastAsia="黑体" w:cs="楷体" w:ascii="SimHei" w:hAnsi="SimHei"/>
          <w:sz w:val="24"/>
        </w:rPr>
        <w:t>30</w:t>
      </w:r>
      <w:r>
        <w:rPr>
          <w:rFonts w:ascii="SimHei" w:hAnsi="SimHei" w:cs="楷体" w:eastAsia="黑体"/>
          <w:sz w:val="24"/>
        </w:rPr>
        <w:t>％归为项目奖金系数，如表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8</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8</w:t>
      </w:r>
      <w:r>
        <w:rPr>
          <w:rFonts w:ascii="SimHei" w:hAnsi="SimHei" w:cs="楷体" w:eastAsia="黑体"/>
          <w:sz w:val="24"/>
          <w:szCs w:val="24"/>
        </w:rPr>
        <w:t>：奖金分配系数表</w:t>
      </w:r>
    </w:p>
    <w:tbl>
      <w:tblPr>
        <w:tblW w:w="8118" w:type="dxa"/>
        <w:jc w:val="center"/>
        <w:tblInd w:w="0" w:type="dxa"/>
        <w:tblLayout w:type="fixed"/>
        <w:tblCellMar>
          <w:top w:w="0" w:type="dxa"/>
          <w:start w:w="108" w:type="dxa"/>
          <w:bottom w:w="0" w:type="dxa"/>
          <w:end w:w="108" w:type="dxa"/>
        </w:tblCellMar>
      </w:tblPr>
      <w:tblGrid>
        <w:gridCol w:w="2840"/>
        <w:gridCol w:w="2841"/>
        <w:gridCol w:w="2437"/>
      </w:tblGrid>
      <w:tr>
        <w:trPr/>
        <w:tc>
          <w:tcPr>
            <w:tcW w:w="28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奖金分配主体</w:t>
            </w:r>
          </w:p>
        </w:tc>
        <w:tc>
          <w:tcPr>
            <w:tcW w:w="284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年度奖金分配系数</w:t>
            </w:r>
            <w:r>
              <w:rPr>
                <w:rFonts w:eastAsia="黑体" w:cs="楷体" w:ascii="SimHei" w:hAnsi="SimHei"/>
                <w:b/>
                <w:bCs/>
                <w:sz w:val="24"/>
              </w:rPr>
              <w:t>(ND)</w:t>
            </w:r>
          </w:p>
        </w:tc>
        <w:tc>
          <w:tcPr>
            <w:tcW w:w="243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项目奖金分配系数</w:t>
            </w:r>
            <w:r>
              <w:rPr>
                <w:rFonts w:eastAsia="黑体" w:cs="楷体" w:ascii="SimHei" w:hAnsi="SimHei"/>
                <w:b/>
                <w:bCs/>
                <w:sz w:val="24"/>
              </w:rPr>
              <w:t>(XM)</w:t>
            </w:r>
          </w:p>
        </w:tc>
      </w:tr>
      <w:tr>
        <w:trPr/>
        <w:tc>
          <w:tcPr>
            <w:tcW w:w="28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总部经营者</w:t>
            </w:r>
            <w:r>
              <w:rPr>
                <w:rFonts w:eastAsia="黑体" w:cs="楷体" w:ascii="SimHei" w:hAnsi="SimHei"/>
                <w:b/>
                <w:bCs/>
                <w:sz w:val="24"/>
              </w:rPr>
              <w:t>(ZB)</w:t>
            </w:r>
          </w:p>
        </w:tc>
        <w:tc>
          <w:tcPr>
            <w:tcW w:w="284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ZBNDfp=ZBfp</w:t>
            </w:r>
          </w:p>
        </w:tc>
        <w:tc>
          <w:tcPr>
            <w:tcW w:w="243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地区公司经营者</w:t>
            </w:r>
            <w:r>
              <w:rPr>
                <w:rFonts w:eastAsia="黑体" w:cs="楷体" w:ascii="SimHei" w:hAnsi="SimHei"/>
                <w:b/>
                <w:bCs/>
                <w:sz w:val="24"/>
              </w:rPr>
              <w:t>(DQ)</w:t>
            </w:r>
          </w:p>
        </w:tc>
        <w:tc>
          <w:tcPr>
            <w:tcW w:w="284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DQNDfp=DQfp×70</w:t>
            </w:r>
            <w:r>
              <w:rPr>
                <w:rFonts w:ascii="SimHei" w:hAnsi="SimHei" w:cs="楷体" w:eastAsia="黑体"/>
                <w:sz w:val="24"/>
              </w:rPr>
              <w:t>％</w:t>
            </w:r>
          </w:p>
        </w:tc>
        <w:tc>
          <w:tcPr>
            <w:tcW w:w="243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DQXMfp=DQfp×30</w:t>
            </w:r>
            <w:r>
              <w:rPr>
                <w:rFonts w:ascii="SimHei" w:hAnsi="SimHei" w:cs="楷体" w:eastAsia="黑体"/>
                <w:sz w:val="24"/>
              </w:rPr>
              <w:t>％</w:t>
            </w:r>
          </w:p>
        </w:tc>
      </w:tr>
    </w:tbl>
    <w:p>
      <w:pPr>
        <w:pStyle w:val="Heading5"/>
        <w:numPr>
          <w:ilvl w:val="0"/>
          <w:numId w:val="7"/>
        </w:numPr>
        <w:spacing w:lineRule="auto" w:line="360" w:before="0" w:after="0"/>
        <w:ind w:start="0" w:firstLine="482"/>
        <w:rPr>
          <w:rFonts w:ascii="楷体" w:hAnsi="楷体" w:eastAsia="楷体" w:cs="楷体"/>
          <w:szCs w:val="24"/>
        </w:rPr>
      </w:pPr>
      <w:r>
        <w:rPr>
          <w:rFonts w:ascii="SimHei" w:hAnsi="SimHei" w:cs="楷体" w:eastAsia="黑体"/>
          <w:szCs w:val="24"/>
        </w:rPr>
        <w:t>确定成熟和开拓阶段地区公司年度奖金分配系数</w:t>
      </w:r>
    </w:p>
    <w:p>
      <w:pPr>
        <w:pStyle w:val="TextBodyIndent"/>
        <w:spacing w:lineRule="auto" w:line="360"/>
        <w:ind w:firstLine="480"/>
        <w:rPr>
          <w:rFonts w:ascii="楷体" w:hAnsi="楷体" w:eastAsia="楷体" w:cs="楷体"/>
          <w:sz w:val="24"/>
        </w:rPr>
      </w:pPr>
      <w:r>
        <w:rPr>
          <w:rFonts w:ascii="SimHei" w:hAnsi="SimHei" w:cs="楷体" w:eastAsia="黑体"/>
          <w:sz w:val="24"/>
        </w:rPr>
        <w:t>对于有多个项目的成熟地区公司，其年度奖金分配系数按照下面的方法进行确定。</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）确定各项目目标净利润</w:t>
      </w:r>
    </w:p>
    <w:p>
      <w:pPr>
        <w:pStyle w:val="TextBodyIndent"/>
        <w:spacing w:lineRule="auto" w:line="360"/>
        <w:ind w:firstLine="480"/>
        <w:rPr>
          <w:rFonts w:ascii="楷体" w:hAnsi="楷体" w:eastAsia="楷体" w:cs="楷体"/>
          <w:sz w:val="24"/>
        </w:rPr>
      </w:pPr>
      <w:r>
        <w:rPr>
          <w:rFonts w:ascii="SimHei" w:hAnsi="SimHei" w:cs="楷体" w:eastAsia="黑体"/>
          <w:sz w:val="24"/>
        </w:rPr>
        <w:t>假设某地区公司某年有三个项目，由薪酬考核委员会确定对各个项目的目标净利润，如表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9</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9</w:t>
      </w:r>
      <w:r>
        <w:rPr>
          <w:rFonts w:ascii="SimHei" w:hAnsi="SimHei" w:cs="楷体" w:eastAsia="黑体"/>
          <w:sz w:val="24"/>
          <w:szCs w:val="24"/>
        </w:rPr>
        <w:t>：目标净利润预测表</w:t>
      </w:r>
    </w:p>
    <w:tbl>
      <w:tblPr>
        <w:tblW w:w="8188" w:type="dxa"/>
        <w:jc w:val="center"/>
        <w:tblInd w:w="0" w:type="dxa"/>
        <w:tblLayout w:type="fixed"/>
        <w:tblCellMar>
          <w:top w:w="0" w:type="dxa"/>
          <w:start w:w="108" w:type="dxa"/>
          <w:bottom w:w="0" w:type="dxa"/>
          <w:end w:w="108" w:type="dxa"/>
        </w:tblCellMar>
      </w:tblPr>
      <w:tblGrid>
        <w:gridCol w:w="1677"/>
        <w:gridCol w:w="1678"/>
        <w:gridCol w:w="1677"/>
        <w:gridCol w:w="1427"/>
        <w:gridCol w:w="1729"/>
      </w:tblGrid>
      <w:tr>
        <w:trPr/>
        <w:tc>
          <w:tcPr>
            <w:tcW w:w="167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tc>
        <w:tc>
          <w:tcPr>
            <w:tcW w:w="1678"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1</w:t>
            </w:r>
          </w:p>
        </w:tc>
        <w:tc>
          <w:tcPr>
            <w:tcW w:w="167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2</w:t>
            </w:r>
          </w:p>
        </w:tc>
        <w:tc>
          <w:tcPr>
            <w:tcW w:w="142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3</w:t>
            </w:r>
          </w:p>
        </w:tc>
        <w:tc>
          <w:tcPr>
            <w:tcW w:w="172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合计</w:t>
            </w:r>
          </w:p>
        </w:tc>
      </w:tr>
      <w:tr>
        <w:trPr/>
        <w:tc>
          <w:tcPr>
            <w:tcW w:w="167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目标净利润</w:t>
            </w:r>
          </w:p>
        </w:tc>
        <w:tc>
          <w:tcPr>
            <w:tcW w:w="167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OP1</w:t>
            </w:r>
          </w:p>
        </w:tc>
        <w:tc>
          <w:tcPr>
            <w:tcW w:w="167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OP2</w:t>
            </w:r>
          </w:p>
        </w:tc>
        <w:tc>
          <w:tcPr>
            <w:tcW w:w="142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OP3</w:t>
            </w:r>
          </w:p>
        </w:tc>
        <w:tc>
          <w:tcPr>
            <w:tcW w:w="172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OP=OP1+OP2+OP3</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）根据上述方法确定所有项目的年度奖金和项目奖金分配系数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10</w:t>
      </w:r>
      <w:r>
        <w:rPr>
          <w:rFonts w:ascii="SimHei" w:hAnsi="SimHei" w:cs="楷体" w:eastAsia="黑体"/>
          <w:sz w:val="24"/>
          <w:szCs w:val="24"/>
        </w:rPr>
        <w:t>：所有项目的年度奖金和项目奖金分配系数表</w:t>
      </w:r>
    </w:p>
    <w:tbl>
      <w:tblPr>
        <w:tblW w:w="8118" w:type="dxa"/>
        <w:jc w:val="center"/>
        <w:tblInd w:w="0" w:type="dxa"/>
        <w:tblLayout w:type="fixed"/>
        <w:tblCellMar>
          <w:top w:w="0" w:type="dxa"/>
          <w:start w:w="108" w:type="dxa"/>
          <w:bottom w:w="0" w:type="dxa"/>
          <w:end w:w="108" w:type="dxa"/>
        </w:tblCellMar>
      </w:tblPr>
      <w:tblGrid>
        <w:gridCol w:w="1908"/>
        <w:gridCol w:w="2160"/>
        <w:gridCol w:w="2160"/>
        <w:gridCol w:w="1890"/>
      </w:tblGrid>
      <w:tr>
        <w:trPr/>
        <w:tc>
          <w:tcPr>
            <w:tcW w:w="190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1</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2</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3</w:t>
            </w:r>
          </w:p>
        </w:tc>
      </w:tr>
      <w:tr>
        <w:trPr/>
        <w:tc>
          <w:tcPr>
            <w:tcW w:w="190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年度奖金分配系数</w:t>
            </w:r>
          </w:p>
        </w:tc>
        <w:tc>
          <w:tcPr>
            <w:tcW w:w="216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DQNDfp1</w:t>
            </w:r>
          </w:p>
        </w:tc>
        <w:tc>
          <w:tcPr>
            <w:tcW w:w="216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DQNDfp2</w:t>
            </w:r>
          </w:p>
        </w:tc>
        <w:tc>
          <w:tcPr>
            <w:tcW w:w="189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DQNDfp3</w:t>
            </w:r>
          </w:p>
        </w:tc>
      </w:tr>
      <w:tr>
        <w:trPr/>
        <w:tc>
          <w:tcPr>
            <w:tcW w:w="190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项目奖金分配系数</w:t>
            </w:r>
          </w:p>
        </w:tc>
        <w:tc>
          <w:tcPr>
            <w:tcW w:w="216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DQXMfp1</w:t>
            </w:r>
          </w:p>
        </w:tc>
        <w:tc>
          <w:tcPr>
            <w:tcW w:w="216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DQXMfp2</w:t>
            </w:r>
          </w:p>
        </w:tc>
        <w:tc>
          <w:tcPr>
            <w:tcW w:w="189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DQXMfp3</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）确定地区公司年度奖金分配系数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11</w:t>
      </w:r>
      <w:r>
        <w:rPr>
          <w:rFonts w:ascii="SimHei" w:hAnsi="SimHei" w:cs="楷体" w:eastAsia="黑体"/>
          <w:sz w:val="24"/>
          <w:szCs w:val="24"/>
        </w:rPr>
        <w:t>：某地区公司年度奖金分配系数表</w:t>
      </w:r>
    </w:p>
    <w:tbl>
      <w:tblPr>
        <w:tblW w:w="9693" w:type="dxa"/>
        <w:jc w:val="center"/>
        <w:tblInd w:w="0" w:type="dxa"/>
        <w:tblLayout w:type="fixed"/>
        <w:tblCellMar>
          <w:top w:w="0" w:type="dxa"/>
          <w:start w:w="108" w:type="dxa"/>
          <w:bottom w:w="0" w:type="dxa"/>
          <w:end w:w="108" w:type="dxa"/>
        </w:tblCellMar>
      </w:tblPr>
      <w:tblGrid>
        <w:gridCol w:w="2780"/>
        <w:gridCol w:w="6913"/>
      </w:tblGrid>
      <w:tr>
        <w:trPr>
          <w:trHeight w:val="533" w:hRule="atLeast"/>
          <w:cantSplit w:val="true"/>
        </w:trPr>
        <w:tc>
          <w:tcPr>
            <w:tcW w:w="27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公司名称</w:t>
            </w:r>
          </w:p>
        </w:tc>
        <w:tc>
          <w:tcPr>
            <w:tcW w:w="691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eastAsia="黑体" w:cs="楷体" w:ascii="SimHei" w:hAnsi="SimHei"/>
                <w:b/>
                <w:bCs/>
                <w:sz w:val="24"/>
              </w:rPr>
              <w:t>XXXX</w:t>
            </w:r>
            <w:r>
              <w:rPr>
                <w:rFonts w:ascii="SimHei" w:hAnsi="SimHei" w:cs="楷体" w:eastAsia="黑体"/>
                <w:b/>
                <w:bCs/>
                <w:sz w:val="24"/>
              </w:rPr>
              <w:t>公司</w:t>
            </w:r>
          </w:p>
        </w:tc>
      </w:tr>
      <w:tr>
        <w:trPr>
          <w:trHeight w:val="505" w:hRule="atLeast"/>
          <w:cantSplit w:val="true"/>
        </w:trPr>
        <w:tc>
          <w:tcPr>
            <w:tcW w:w="27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年度奖金分配系数</w:t>
            </w:r>
          </w:p>
        </w:tc>
        <w:tc>
          <w:tcPr>
            <w:tcW w:w="691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w:t>
            </w:r>
            <w:r>
              <w:rPr>
                <w:rFonts w:ascii="SimHei" w:hAnsi="SimHei" w:cs="楷体" w:eastAsia="黑体"/>
                <w:sz w:val="24"/>
              </w:rPr>
              <w:t>（</w:t>
            </w:r>
            <w:r>
              <w:rPr>
                <w:rFonts w:eastAsia="黑体" w:cs="楷体" w:ascii="SimHei" w:hAnsi="SimHei"/>
                <w:sz w:val="24"/>
              </w:rPr>
              <w:t>DQNDfp1×OP1</w:t>
            </w:r>
            <w:r>
              <w:rPr>
                <w:rFonts w:ascii="SimHei" w:hAnsi="SimHei" w:cs="楷体" w:eastAsia="黑体"/>
                <w:sz w:val="24"/>
              </w:rPr>
              <w:t>＋</w:t>
            </w:r>
            <w:r>
              <w:rPr>
                <w:rFonts w:eastAsia="黑体" w:cs="楷体" w:ascii="SimHei" w:hAnsi="SimHei"/>
                <w:sz w:val="24"/>
              </w:rPr>
              <w:t>DQNDfp2×OP2</w:t>
            </w:r>
            <w:r>
              <w:rPr>
                <w:rFonts w:ascii="SimHei" w:hAnsi="SimHei" w:cs="楷体" w:eastAsia="黑体"/>
                <w:sz w:val="24"/>
              </w:rPr>
              <w:t>＋</w:t>
            </w:r>
            <w:r>
              <w:rPr>
                <w:rFonts w:eastAsia="黑体" w:cs="楷体" w:ascii="SimHei" w:hAnsi="SimHei"/>
                <w:sz w:val="24"/>
              </w:rPr>
              <w:t>DQNDfp3×OP3</w:t>
            </w:r>
            <w:r>
              <w:rPr>
                <w:rFonts w:ascii="SimHei" w:hAnsi="SimHei" w:cs="楷体" w:eastAsia="黑体"/>
                <w:sz w:val="24"/>
              </w:rPr>
              <w:t>）</w:t>
            </w:r>
            <w:r>
              <w:rPr>
                <w:rFonts w:eastAsia="黑体" w:cs="楷体" w:ascii="SimHei" w:hAnsi="SimHei"/>
                <w:sz w:val="24"/>
              </w:rPr>
              <w:t>/ OP</w:t>
            </w:r>
          </w:p>
        </w:tc>
      </w:tr>
    </w:tbl>
    <w:p>
      <w:pPr>
        <w:pStyle w:val="Heading5"/>
        <w:numPr>
          <w:ilvl w:val="0"/>
          <w:numId w:val="7"/>
        </w:numPr>
        <w:spacing w:lineRule="auto" w:line="360" w:before="0" w:after="0"/>
        <w:ind w:start="0" w:firstLine="482"/>
        <w:rPr>
          <w:rFonts w:ascii="楷体" w:hAnsi="楷体" w:eastAsia="楷体" w:cs="楷体"/>
          <w:szCs w:val="24"/>
        </w:rPr>
      </w:pPr>
      <w:r>
        <w:rPr>
          <w:rFonts w:ascii="SimHei" w:hAnsi="SimHei" w:cs="楷体" w:eastAsia="黑体"/>
          <w:szCs w:val="24"/>
        </w:rPr>
        <w:t>确定总部年度奖金分配系数</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）预测各项目目标净利润</w:t>
      </w:r>
    </w:p>
    <w:p>
      <w:pPr>
        <w:pStyle w:val="TextBodyIndent"/>
        <w:spacing w:lineRule="auto" w:line="360"/>
        <w:ind w:firstLine="480"/>
        <w:rPr>
          <w:rFonts w:ascii="楷体" w:hAnsi="楷体" w:eastAsia="楷体" w:cs="楷体"/>
          <w:sz w:val="24"/>
        </w:rPr>
      </w:pPr>
      <w:r>
        <w:rPr>
          <w:rFonts w:ascii="SimHei" w:hAnsi="SimHei" w:cs="楷体" w:eastAsia="黑体"/>
          <w:sz w:val="24"/>
        </w:rPr>
        <w:t>假设某地区公司某年有</w:t>
      </w:r>
      <w:r>
        <w:rPr>
          <w:rFonts w:eastAsia="黑体" w:cs="楷体" w:ascii="SimHei" w:hAnsi="SimHei"/>
          <w:sz w:val="24"/>
        </w:rPr>
        <w:t>9</w:t>
      </w:r>
      <w:r>
        <w:rPr>
          <w:rFonts w:ascii="SimHei" w:hAnsi="SimHei" w:cs="楷体" w:eastAsia="黑体"/>
          <w:sz w:val="24"/>
        </w:rPr>
        <w:t>个项目，由薪酬考核委员会确定对各个项目的目标净利润，如表</w:t>
      </w:r>
      <w:r>
        <w:rPr>
          <w:rFonts w:eastAsia="黑体" w:cs="楷体" w:ascii="SimHei" w:hAnsi="SimHei"/>
          <w:sz w:val="24"/>
        </w:rPr>
        <w:t>1</w:t>
      </w:r>
      <w:r>
        <w:rPr>
          <w:rFonts w:ascii="SimHei" w:hAnsi="SimHei" w:cs="楷体" w:eastAsia="黑体"/>
          <w:sz w:val="24"/>
        </w:rPr>
        <w:t>－</w:t>
      </w:r>
      <w:r>
        <w:rPr>
          <w:rFonts w:eastAsia="黑体" w:cs="楷体" w:ascii="SimHei" w:hAnsi="SimHei"/>
          <w:sz w:val="24"/>
        </w:rPr>
        <w:t>12</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12</w:t>
      </w:r>
      <w:r>
        <w:rPr>
          <w:rFonts w:ascii="SimHei" w:hAnsi="SimHei" w:cs="楷体" w:eastAsia="黑体"/>
          <w:sz w:val="24"/>
          <w:szCs w:val="24"/>
        </w:rPr>
        <w:t>：目标净利润预测表</w:t>
      </w:r>
    </w:p>
    <w:tbl>
      <w:tblPr>
        <w:tblW w:w="8163" w:type="dxa"/>
        <w:jc w:val="center"/>
        <w:tblInd w:w="0" w:type="dxa"/>
        <w:tblLayout w:type="fixed"/>
        <w:tblCellMar>
          <w:top w:w="0" w:type="dxa"/>
          <w:start w:w="108" w:type="dxa"/>
          <w:bottom w:w="0" w:type="dxa"/>
          <w:end w:w="108" w:type="dxa"/>
        </w:tblCellMar>
      </w:tblPr>
      <w:tblGrid>
        <w:gridCol w:w="991"/>
        <w:gridCol w:w="797"/>
        <w:gridCol w:w="797"/>
        <w:gridCol w:w="797"/>
        <w:gridCol w:w="797"/>
        <w:gridCol w:w="797"/>
        <w:gridCol w:w="797"/>
        <w:gridCol w:w="797"/>
        <w:gridCol w:w="796"/>
        <w:gridCol w:w="797"/>
      </w:tblGrid>
      <w:tr>
        <w:trPr/>
        <w:tc>
          <w:tcPr>
            <w:tcW w:w="99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1</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2</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3</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4</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5</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6</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7</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8</w:t>
            </w:r>
          </w:p>
        </w:tc>
        <w:tc>
          <w:tcPr>
            <w:tcW w:w="79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9</w:t>
            </w:r>
          </w:p>
        </w:tc>
      </w:tr>
      <w:tr>
        <w:trPr/>
        <w:tc>
          <w:tcPr>
            <w:tcW w:w="99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目标净利润</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OP1</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OP2</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OP3</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OP4</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OP5</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OP6</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OP7</w:t>
            </w:r>
          </w:p>
        </w:tc>
        <w:tc>
          <w:tcPr>
            <w:tcW w:w="79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OP8</w:t>
            </w:r>
          </w:p>
        </w:tc>
        <w:tc>
          <w:tcPr>
            <w:tcW w:w="79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OP9</w:t>
            </w:r>
          </w:p>
        </w:tc>
      </w:tr>
      <w:tr>
        <w:trPr>
          <w:cantSplit w:val="true"/>
        </w:trPr>
        <w:tc>
          <w:tcPr>
            <w:tcW w:w="991"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目标净利润（合计）</w:t>
            </w:r>
          </w:p>
        </w:tc>
        <w:tc>
          <w:tcPr>
            <w:tcW w:w="7172" w:type="dxa"/>
            <w:gridSpan w:val="9"/>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sz w:val="24"/>
              </w:rPr>
            </w:pPr>
            <w:r>
              <w:rPr>
                <w:rFonts w:eastAsia="黑体" w:cs="楷体" w:ascii="SimHei" w:hAnsi="SimHei"/>
                <w:sz w:val="24"/>
              </w:rPr>
              <w:t>OP=OP1+OP2+OP3+OP4+OP5+OP6+OP7+OP8+OP9</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）根据上述方法确定所有项目的总部分配系数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13</w:t>
      </w:r>
      <w:r>
        <w:rPr>
          <w:rFonts w:ascii="SimHei" w:hAnsi="SimHei" w:cs="楷体" w:eastAsia="黑体"/>
          <w:sz w:val="24"/>
          <w:szCs w:val="24"/>
        </w:rPr>
        <w:t>：分配系数表</w:t>
      </w:r>
    </w:p>
    <w:tbl>
      <w:tblPr>
        <w:tblW w:w="8310" w:type="dxa"/>
        <w:jc w:val="center"/>
        <w:tblInd w:w="0" w:type="dxa"/>
        <w:tblLayout w:type="fixed"/>
        <w:tblCellMar>
          <w:top w:w="0" w:type="dxa"/>
          <w:start w:w="108" w:type="dxa"/>
          <w:bottom w:w="0" w:type="dxa"/>
          <w:end w:w="108" w:type="dxa"/>
        </w:tblCellMar>
      </w:tblPr>
      <w:tblGrid>
        <w:gridCol w:w="1249"/>
        <w:gridCol w:w="816"/>
        <w:gridCol w:w="816"/>
        <w:gridCol w:w="789"/>
        <w:gridCol w:w="789"/>
        <w:gridCol w:w="789"/>
        <w:gridCol w:w="789"/>
        <w:gridCol w:w="789"/>
        <w:gridCol w:w="788"/>
        <w:gridCol w:w="696"/>
      </w:tblGrid>
      <w:tr>
        <w:trPr/>
        <w:tc>
          <w:tcPr>
            <w:tcW w:w="124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p>
            <w:pPr>
              <w:pStyle w:val="Normal"/>
              <w:tabs>
                <w:tab w:val="clear" w:pos="420"/>
                <w:tab w:val="left" w:pos="960" w:leader="none"/>
              </w:tabs>
              <w:spacing w:lineRule="auto" w:line="360"/>
              <w:jc w:val="center"/>
              <w:rPr>
                <w:rFonts w:ascii="楷体" w:hAnsi="楷体" w:eastAsia="楷体" w:cs="楷体"/>
                <w:b/>
                <w:b/>
                <w:bCs/>
                <w:sz w:val="24"/>
              </w:rPr>
            </w:pPr>
            <w:r>
              <w:rPr>
                <w:rFonts w:eastAsia="黑体" w:cs="楷体" w:ascii="SimHei" w:hAnsi="SimHei"/>
                <w:b/>
                <w:bCs/>
                <w:sz w:val="24"/>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1</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2</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3</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4</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5</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6</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7</w:t>
            </w:r>
          </w:p>
        </w:tc>
        <w:tc>
          <w:tcPr>
            <w:tcW w:w="788"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8</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9</w:t>
            </w:r>
          </w:p>
        </w:tc>
      </w:tr>
      <w:tr>
        <w:trPr/>
        <w:tc>
          <w:tcPr>
            <w:tcW w:w="124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总部分配系数</w:t>
            </w:r>
          </w:p>
        </w:tc>
        <w:tc>
          <w:tcPr>
            <w:tcW w:w="81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ZBfp1</w:t>
            </w:r>
          </w:p>
        </w:tc>
        <w:tc>
          <w:tcPr>
            <w:tcW w:w="81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ZBfp2</w:t>
            </w:r>
          </w:p>
        </w:tc>
        <w:tc>
          <w:tcPr>
            <w:tcW w:w="78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3</w:t>
            </w:r>
          </w:p>
        </w:tc>
        <w:tc>
          <w:tcPr>
            <w:tcW w:w="78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4</w:t>
            </w:r>
          </w:p>
        </w:tc>
        <w:tc>
          <w:tcPr>
            <w:tcW w:w="78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5</w:t>
            </w:r>
          </w:p>
        </w:tc>
        <w:tc>
          <w:tcPr>
            <w:tcW w:w="78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6</w:t>
            </w:r>
          </w:p>
        </w:tc>
        <w:tc>
          <w:tcPr>
            <w:tcW w:w="789"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7</w:t>
            </w:r>
          </w:p>
        </w:tc>
        <w:tc>
          <w:tcPr>
            <w:tcW w:w="78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8</w:t>
            </w:r>
          </w:p>
        </w:tc>
        <w:tc>
          <w:tcPr>
            <w:tcW w:w="69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ZBfp 9</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）确定总部年度奖金分配系数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14</w:t>
      </w:r>
      <w:r>
        <w:rPr>
          <w:rFonts w:ascii="SimHei" w:hAnsi="SimHei" w:cs="楷体" w:eastAsia="黑体"/>
          <w:sz w:val="24"/>
          <w:szCs w:val="24"/>
        </w:rPr>
        <w:t>：某地区公司年度奖金分配系数表</w:t>
      </w:r>
    </w:p>
    <w:tbl>
      <w:tblPr>
        <w:tblW w:w="8280" w:type="dxa"/>
        <w:jc w:val="center"/>
        <w:tblInd w:w="0" w:type="dxa"/>
        <w:tblLayout w:type="fixed"/>
        <w:tblCellMar>
          <w:top w:w="0" w:type="dxa"/>
          <w:start w:w="108" w:type="dxa"/>
          <w:bottom w:w="0" w:type="dxa"/>
          <w:end w:w="108" w:type="dxa"/>
        </w:tblCellMar>
      </w:tblPr>
      <w:tblGrid>
        <w:gridCol w:w="1440"/>
        <w:gridCol w:w="6840"/>
      </w:tblGrid>
      <w:tr>
        <w:trPr>
          <w:cantSplit w:val="true"/>
        </w:trPr>
        <w:tc>
          <w:tcPr>
            <w:tcW w:w="14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公司名称</w:t>
            </w:r>
          </w:p>
        </w:tc>
        <w:tc>
          <w:tcPr>
            <w:tcW w:w="684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总部</w:t>
            </w:r>
          </w:p>
        </w:tc>
      </w:tr>
      <w:tr>
        <w:trPr>
          <w:cantSplit w:val="true"/>
        </w:trPr>
        <w:tc>
          <w:tcPr>
            <w:tcW w:w="14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年度奖金分配系数</w:t>
            </w:r>
          </w:p>
        </w:tc>
        <w:tc>
          <w:tcPr>
            <w:tcW w:w="684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rPr>
                <w:rFonts w:ascii="楷体" w:hAnsi="楷体" w:eastAsia="楷体" w:cs="楷体"/>
                <w:sz w:val="24"/>
              </w:rPr>
            </w:pPr>
            <w:r>
              <w:rPr>
                <w:rFonts w:eastAsia="黑体" w:cs="楷体" w:ascii="SimHei" w:hAnsi="SimHei"/>
                <w:sz w:val="24"/>
              </w:rPr>
              <w:t>ZBNDfp=</w:t>
            </w:r>
            <w:r>
              <w:rPr>
                <w:rFonts w:ascii="SimHei" w:hAnsi="SimHei" w:cs="楷体" w:eastAsia="黑体"/>
                <w:sz w:val="24"/>
              </w:rPr>
              <w:t>（</w:t>
            </w:r>
            <w:r>
              <w:rPr>
                <w:rFonts w:eastAsia="黑体" w:cs="楷体" w:ascii="SimHei" w:hAnsi="SimHei"/>
                <w:sz w:val="24"/>
              </w:rPr>
              <w:t>ZBfp1×OP1</w:t>
            </w:r>
            <w:r>
              <w:rPr>
                <w:rFonts w:ascii="SimHei" w:hAnsi="SimHei" w:cs="楷体" w:eastAsia="黑体"/>
                <w:sz w:val="24"/>
              </w:rPr>
              <w:t>＋</w:t>
            </w:r>
            <w:r>
              <w:rPr>
                <w:rFonts w:eastAsia="黑体" w:cs="楷体" w:ascii="SimHei" w:hAnsi="SimHei"/>
                <w:sz w:val="24"/>
              </w:rPr>
              <w:t>ZBfp2×OP2</w:t>
            </w:r>
            <w:r>
              <w:rPr>
                <w:rFonts w:ascii="SimHei" w:hAnsi="SimHei" w:cs="楷体" w:eastAsia="黑体"/>
                <w:sz w:val="24"/>
              </w:rPr>
              <w:t>＋</w:t>
            </w:r>
            <w:r>
              <w:rPr>
                <w:rFonts w:eastAsia="黑体" w:cs="楷体" w:ascii="SimHei" w:hAnsi="SimHei"/>
                <w:sz w:val="24"/>
              </w:rPr>
              <w:t>ZBfp3×OP3+ ZBfp4×OP4</w:t>
            </w:r>
            <w:r>
              <w:rPr>
                <w:rFonts w:ascii="SimHei" w:hAnsi="SimHei" w:cs="楷体" w:eastAsia="黑体"/>
                <w:sz w:val="24"/>
              </w:rPr>
              <w:t>＋</w:t>
            </w:r>
            <w:r>
              <w:rPr>
                <w:rFonts w:eastAsia="黑体" w:cs="楷体" w:ascii="SimHei" w:hAnsi="SimHei"/>
                <w:sz w:val="24"/>
              </w:rPr>
              <w:t>ZBfp5×OP5</w:t>
            </w:r>
            <w:r>
              <w:rPr>
                <w:rFonts w:ascii="SimHei" w:hAnsi="SimHei" w:cs="楷体" w:eastAsia="黑体"/>
                <w:sz w:val="24"/>
              </w:rPr>
              <w:t>＋</w:t>
            </w:r>
            <w:r>
              <w:rPr>
                <w:rFonts w:eastAsia="黑体" w:cs="楷体" w:ascii="SimHei" w:hAnsi="SimHei"/>
                <w:sz w:val="24"/>
              </w:rPr>
              <w:t>ZBfp6×OP6</w:t>
            </w:r>
            <w:r>
              <w:rPr>
                <w:rFonts w:ascii="SimHei" w:hAnsi="SimHei" w:cs="楷体" w:eastAsia="黑体"/>
                <w:sz w:val="24"/>
              </w:rPr>
              <w:t>＋</w:t>
            </w:r>
            <w:r>
              <w:rPr>
                <w:rFonts w:eastAsia="黑体" w:cs="楷体" w:ascii="SimHei" w:hAnsi="SimHei"/>
                <w:sz w:val="24"/>
              </w:rPr>
              <w:t>ZBfp7×OP7</w:t>
            </w:r>
            <w:r>
              <w:rPr>
                <w:rFonts w:ascii="SimHei" w:hAnsi="SimHei" w:cs="楷体" w:eastAsia="黑体"/>
                <w:sz w:val="24"/>
              </w:rPr>
              <w:t>＋</w:t>
            </w:r>
            <w:r>
              <w:rPr>
                <w:rFonts w:eastAsia="黑体" w:cs="楷体" w:ascii="SimHei" w:hAnsi="SimHei"/>
                <w:sz w:val="24"/>
              </w:rPr>
              <w:t>ZBfp8×OP8</w:t>
            </w:r>
            <w:r>
              <w:rPr>
                <w:rFonts w:ascii="SimHei" w:hAnsi="SimHei" w:cs="楷体" w:eastAsia="黑体"/>
                <w:sz w:val="24"/>
              </w:rPr>
              <w:t>＋</w:t>
            </w:r>
            <w:r>
              <w:rPr>
                <w:rFonts w:eastAsia="黑体" w:cs="楷体" w:ascii="SimHei" w:hAnsi="SimHei"/>
                <w:sz w:val="24"/>
              </w:rPr>
              <w:t>ZBfp9×OP9</w:t>
            </w:r>
            <w:r>
              <w:rPr>
                <w:rFonts w:ascii="SimHei" w:hAnsi="SimHei" w:cs="楷体" w:eastAsia="黑体"/>
                <w:sz w:val="24"/>
              </w:rPr>
              <w:t>）</w:t>
            </w:r>
            <w:r>
              <w:rPr>
                <w:rFonts w:eastAsia="黑体" w:cs="楷体" w:ascii="SimHei" w:hAnsi="SimHei"/>
                <w:sz w:val="24"/>
              </w:rPr>
              <w:t>/ OP</w:t>
            </w:r>
          </w:p>
        </w:tc>
      </w:tr>
    </w:tbl>
    <w:p>
      <w:pPr>
        <w:pStyle w:val="Heading5"/>
        <w:numPr>
          <w:ilvl w:val="0"/>
          <w:numId w:val="7"/>
        </w:numPr>
        <w:spacing w:lineRule="auto" w:line="360" w:before="0" w:after="0"/>
        <w:ind w:start="0" w:firstLine="482"/>
        <w:rPr>
          <w:rFonts w:ascii="楷体" w:hAnsi="楷体" w:eastAsia="楷体" w:cs="楷体"/>
          <w:szCs w:val="24"/>
        </w:rPr>
      </w:pPr>
      <w:r>
        <w:rPr>
          <w:rFonts w:ascii="SimHei" w:hAnsi="SimHei" w:cs="楷体" w:eastAsia="黑体"/>
          <w:szCs w:val="24"/>
        </w:rPr>
        <w:t>确定进入阶段地区公司年度奖金分配系数</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）确定总部高管人员岗位系数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15</w:t>
      </w:r>
      <w:r>
        <w:rPr>
          <w:rFonts w:ascii="SimHei" w:hAnsi="SimHei" w:cs="楷体" w:eastAsia="黑体"/>
          <w:sz w:val="24"/>
          <w:szCs w:val="24"/>
        </w:rPr>
        <w:t>：目标净利润预测表</w:t>
      </w:r>
    </w:p>
    <w:tbl>
      <w:tblPr>
        <w:tblW w:w="8429" w:type="dxa"/>
        <w:jc w:val="center"/>
        <w:tblInd w:w="0" w:type="dxa"/>
        <w:tblLayout w:type="fixed"/>
        <w:tblCellMar>
          <w:top w:w="0" w:type="dxa"/>
          <w:start w:w="108" w:type="dxa"/>
          <w:bottom w:w="0" w:type="dxa"/>
          <w:end w:w="108" w:type="dxa"/>
        </w:tblCellMar>
      </w:tblPr>
      <w:tblGrid>
        <w:gridCol w:w="1343"/>
        <w:gridCol w:w="817"/>
        <w:gridCol w:w="816"/>
        <w:gridCol w:w="793"/>
        <w:gridCol w:w="793"/>
        <w:gridCol w:w="793"/>
        <w:gridCol w:w="793"/>
        <w:gridCol w:w="793"/>
        <w:gridCol w:w="792"/>
        <w:gridCol w:w="696"/>
      </w:tblGrid>
      <w:tr>
        <w:trPr/>
        <w:tc>
          <w:tcPr>
            <w:tcW w:w="134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1</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2</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3</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4</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5</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6</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7</w:t>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8</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9</w:t>
            </w:r>
          </w:p>
        </w:tc>
      </w:tr>
      <w:tr>
        <w:trPr/>
        <w:tc>
          <w:tcPr>
            <w:tcW w:w="134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岗位系数</w:t>
            </w:r>
          </w:p>
        </w:tc>
        <w:tc>
          <w:tcPr>
            <w:tcW w:w="81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GWxs1</w:t>
            </w:r>
          </w:p>
        </w:tc>
        <w:tc>
          <w:tcPr>
            <w:tcW w:w="81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GWxs2</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3</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4</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5</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6</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7</w:t>
            </w:r>
          </w:p>
        </w:tc>
        <w:tc>
          <w:tcPr>
            <w:tcW w:w="792"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8</w:t>
            </w:r>
          </w:p>
        </w:tc>
        <w:tc>
          <w:tcPr>
            <w:tcW w:w="69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9</w:t>
            </w:r>
          </w:p>
        </w:tc>
      </w:tr>
      <w:tr>
        <w:trPr>
          <w:cantSplit w:val="true"/>
        </w:trPr>
        <w:tc>
          <w:tcPr>
            <w:tcW w:w="134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岗位系数合计</w:t>
            </w:r>
          </w:p>
        </w:tc>
        <w:tc>
          <w:tcPr>
            <w:tcW w:w="7086" w:type="dxa"/>
            <w:gridSpan w:val="9"/>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ZBGWxs</w:t>
            </w:r>
            <w:r>
              <w:rPr>
                <w:rFonts w:ascii="SimHei" w:hAnsi="SimHei" w:cs="楷体" w:eastAsia="黑体"/>
                <w:sz w:val="24"/>
              </w:rPr>
              <w:t>＝</w:t>
            </w:r>
            <w:r>
              <w:rPr>
                <w:rFonts w:eastAsia="黑体" w:cs="楷体" w:ascii="SimHei" w:hAnsi="SimHei"/>
                <w:sz w:val="24"/>
              </w:rPr>
              <w:t>GWxs1</w:t>
            </w:r>
            <w:r>
              <w:rPr>
                <w:rFonts w:ascii="SimHei" w:hAnsi="SimHei" w:cs="楷体" w:eastAsia="黑体"/>
                <w:sz w:val="24"/>
              </w:rPr>
              <w:t>＋</w:t>
            </w:r>
            <w:r>
              <w:rPr>
                <w:rFonts w:eastAsia="黑体" w:cs="楷体" w:ascii="SimHei" w:hAnsi="SimHei"/>
                <w:sz w:val="24"/>
              </w:rPr>
              <w:t>GWxs2</w:t>
            </w:r>
            <w:r>
              <w:rPr>
                <w:rFonts w:ascii="SimHei" w:hAnsi="SimHei" w:cs="楷体" w:eastAsia="黑体"/>
                <w:sz w:val="24"/>
              </w:rPr>
              <w:t>＋</w:t>
            </w:r>
            <w:r>
              <w:rPr>
                <w:rFonts w:eastAsia="黑体" w:cs="楷体" w:ascii="SimHei" w:hAnsi="SimHei"/>
                <w:sz w:val="24"/>
              </w:rPr>
              <w:t>GWxs3</w:t>
            </w:r>
            <w:r>
              <w:rPr>
                <w:rFonts w:ascii="SimHei" w:hAnsi="SimHei" w:cs="楷体" w:eastAsia="黑体"/>
                <w:sz w:val="24"/>
              </w:rPr>
              <w:t>＋</w:t>
            </w:r>
            <w:r>
              <w:rPr>
                <w:rFonts w:eastAsia="黑体" w:cs="楷体" w:ascii="SimHei" w:hAnsi="SimHei"/>
                <w:sz w:val="24"/>
              </w:rPr>
              <w:t>GWxs4</w:t>
            </w:r>
            <w:r>
              <w:rPr>
                <w:rFonts w:ascii="SimHei" w:hAnsi="SimHei" w:cs="楷体" w:eastAsia="黑体"/>
                <w:sz w:val="24"/>
              </w:rPr>
              <w:t>＋</w:t>
            </w:r>
            <w:r>
              <w:rPr>
                <w:rFonts w:eastAsia="黑体" w:cs="楷体" w:ascii="SimHei" w:hAnsi="SimHei"/>
                <w:sz w:val="24"/>
              </w:rPr>
              <w:t>GWxs5</w:t>
            </w:r>
            <w:r>
              <w:rPr>
                <w:rFonts w:ascii="SimHei" w:hAnsi="SimHei" w:cs="楷体" w:eastAsia="黑体"/>
                <w:sz w:val="24"/>
              </w:rPr>
              <w:t>＋</w:t>
            </w:r>
            <w:r>
              <w:rPr>
                <w:rFonts w:eastAsia="黑体" w:cs="楷体" w:ascii="SimHei" w:hAnsi="SimHei"/>
                <w:sz w:val="24"/>
              </w:rPr>
              <w:t>GWxs6</w:t>
            </w:r>
            <w:r>
              <w:rPr>
                <w:rFonts w:ascii="SimHei" w:hAnsi="SimHei" w:cs="楷体" w:eastAsia="黑体"/>
                <w:sz w:val="24"/>
              </w:rPr>
              <w:t>＋</w:t>
            </w:r>
            <w:r>
              <w:rPr>
                <w:rFonts w:eastAsia="黑体" w:cs="楷体" w:ascii="SimHei" w:hAnsi="SimHei"/>
                <w:sz w:val="24"/>
              </w:rPr>
              <w:t>GWxs7</w:t>
            </w:r>
            <w:r>
              <w:rPr>
                <w:rFonts w:ascii="SimHei" w:hAnsi="SimHei" w:cs="楷体" w:eastAsia="黑体"/>
                <w:sz w:val="24"/>
              </w:rPr>
              <w:t>＋</w:t>
            </w:r>
            <w:r>
              <w:rPr>
                <w:rFonts w:eastAsia="黑体" w:cs="楷体" w:ascii="SimHei" w:hAnsi="SimHei"/>
                <w:sz w:val="24"/>
              </w:rPr>
              <w:t>GWxs8</w:t>
            </w:r>
            <w:r>
              <w:rPr>
                <w:rFonts w:ascii="SimHei" w:hAnsi="SimHei" w:cs="楷体" w:eastAsia="黑体"/>
                <w:sz w:val="24"/>
              </w:rPr>
              <w:t>＋</w:t>
            </w:r>
            <w:r>
              <w:rPr>
                <w:rFonts w:eastAsia="黑体" w:cs="楷体" w:ascii="SimHei" w:hAnsi="SimHei"/>
                <w:sz w:val="24"/>
              </w:rPr>
              <w:t>GWxs9</w:t>
            </w:r>
          </w:p>
        </w:tc>
      </w:tr>
    </w:tbl>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）确定非成熟地区公司经理层岗位系数</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17</w:t>
      </w:r>
      <w:r>
        <w:rPr>
          <w:rFonts w:ascii="SimHei" w:hAnsi="SimHei" w:cs="楷体" w:eastAsia="黑体"/>
          <w:sz w:val="24"/>
          <w:szCs w:val="24"/>
        </w:rPr>
        <w:t>：岗位系数表</w:t>
      </w:r>
    </w:p>
    <w:tbl>
      <w:tblPr>
        <w:tblW w:w="8356" w:type="dxa"/>
        <w:jc w:val="center"/>
        <w:tblInd w:w="0" w:type="dxa"/>
        <w:tblLayout w:type="fixed"/>
        <w:tblCellMar>
          <w:top w:w="0" w:type="dxa"/>
          <w:start w:w="108" w:type="dxa"/>
          <w:bottom w:w="0" w:type="dxa"/>
          <w:end w:w="108" w:type="dxa"/>
        </w:tblCellMar>
      </w:tblPr>
      <w:tblGrid>
        <w:gridCol w:w="1205"/>
        <w:gridCol w:w="817"/>
        <w:gridCol w:w="816"/>
        <w:gridCol w:w="794"/>
        <w:gridCol w:w="794"/>
        <w:gridCol w:w="794"/>
        <w:gridCol w:w="794"/>
        <w:gridCol w:w="794"/>
        <w:gridCol w:w="793"/>
        <w:gridCol w:w="755"/>
      </w:tblGrid>
      <w:tr>
        <w:trPr/>
        <w:tc>
          <w:tcPr>
            <w:tcW w:w="120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1</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2</w:t>
            </w:r>
          </w:p>
        </w:tc>
        <w:tc>
          <w:tcPr>
            <w:tcW w:w="79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3</w:t>
            </w:r>
          </w:p>
        </w:tc>
        <w:tc>
          <w:tcPr>
            <w:tcW w:w="79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4</w:t>
            </w:r>
          </w:p>
        </w:tc>
        <w:tc>
          <w:tcPr>
            <w:tcW w:w="79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5</w:t>
            </w:r>
          </w:p>
        </w:tc>
        <w:tc>
          <w:tcPr>
            <w:tcW w:w="79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6</w:t>
            </w:r>
          </w:p>
        </w:tc>
        <w:tc>
          <w:tcPr>
            <w:tcW w:w="79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7</w:t>
            </w:r>
          </w:p>
        </w:tc>
        <w:tc>
          <w:tcPr>
            <w:tcW w:w="79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w:t>
            </w:r>
            <w:r>
              <w:rPr>
                <w:rFonts w:eastAsia="黑体" w:cs="楷体" w:ascii="SimHei" w:hAnsi="SimHei"/>
                <w:b/>
                <w:bCs/>
                <w:sz w:val="24"/>
              </w:rPr>
              <w:t>8</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项目</w:t>
            </w:r>
            <w:r>
              <w:rPr>
                <w:rFonts w:eastAsia="黑体" w:cs="楷体" w:ascii="SimHei" w:hAnsi="SimHei"/>
                <w:b/>
                <w:bCs/>
                <w:sz w:val="24"/>
              </w:rPr>
              <w:t>9</w:t>
            </w:r>
          </w:p>
        </w:tc>
      </w:tr>
      <w:tr>
        <w:trPr/>
        <w:tc>
          <w:tcPr>
            <w:tcW w:w="120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岗位系数</w:t>
            </w:r>
          </w:p>
        </w:tc>
        <w:tc>
          <w:tcPr>
            <w:tcW w:w="817"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GWxs1</w:t>
            </w:r>
          </w:p>
        </w:tc>
        <w:tc>
          <w:tcPr>
            <w:tcW w:w="816"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GWxs2</w:t>
            </w:r>
          </w:p>
        </w:tc>
        <w:tc>
          <w:tcPr>
            <w:tcW w:w="79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3</w:t>
            </w:r>
          </w:p>
        </w:tc>
        <w:tc>
          <w:tcPr>
            <w:tcW w:w="79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4</w:t>
            </w:r>
          </w:p>
        </w:tc>
        <w:tc>
          <w:tcPr>
            <w:tcW w:w="79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5</w:t>
            </w:r>
          </w:p>
        </w:tc>
        <w:tc>
          <w:tcPr>
            <w:tcW w:w="79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6</w:t>
            </w:r>
          </w:p>
        </w:tc>
        <w:tc>
          <w:tcPr>
            <w:tcW w:w="794"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7</w:t>
            </w:r>
          </w:p>
        </w:tc>
        <w:tc>
          <w:tcPr>
            <w:tcW w:w="793"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8</w:t>
            </w:r>
          </w:p>
        </w:tc>
        <w:tc>
          <w:tcPr>
            <w:tcW w:w="75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GWxs 9</w:t>
            </w:r>
          </w:p>
        </w:tc>
      </w:tr>
      <w:tr>
        <w:trPr>
          <w:cantSplit w:val="true"/>
        </w:trPr>
        <w:tc>
          <w:tcPr>
            <w:tcW w:w="1205"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岗位系数合计</w:t>
            </w:r>
          </w:p>
        </w:tc>
        <w:tc>
          <w:tcPr>
            <w:tcW w:w="7151" w:type="dxa"/>
            <w:gridSpan w:val="9"/>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DQGWxs</w:t>
            </w:r>
            <w:r>
              <w:rPr>
                <w:rFonts w:ascii="SimHei" w:hAnsi="SimHei" w:cs="楷体" w:eastAsia="黑体"/>
                <w:sz w:val="24"/>
              </w:rPr>
              <w:t>＝</w:t>
            </w:r>
            <w:r>
              <w:rPr>
                <w:rFonts w:eastAsia="黑体" w:cs="楷体" w:ascii="SimHei" w:hAnsi="SimHei"/>
                <w:sz w:val="24"/>
              </w:rPr>
              <w:t>GWxs1</w:t>
            </w:r>
            <w:r>
              <w:rPr>
                <w:rFonts w:ascii="SimHei" w:hAnsi="SimHei" w:cs="楷体" w:eastAsia="黑体"/>
                <w:sz w:val="24"/>
              </w:rPr>
              <w:t>＋</w:t>
            </w:r>
            <w:r>
              <w:rPr>
                <w:rFonts w:eastAsia="黑体" w:cs="楷体" w:ascii="SimHei" w:hAnsi="SimHei"/>
                <w:sz w:val="24"/>
              </w:rPr>
              <w:t>GWxs2</w:t>
            </w:r>
            <w:r>
              <w:rPr>
                <w:rFonts w:ascii="SimHei" w:hAnsi="SimHei" w:cs="楷体" w:eastAsia="黑体"/>
                <w:sz w:val="24"/>
              </w:rPr>
              <w:t>＋</w:t>
            </w:r>
            <w:r>
              <w:rPr>
                <w:rFonts w:eastAsia="黑体" w:cs="楷体" w:ascii="SimHei" w:hAnsi="SimHei"/>
                <w:sz w:val="24"/>
              </w:rPr>
              <w:t>GWxs3</w:t>
            </w:r>
            <w:r>
              <w:rPr>
                <w:rFonts w:ascii="SimHei" w:hAnsi="SimHei" w:cs="楷体" w:eastAsia="黑体"/>
                <w:sz w:val="24"/>
              </w:rPr>
              <w:t>＋</w:t>
            </w:r>
            <w:r>
              <w:rPr>
                <w:rFonts w:eastAsia="黑体" w:cs="楷体" w:ascii="SimHei" w:hAnsi="SimHei"/>
                <w:sz w:val="24"/>
              </w:rPr>
              <w:t>GWxs4</w:t>
            </w:r>
            <w:r>
              <w:rPr>
                <w:rFonts w:ascii="SimHei" w:hAnsi="SimHei" w:cs="楷体" w:eastAsia="黑体"/>
                <w:sz w:val="24"/>
              </w:rPr>
              <w:t>＋</w:t>
            </w:r>
            <w:r>
              <w:rPr>
                <w:rFonts w:eastAsia="黑体" w:cs="楷体" w:ascii="SimHei" w:hAnsi="SimHei"/>
                <w:sz w:val="24"/>
              </w:rPr>
              <w:t>GWxs5</w:t>
            </w:r>
            <w:r>
              <w:rPr>
                <w:rFonts w:ascii="SimHei" w:hAnsi="SimHei" w:cs="楷体" w:eastAsia="黑体"/>
                <w:sz w:val="24"/>
              </w:rPr>
              <w:t>＋</w:t>
            </w:r>
            <w:r>
              <w:rPr>
                <w:rFonts w:eastAsia="黑体" w:cs="楷体" w:ascii="SimHei" w:hAnsi="SimHei"/>
                <w:sz w:val="24"/>
              </w:rPr>
              <w:t>GWxs6</w:t>
            </w:r>
            <w:r>
              <w:rPr>
                <w:rFonts w:ascii="SimHei" w:hAnsi="SimHei" w:cs="楷体" w:eastAsia="黑体"/>
                <w:sz w:val="24"/>
              </w:rPr>
              <w:t>＋</w:t>
            </w:r>
            <w:r>
              <w:rPr>
                <w:rFonts w:eastAsia="黑体" w:cs="楷体" w:ascii="SimHei" w:hAnsi="SimHei"/>
                <w:sz w:val="24"/>
              </w:rPr>
              <w:t>GWxs7</w:t>
            </w:r>
            <w:r>
              <w:rPr>
                <w:rFonts w:ascii="SimHei" w:hAnsi="SimHei" w:cs="楷体" w:eastAsia="黑体"/>
                <w:sz w:val="24"/>
              </w:rPr>
              <w:t>＋</w:t>
            </w:r>
            <w:r>
              <w:rPr>
                <w:rFonts w:eastAsia="黑体" w:cs="楷体" w:ascii="SimHei" w:hAnsi="SimHei"/>
                <w:sz w:val="24"/>
              </w:rPr>
              <w:t>GWxs8</w:t>
            </w:r>
            <w:r>
              <w:rPr>
                <w:rFonts w:ascii="SimHei" w:hAnsi="SimHei" w:cs="楷体" w:eastAsia="黑体"/>
                <w:sz w:val="24"/>
              </w:rPr>
              <w:t>＋</w:t>
            </w:r>
            <w:r>
              <w:rPr>
                <w:rFonts w:eastAsia="黑体" w:cs="楷体" w:ascii="SimHei" w:hAnsi="SimHei"/>
                <w:sz w:val="24"/>
              </w:rPr>
              <w:t>GWxs9</w:t>
            </w:r>
          </w:p>
        </w:tc>
      </w:tr>
    </w:tbl>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18</w:t>
      </w:r>
      <w:r>
        <w:rPr>
          <w:rFonts w:ascii="SimHei" w:hAnsi="SimHei" w:cs="楷体" w:eastAsia="黑体"/>
          <w:sz w:val="24"/>
          <w:szCs w:val="24"/>
        </w:rPr>
        <w:t>：年度奖金分配系数表</w:t>
      </w:r>
    </w:p>
    <w:tbl>
      <w:tblPr>
        <w:tblW w:w="8388" w:type="dxa"/>
        <w:jc w:val="center"/>
        <w:tblInd w:w="0" w:type="dxa"/>
        <w:tblLayout w:type="fixed"/>
        <w:tblCellMar>
          <w:top w:w="0" w:type="dxa"/>
          <w:start w:w="108" w:type="dxa"/>
          <w:bottom w:w="0" w:type="dxa"/>
          <w:end w:w="108" w:type="dxa"/>
        </w:tblCellMar>
      </w:tblPr>
      <w:tblGrid>
        <w:gridCol w:w="1908"/>
        <w:gridCol w:w="6480"/>
      </w:tblGrid>
      <w:tr>
        <w:trPr>
          <w:cantSplit w:val="true"/>
        </w:trPr>
        <w:tc>
          <w:tcPr>
            <w:tcW w:w="190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公司名称</w:t>
            </w:r>
          </w:p>
        </w:tc>
        <w:tc>
          <w:tcPr>
            <w:tcW w:w="648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auto" w:line="360"/>
              <w:ind w:hanging="0"/>
              <w:jc w:val="center"/>
              <w:rPr>
                <w:rFonts w:ascii="楷体" w:hAnsi="楷体" w:eastAsia="楷体" w:cs="楷体"/>
                <w:b/>
                <w:b/>
                <w:bCs/>
                <w:sz w:val="24"/>
              </w:rPr>
            </w:pPr>
            <w:r>
              <w:rPr>
                <w:rFonts w:eastAsia="黑体" w:cs="楷体" w:ascii="SimHei" w:hAnsi="SimHei"/>
                <w:b/>
                <w:bCs/>
                <w:sz w:val="24"/>
              </w:rPr>
              <w:t>XXXX</w:t>
            </w:r>
            <w:r>
              <w:rPr>
                <w:rFonts w:ascii="SimHei" w:hAnsi="SimHei" w:cs="楷体" w:eastAsia="黑体"/>
                <w:b/>
                <w:bCs/>
                <w:sz w:val="24"/>
              </w:rPr>
              <w:t>公司</w:t>
            </w:r>
          </w:p>
        </w:tc>
      </w:tr>
      <w:tr>
        <w:trPr>
          <w:cantSplit w:val="true"/>
        </w:trPr>
        <w:tc>
          <w:tcPr>
            <w:tcW w:w="1908"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b/>
                <w:b/>
                <w:bCs/>
                <w:sz w:val="24"/>
              </w:rPr>
            </w:pPr>
            <w:r>
              <w:rPr>
                <w:rFonts w:ascii="SimHei" w:hAnsi="SimHei" w:cs="楷体" w:eastAsia="黑体"/>
                <w:b/>
                <w:bCs/>
                <w:sz w:val="24"/>
              </w:rPr>
              <w:t>年度奖金分配系数</w:t>
            </w:r>
          </w:p>
        </w:tc>
        <w:tc>
          <w:tcPr>
            <w:tcW w:w="6480" w:type="dxa"/>
            <w:tcBorders>
              <w:top w:val="single" w:sz="4" w:space="0" w:color="000000"/>
              <w:start w:val="single" w:sz="4" w:space="0" w:color="000000"/>
              <w:bottom w:val="single" w:sz="4" w:space="0" w:color="000000"/>
              <w:end w:val="single" w:sz="4" w:space="0" w:color="000000"/>
            </w:tcBorders>
          </w:tcPr>
          <w:p>
            <w:pPr>
              <w:pStyle w:val="TextBodyIndent"/>
              <w:spacing w:lineRule="auto" w:line="360"/>
              <w:ind w:hanging="0"/>
              <w:jc w:val="center"/>
              <w:rPr>
                <w:rFonts w:ascii="楷体" w:hAnsi="楷体" w:eastAsia="楷体" w:cs="楷体"/>
                <w:sz w:val="24"/>
              </w:rPr>
            </w:pPr>
            <w:r>
              <w:rPr>
                <w:rFonts w:eastAsia="黑体" w:cs="楷体" w:ascii="SimHei" w:hAnsi="SimHei"/>
                <w:sz w:val="24"/>
              </w:rPr>
              <w:t>DQNDfp= ZBNDfp×DQGWxs/</w:t>
            </w:r>
            <w:r>
              <w:rPr>
                <w:rFonts w:ascii="SimHei" w:hAnsi="SimHei" w:cs="楷体" w:eastAsia="黑体"/>
                <w:sz w:val="24"/>
              </w:rPr>
              <w:t>（</w:t>
            </w:r>
            <w:r>
              <w:rPr>
                <w:rFonts w:eastAsia="黑体" w:cs="楷体" w:ascii="SimHei" w:hAnsi="SimHei"/>
                <w:sz w:val="24"/>
              </w:rPr>
              <w:t>ZBGWxs+ DQGWxs</w:t>
            </w:r>
            <w:r>
              <w:rPr>
                <w:rFonts w:ascii="SimHei" w:hAnsi="SimHei" w:cs="楷体" w:eastAsia="黑体"/>
                <w:sz w:val="24"/>
              </w:rPr>
              <w:t>）</w:t>
            </w:r>
          </w:p>
        </w:tc>
      </w:tr>
    </w:tbl>
    <w:p>
      <w:pPr>
        <w:pStyle w:val="Heading2"/>
        <w:numPr>
          <w:ilvl w:val="0"/>
          <w:numId w:val="2"/>
        </w:numPr>
        <w:spacing w:lineRule="auto" w:line="360" w:before="0" w:after="0"/>
        <w:ind w:start="0" w:hanging="0"/>
        <w:rPr>
          <w:rFonts w:ascii="楷体" w:hAnsi="楷体" w:eastAsia="楷体" w:cs="楷体"/>
          <w:szCs w:val="24"/>
        </w:rPr>
      </w:pPr>
      <w:r>
        <w:rPr>
          <w:rFonts w:ascii="SimHei" w:hAnsi="SimHei" w:eastAsia="黑体"/>
        </w:rPr>
      </w:r>
      <w:bookmarkStart w:id="15" w:name="__RefHeading___Toc30302480"/>
      <w:bookmarkEnd w:id="15"/>
      <w:r>
        <w:rPr>
          <w:rFonts w:ascii="SimHei" w:hAnsi="SimHei" w:cs="楷体" w:eastAsia="黑体"/>
          <w:sz w:val="28"/>
          <w:szCs w:val="24"/>
        </w:rPr>
        <w:t>总部薪酬激励机制</w:t>
      </w:r>
    </w:p>
    <w:p>
      <w:pPr>
        <w:pStyle w:val="Heading3"/>
        <w:numPr>
          <w:ilvl w:val="1"/>
          <w:numId w:val="2"/>
        </w:numPr>
        <w:spacing w:lineRule="auto" w:line="360" w:before="0" w:after="0"/>
        <w:ind w:start="0" w:firstLine="482"/>
        <w:rPr>
          <w:rFonts w:ascii="楷体" w:hAnsi="楷体" w:eastAsia="楷体" w:cs="楷体"/>
          <w:szCs w:val="24"/>
        </w:rPr>
      </w:pPr>
      <w:bookmarkStart w:id="16" w:name="__RefHeading___Toc30302481"/>
      <w:bookmarkEnd w:id="16"/>
      <w:r>
        <w:rPr>
          <w:rFonts w:ascii="SimHei" w:hAnsi="SimHei" w:cs="楷体" w:eastAsia="黑体"/>
          <w:szCs w:val="24"/>
        </w:rPr>
        <w:t>薪酬现状分析</w:t>
      </w:r>
    </w:p>
    <w:p>
      <w:pPr>
        <w:pStyle w:val="Heading4"/>
        <w:numPr>
          <w:ilvl w:val="2"/>
          <w:numId w:val="2"/>
        </w:numPr>
        <w:spacing w:lineRule="auto" w:line="360" w:before="0" w:after="0"/>
        <w:ind w:start="0" w:firstLine="482"/>
        <w:rPr>
          <w:rFonts w:ascii="楷体" w:hAnsi="楷体" w:eastAsia="楷体" w:cs="楷体"/>
          <w:szCs w:val="24"/>
        </w:rPr>
      </w:pPr>
      <w:bookmarkStart w:id="17" w:name="__RefHeading___Toc30302482"/>
      <w:bookmarkEnd w:id="17"/>
      <w:r>
        <w:rPr>
          <w:rFonts w:ascii="SimHei" w:hAnsi="SimHei" w:cs="楷体" w:eastAsia="黑体"/>
          <w:szCs w:val="24"/>
        </w:rPr>
        <w:t>薪资水平不具有竞争力</w:t>
      </w:r>
    </w:p>
    <w:p>
      <w:pPr>
        <w:pStyle w:val="TextBodyIndent"/>
        <w:spacing w:lineRule="auto" w:line="360"/>
        <w:ind w:firstLine="480"/>
        <w:rPr>
          <w:rFonts w:ascii="楷体" w:hAnsi="楷体" w:eastAsia="楷体" w:cs="楷体"/>
          <w:sz w:val="24"/>
        </w:rPr>
      </w:pPr>
      <w:r>
        <w:rPr>
          <w:rFonts w:ascii="SimHei" w:hAnsi="SimHei" w:cs="楷体" w:eastAsia="黑体"/>
          <w:sz w:val="24"/>
        </w:rPr>
        <w:t>目前</w:t>
      </w:r>
      <w:r>
        <w:rPr>
          <w:rFonts w:eastAsia="黑体" w:cs="楷体" w:ascii="SimHei" w:hAnsi="SimHei"/>
          <w:sz w:val="24"/>
        </w:rPr>
        <w:t>XX</w:t>
      </w:r>
      <w:r>
        <w:rPr>
          <w:rFonts w:ascii="SimHei" w:hAnsi="SimHei" w:cs="楷体" w:eastAsia="黑体"/>
          <w:sz w:val="24"/>
        </w:rPr>
        <w:t>的薪资水平与外部市场水平相比较存在“有等级的差异”，所谓“有等级的差异”是指普通员工及中低层管理者的薪资水平较有竞争力，基本同外部价格持平；中高层管理者的整体薪资水平不具有市场竞争力，总体水平较低。</w:t>
      </w:r>
    </w:p>
    <w:p>
      <w:pPr>
        <w:pStyle w:val="Heading4"/>
        <w:numPr>
          <w:ilvl w:val="2"/>
          <w:numId w:val="2"/>
        </w:numPr>
        <w:spacing w:lineRule="auto" w:line="360" w:before="0" w:after="0"/>
        <w:ind w:start="0" w:firstLine="482"/>
        <w:rPr>
          <w:rFonts w:ascii="楷体" w:hAnsi="楷体" w:eastAsia="楷体" w:cs="楷体"/>
          <w:szCs w:val="24"/>
        </w:rPr>
      </w:pPr>
      <w:bookmarkStart w:id="18" w:name="__RefHeading___Toc30302483"/>
      <w:bookmarkEnd w:id="18"/>
      <w:r>
        <w:rPr>
          <w:rFonts w:ascii="SimHei" w:hAnsi="SimHei" w:cs="楷体" w:eastAsia="黑体"/>
          <w:szCs w:val="24"/>
        </w:rPr>
        <w:t>薪资呈现部分“平均主义”及标准不明确</w:t>
      </w:r>
    </w:p>
    <w:p>
      <w:pPr>
        <w:pStyle w:val="TextBodyIndent"/>
        <w:spacing w:lineRule="auto" w:line="360"/>
        <w:ind w:firstLine="480"/>
        <w:rPr>
          <w:rFonts w:ascii="楷体" w:hAnsi="楷体" w:eastAsia="楷体" w:cs="楷体"/>
          <w:sz w:val="24"/>
        </w:rPr>
      </w:pPr>
      <w:r>
        <w:rPr>
          <w:rFonts w:ascii="SimHei" w:hAnsi="SimHei" w:cs="楷体" w:eastAsia="黑体"/>
          <w:sz w:val="24"/>
        </w:rPr>
        <w:t>薪资激励作用的体现，在于依据贡献程度有差别的发放。</w:t>
      </w:r>
      <w:r>
        <w:rPr>
          <w:rFonts w:eastAsia="黑体" w:cs="楷体" w:ascii="SimHei" w:hAnsi="SimHei"/>
          <w:sz w:val="24"/>
        </w:rPr>
        <w:t>XX</w:t>
      </w:r>
      <w:r>
        <w:rPr>
          <w:rFonts w:ascii="SimHei" w:hAnsi="SimHei" w:cs="楷体" w:eastAsia="黑体"/>
          <w:sz w:val="24"/>
        </w:rPr>
        <w:t>目前的薪资水平区别，基本上没有明确的标准级层差额。长期保持现状将会影响员工的工作积极性，以致于进一步影响工作效率及质量。</w:t>
      </w:r>
    </w:p>
    <w:p>
      <w:pPr>
        <w:pStyle w:val="Heading4"/>
        <w:numPr>
          <w:ilvl w:val="2"/>
          <w:numId w:val="2"/>
        </w:numPr>
        <w:spacing w:lineRule="auto" w:line="360" w:before="0" w:after="0"/>
        <w:ind w:start="0" w:firstLine="482"/>
        <w:rPr>
          <w:rFonts w:ascii="楷体" w:hAnsi="楷体" w:eastAsia="楷体" w:cs="楷体"/>
          <w:szCs w:val="24"/>
        </w:rPr>
      </w:pPr>
      <w:bookmarkStart w:id="19" w:name="__RefHeading___Toc30302484"/>
      <w:bookmarkEnd w:id="19"/>
      <w:r>
        <w:rPr>
          <w:rFonts w:ascii="SimHei" w:hAnsi="SimHei" w:cs="楷体" w:eastAsia="黑体"/>
          <w:szCs w:val="24"/>
        </w:rPr>
        <w:t>薪资与绩效相关度低</w:t>
      </w:r>
    </w:p>
    <w:p>
      <w:pPr>
        <w:pStyle w:val="TextBodyIndent"/>
        <w:spacing w:lineRule="auto" w:line="360"/>
        <w:ind w:firstLine="480"/>
        <w:rPr>
          <w:rFonts w:ascii="楷体" w:hAnsi="楷体" w:eastAsia="楷体" w:cs="楷体"/>
          <w:sz w:val="24"/>
        </w:rPr>
      </w:pPr>
      <w:r>
        <w:rPr>
          <w:rFonts w:ascii="SimHei" w:hAnsi="SimHei" w:cs="楷体" w:eastAsia="黑体"/>
          <w:sz w:val="24"/>
        </w:rPr>
        <w:t>目前的</w:t>
      </w:r>
      <w:r>
        <w:rPr>
          <w:rFonts w:eastAsia="黑体" w:cs="楷体" w:ascii="SimHei" w:hAnsi="SimHei"/>
          <w:sz w:val="24"/>
        </w:rPr>
        <w:t>XX</w:t>
      </w:r>
      <w:r>
        <w:rPr>
          <w:rFonts w:ascii="SimHei" w:hAnsi="SimHei" w:cs="楷体" w:eastAsia="黑体"/>
          <w:sz w:val="24"/>
        </w:rPr>
        <w:t>绩效考核结果并没有直接应用于薪资水平调整，一方面考核没有达到激励作用，另一方面薪资没有体现企业贡献度，缺乏风险因素。</w:t>
      </w:r>
    </w:p>
    <w:p>
      <w:pPr>
        <w:pStyle w:val="Heading4"/>
        <w:numPr>
          <w:ilvl w:val="2"/>
          <w:numId w:val="2"/>
        </w:numPr>
        <w:spacing w:lineRule="auto" w:line="360" w:before="0" w:after="0"/>
        <w:ind w:start="0" w:firstLine="482"/>
        <w:rPr>
          <w:rFonts w:ascii="楷体" w:hAnsi="楷体" w:eastAsia="楷体" w:cs="楷体"/>
          <w:szCs w:val="24"/>
        </w:rPr>
      </w:pPr>
      <w:bookmarkStart w:id="20" w:name="__RefHeading___Toc30302485"/>
      <w:bookmarkEnd w:id="20"/>
      <w:r>
        <w:rPr>
          <w:rFonts w:ascii="SimHei" w:hAnsi="SimHei" w:cs="楷体" w:eastAsia="黑体"/>
          <w:szCs w:val="24"/>
        </w:rPr>
        <w:t>缺乏有结构及合理的职位序列体系</w:t>
      </w:r>
    </w:p>
    <w:p>
      <w:pPr>
        <w:pStyle w:val="TextBodyIndent"/>
        <w:spacing w:lineRule="auto" w:line="360"/>
        <w:ind w:firstLine="480"/>
        <w:rPr>
          <w:rFonts w:ascii="楷体" w:hAnsi="楷体" w:eastAsia="楷体" w:cs="楷体"/>
          <w:sz w:val="24"/>
        </w:rPr>
      </w:pPr>
      <w:r>
        <w:rPr>
          <w:rFonts w:ascii="SimHei" w:hAnsi="SimHei" w:cs="楷体" w:eastAsia="黑体"/>
          <w:sz w:val="24"/>
        </w:rPr>
        <w:t>岗位价值未被客观测量，工资序列不合理。容易导致的问题：非行政体系员工职业发展途径受限制，进一步影响工作热情及质量。</w:t>
      </w:r>
    </w:p>
    <w:p>
      <w:pPr>
        <w:pStyle w:val="Heading3"/>
        <w:numPr>
          <w:ilvl w:val="1"/>
          <w:numId w:val="2"/>
        </w:numPr>
        <w:spacing w:lineRule="auto" w:line="360" w:before="0" w:after="0"/>
        <w:ind w:start="0" w:firstLine="482"/>
        <w:rPr>
          <w:rFonts w:ascii="楷体" w:hAnsi="楷体" w:eastAsia="楷体" w:cs="楷体"/>
          <w:szCs w:val="24"/>
        </w:rPr>
      </w:pPr>
      <w:bookmarkStart w:id="21" w:name="__RefHeading___Toc30302486"/>
      <w:bookmarkEnd w:id="21"/>
      <w:r>
        <w:rPr>
          <w:rFonts w:ascii="SimHei" w:hAnsi="SimHei" w:cs="楷体" w:eastAsia="黑体"/>
          <w:szCs w:val="24"/>
        </w:rPr>
        <w:t>改善思路</w:t>
      </w:r>
    </w:p>
    <w:p>
      <w:pPr>
        <w:pStyle w:val="TextBodyIndent"/>
        <w:spacing w:lineRule="auto" w:line="360"/>
        <w:ind w:firstLine="480"/>
        <w:rPr>
          <w:rFonts w:ascii="楷体" w:hAnsi="楷体" w:eastAsia="楷体" w:cs="楷体"/>
          <w:sz w:val="24"/>
        </w:rPr>
      </w:pPr>
      <w:r>
        <w:rPr>
          <w:rFonts w:ascii="SimHei" w:hAnsi="SimHei" w:cs="楷体" w:eastAsia="黑体"/>
          <w:sz w:val="24"/>
        </w:rPr>
        <w:t>薪酬激励方案的整体思路是保证一个前提、两个公平、三项匹配：满足公司财务支付能力的要求，注重内外部的公平，奖金总额与公司业绩相匹配、个人基本薪酬与岗位相对价值相匹配、个人奖金与绩效相匹配；并结合企业自身实际情况订立的薪酬管理规定，使员工获得正当劳动报酬的保证，兼顾维持企业效率和持续发展，体现企业效益与员工利益相结合的原则。</w:t>
      </w:r>
    </w:p>
    <w:p>
      <w:pPr>
        <w:pStyle w:val="Heading4"/>
        <w:numPr>
          <w:ilvl w:val="0"/>
          <w:numId w:val="17"/>
        </w:numPr>
        <w:tabs>
          <w:tab w:val="left" w:pos="1004" w:leader="none"/>
          <w:tab w:val="left" w:pos="1145" w:leader="none"/>
        </w:tabs>
        <w:spacing w:lineRule="auto" w:line="360" w:before="0" w:after="0"/>
        <w:ind w:start="0" w:firstLine="482"/>
        <w:rPr>
          <w:rFonts w:ascii="楷体" w:hAnsi="楷体" w:eastAsia="楷体" w:cs="楷体"/>
          <w:szCs w:val="24"/>
        </w:rPr>
      </w:pPr>
      <w:bookmarkStart w:id="22" w:name="__RefHeading___Toc30302487"/>
      <w:bookmarkEnd w:id="22"/>
      <w:r>
        <w:rPr>
          <w:rFonts w:ascii="SimHei" w:hAnsi="SimHei" w:cs="楷体" w:eastAsia="黑体"/>
          <w:szCs w:val="24"/>
        </w:rPr>
        <w:t>改善薪酬管理体系的原则</w:t>
      </w:r>
    </w:p>
    <w:p>
      <w:pPr>
        <w:pStyle w:val="Heading5"/>
        <w:numPr>
          <w:ilvl w:val="1"/>
          <w:numId w:val="10"/>
        </w:numPr>
        <w:tabs>
          <w:tab w:val="left" w:pos="0" w:leader="none"/>
          <w:tab w:val="left" w:pos="780" w:leader="none"/>
        </w:tabs>
        <w:spacing w:lineRule="auto" w:line="360" w:before="0" w:after="0"/>
        <w:ind w:start="0" w:firstLine="482"/>
        <w:rPr>
          <w:rFonts w:ascii="楷体" w:hAnsi="楷体" w:eastAsia="楷体" w:cs="楷体"/>
          <w:szCs w:val="24"/>
        </w:rPr>
      </w:pPr>
      <w:r>
        <w:rPr>
          <w:rFonts w:ascii="SimHei" w:hAnsi="SimHei" w:cs="楷体" w:eastAsia="黑体"/>
          <w:szCs w:val="24"/>
        </w:rPr>
        <w:t>区别对待的原则</w:t>
      </w:r>
    </w:p>
    <w:p>
      <w:pPr>
        <w:pStyle w:val="Style10"/>
        <w:spacing w:lineRule="auto" w:line="360"/>
        <w:ind w:firstLine="480"/>
        <w:rPr>
          <w:rFonts w:ascii="楷体" w:hAnsi="楷体" w:eastAsia="楷体" w:cs="楷体"/>
          <w:sz w:val="24"/>
        </w:rPr>
      </w:pPr>
      <w:r>
        <w:rPr>
          <w:rFonts w:ascii="SimHei" w:hAnsi="SimHei" w:cs="楷体" w:eastAsia="黑体"/>
          <w:sz w:val="24"/>
        </w:rPr>
        <w:t>注意对</w:t>
      </w:r>
      <w:r>
        <w:rPr>
          <w:rFonts w:eastAsia="黑体" w:cs="楷体" w:ascii="SimHei" w:hAnsi="SimHei"/>
          <w:sz w:val="24"/>
        </w:rPr>
        <w:t>XX</w:t>
      </w:r>
      <w:r>
        <w:rPr>
          <w:rFonts w:ascii="SimHei" w:hAnsi="SimHei" w:cs="楷体" w:eastAsia="黑体"/>
          <w:sz w:val="24"/>
        </w:rPr>
        <w:t>骨干员工与一般员工的区别对待，既要考虑到骨干员工的公司的重要程度，同时保护一般员工的积极性。</w:t>
      </w:r>
    </w:p>
    <w:p>
      <w:pPr>
        <w:pStyle w:val="Heading5"/>
        <w:numPr>
          <w:ilvl w:val="1"/>
          <w:numId w:val="10"/>
        </w:numPr>
        <w:tabs>
          <w:tab w:val="left" w:pos="0" w:leader="none"/>
          <w:tab w:val="left" w:pos="780" w:leader="none"/>
        </w:tabs>
        <w:spacing w:lineRule="auto" w:line="360" w:before="0" w:after="0"/>
        <w:ind w:start="0" w:firstLine="482"/>
        <w:rPr>
          <w:rFonts w:ascii="楷体" w:hAnsi="楷体" w:eastAsia="楷体" w:cs="楷体"/>
          <w:szCs w:val="24"/>
        </w:rPr>
      </w:pPr>
      <w:r>
        <w:rPr>
          <w:rFonts w:ascii="SimHei" w:hAnsi="SimHei" w:cs="楷体" w:eastAsia="黑体"/>
          <w:szCs w:val="24"/>
        </w:rPr>
        <w:t>注重效益、兼顾公平的原则</w:t>
      </w:r>
    </w:p>
    <w:p>
      <w:pPr>
        <w:pStyle w:val="TextBodyIndent"/>
        <w:spacing w:lineRule="auto" w:line="360"/>
        <w:ind w:firstLine="480"/>
        <w:rPr>
          <w:rFonts w:ascii="楷体" w:hAnsi="楷体" w:eastAsia="楷体" w:cs="楷体"/>
          <w:sz w:val="24"/>
        </w:rPr>
      </w:pPr>
      <w:r>
        <w:rPr>
          <w:rFonts w:ascii="SimHei" w:hAnsi="SimHei" w:cs="楷体" w:eastAsia="黑体"/>
          <w:sz w:val="24"/>
        </w:rPr>
        <w:t>要保证薪资标准的差额幅度，在兼顾公平的前提下体现职位价值。</w:t>
      </w:r>
    </w:p>
    <w:p>
      <w:pPr>
        <w:pStyle w:val="Heading5"/>
        <w:numPr>
          <w:ilvl w:val="1"/>
          <w:numId w:val="10"/>
        </w:numPr>
        <w:tabs>
          <w:tab w:val="left" w:pos="0" w:leader="none"/>
          <w:tab w:val="left" w:pos="780" w:leader="none"/>
        </w:tabs>
        <w:spacing w:lineRule="auto" w:line="360" w:before="0" w:after="0"/>
        <w:ind w:start="0" w:firstLine="482"/>
        <w:rPr>
          <w:rFonts w:ascii="楷体" w:hAnsi="楷体" w:eastAsia="楷体" w:cs="楷体"/>
          <w:szCs w:val="24"/>
        </w:rPr>
      </w:pPr>
      <w:r>
        <w:rPr>
          <w:rFonts w:ascii="SimHei" w:hAnsi="SimHei" w:cs="楷体" w:eastAsia="黑体"/>
          <w:szCs w:val="24"/>
        </w:rPr>
        <w:t>树立风险意识的原则</w:t>
      </w:r>
    </w:p>
    <w:p>
      <w:pPr>
        <w:pStyle w:val="TextBodyIndent"/>
        <w:spacing w:lineRule="auto" w:line="360"/>
        <w:ind w:firstLine="480"/>
        <w:rPr>
          <w:rFonts w:ascii="楷体" w:hAnsi="楷体" w:eastAsia="楷体" w:cs="楷体"/>
          <w:sz w:val="24"/>
        </w:rPr>
      </w:pPr>
      <w:r>
        <w:rPr>
          <w:rFonts w:ascii="SimHei" w:hAnsi="SimHei" w:cs="楷体" w:eastAsia="黑体"/>
          <w:sz w:val="24"/>
        </w:rPr>
        <w:t>适当的风险意识有益于提高员工的工作重视度，强化激励效果。内部风险意识的加强更可以提高</w:t>
      </w:r>
      <w:r>
        <w:rPr>
          <w:rFonts w:eastAsia="黑体" w:cs="楷体" w:ascii="SimHei" w:hAnsi="SimHei"/>
          <w:sz w:val="24"/>
        </w:rPr>
        <w:t>XX</w:t>
      </w:r>
      <w:r>
        <w:rPr>
          <w:rFonts w:ascii="SimHei" w:hAnsi="SimHei" w:cs="楷体" w:eastAsia="黑体"/>
          <w:sz w:val="24"/>
        </w:rPr>
        <w:t>抵御外部市场风险的能力。</w:t>
      </w:r>
    </w:p>
    <w:p>
      <w:pPr>
        <w:pStyle w:val="Heading5"/>
        <w:numPr>
          <w:ilvl w:val="1"/>
          <w:numId w:val="10"/>
        </w:numPr>
        <w:tabs>
          <w:tab w:val="left" w:pos="0" w:leader="none"/>
          <w:tab w:val="left" w:pos="780" w:leader="none"/>
        </w:tabs>
        <w:spacing w:lineRule="auto" w:line="360" w:before="0" w:after="0"/>
        <w:ind w:start="0" w:firstLine="482"/>
        <w:rPr>
          <w:rFonts w:ascii="楷体" w:hAnsi="楷体" w:eastAsia="楷体" w:cs="楷体"/>
          <w:szCs w:val="24"/>
        </w:rPr>
      </w:pPr>
      <w:r>
        <w:rPr>
          <w:rFonts w:ascii="SimHei" w:hAnsi="SimHei" w:cs="楷体" w:eastAsia="黑体"/>
          <w:szCs w:val="24"/>
        </w:rPr>
        <w:t>分析与实际相结合的原则</w:t>
      </w:r>
    </w:p>
    <w:p>
      <w:pPr>
        <w:pStyle w:val="TextBodyIndent"/>
        <w:spacing w:lineRule="auto" w:line="360"/>
        <w:ind w:firstLine="480"/>
        <w:rPr>
          <w:rFonts w:ascii="楷体" w:hAnsi="楷体" w:eastAsia="楷体" w:cs="楷体"/>
          <w:sz w:val="24"/>
        </w:rPr>
      </w:pPr>
      <w:r>
        <w:rPr>
          <w:rFonts w:ascii="SimHei" w:hAnsi="SimHei" w:cs="楷体" w:eastAsia="黑体"/>
          <w:sz w:val="24"/>
        </w:rPr>
        <w:t>注重科学的方法、深入的分析与</w:t>
      </w:r>
      <w:r>
        <w:rPr>
          <w:rFonts w:eastAsia="黑体" w:cs="楷体" w:ascii="SimHei" w:hAnsi="SimHei"/>
          <w:sz w:val="24"/>
        </w:rPr>
        <w:t>XX</w:t>
      </w:r>
      <w:r>
        <w:rPr>
          <w:rFonts w:ascii="SimHei" w:hAnsi="SimHei" w:cs="楷体" w:eastAsia="黑体"/>
          <w:sz w:val="24"/>
        </w:rPr>
        <w:t>实际情况相结合，确保方案短期可用、长期提升。</w:t>
      </w:r>
    </w:p>
    <w:p>
      <w:pPr>
        <w:pStyle w:val="Heading4"/>
        <w:numPr>
          <w:ilvl w:val="0"/>
          <w:numId w:val="10"/>
        </w:numPr>
        <w:tabs>
          <w:tab w:val="left" w:pos="1004" w:leader="none"/>
          <w:tab w:val="left" w:pos="1145" w:leader="none"/>
        </w:tabs>
        <w:spacing w:lineRule="auto" w:line="360" w:before="0" w:after="0"/>
        <w:ind w:start="0" w:firstLine="482"/>
        <w:rPr>
          <w:rFonts w:ascii="楷体" w:hAnsi="楷体" w:eastAsia="楷体" w:cs="楷体"/>
          <w:szCs w:val="24"/>
        </w:rPr>
      </w:pPr>
      <w:bookmarkStart w:id="23" w:name="__RefHeading___Toc30302488"/>
      <w:bookmarkEnd w:id="23"/>
      <w:r>
        <w:rPr>
          <w:rFonts w:ascii="SimHei" w:hAnsi="SimHei" w:cs="楷体" w:eastAsia="黑体"/>
          <w:szCs w:val="24"/>
        </w:rPr>
        <w:t>完善薪酬体系的措施</w:t>
      </w:r>
    </w:p>
    <w:p>
      <w:pPr>
        <w:pStyle w:val="Heading5"/>
        <w:numPr>
          <w:ilvl w:val="0"/>
          <w:numId w:val="18"/>
        </w:numPr>
        <w:spacing w:lineRule="auto" w:line="360" w:before="0" w:after="0"/>
        <w:ind w:start="0" w:firstLine="482"/>
        <w:rPr>
          <w:rFonts w:ascii="楷体" w:hAnsi="楷体" w:eastAsia="楷体" w:cs="楷体"/>
          <w:szCs w:val="24"/>
        </w:rPr>
      </w:pPr>
      <w:r>
        <w:rPr>
          <w:rFonts w:ascii="SimHei" w:hAnsi="SimHei" w:cs="楷体" w:eastAsia="黑体"/>
          <w:szCs w:val="24"/>
        </w:rPr>
        <w:t>区别对待、适当提高薪酬水平</w:t>
      </w:r>
    </w:p>
    <w:p>
      <w:pPr>
        <w:pStyle w:val="TextBodyIndent"/>
        <w:spacing w:lineRule="auto" w:line="360"/>
        <w:ind w:firstLine="480"/>
        <w:rPr>
          <w:rFonts w:ascii="楷体" w:hAnsi="楷体" w:eastAsia="楷体" w:cs="楷体"/>
          <w:sz w:val="24"/>
        </w:rPr>
      </w:pPr>
      <w:r>
        <w:rPr>
          <w:rFonts w:ascii="SimHei" w:hAnsi="SimHei" w:cs="楷体" w:eastAsia="黑体"/>
          <w:sz w:val="24"/>
        </w:rPr>
        <w:t>具有竞争力的薪资水平不但可以激励内部员工不断为企业创造价值，也可以吸引外部优秀人才。对于中高层管理者薪酬水平应和市场价格相一致，达到满意或基本满意的水平。</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薪酬差距合理化</w:t>
      </w:r>
    </w:p>
    <w:p>
      <w:pPr>
        <w:pStyle w:val="TextBodyIndent"/>
        <w:spacing w:lineRule="auto" w:line="360"/>
        <w:ind w:firstLine="480"/>
        <w:rPr>
          <w:rFonts w:ascii="楷体" w:hAnsi="楷体" w:eastAsia="楷体" w:cs="楷体"/>
          <w:sz w:val="24"/>
        </w:rPr>
      </w:pPr>
      <w:r>
        <w:rPr>
          <w:rFonts w:ascii="SimHei" w:hAnsi="SimHei" w:cs="楷体" w:eastAsia="黑体"/>
          <w:sz w:val="24"/>
        </w:rPr>
        <w:t>依据</w:t>
      </w:r>
      <w:r>
        <w:rPr>
          <w:rFonts w:eastAsia="黑体" w:cs="楷体" w:ascii="SimHei" w:hAnsi="SimHei"/>
          <w:sz w:val="24"/>
        </w:rPr>
        <w:t>XX</w:t>
      </w:r>
      <w:r>
        <w:rPr>
          <w:rFonts w:ascii="SimHei" w:hAnsi="SimHei" w:cs="楷体" w:eastAsia="黑体"/>
          <w:sz w:val="24"/>
        </w:rPr>
        <w:t>各个职位的特点及未来的发展趋向建立明确的薪资差别标准体系，一方面注重效益同时兼顾公平。通过制度打破部分的“平均主义”，使薪资标准的差额同职位贡献的差别、员工付出的区别得到体现。</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确立合理的风险工资结构体系</w:t>
      </w:r>
    </w:p>
    <w:p>
      <w:pPr>
        <w:pStyle w:val="TextBodyIndent"/>
        <w:spacing w:lineRule="auto" w:line="360"/>
        <w:ind w:firstLine="480"/>
        <w:rPr>
          <w:rFonts w:ascii="楷体" w:hAnsi="楷体" w:eastAsia="楷体" w:cs="楷体"/>
          <w:sz w:val="24"/>
        </w:rPr>
      </w:pPr>
      <w:r>
        <w:rPr>
          <w:rFonts w:ascii="SimHei" w:hAnsi="SimHei" w:cs="楷体" w:eastAsia="黑体"/>
          <w:sz w:val="24"/>
        </w:rPr>
        <w:t>通过考核体系同薪资度的结合，达到激励、约束的作用。明确风险收入的范畴，对员工的工作产生预计性的引导作用，为企业创造更丰厚的附加价值。</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评估岗位价值、建立职位序列体系</w:t>
      </w:r>
    </w:p>
    <w:p>
      <w:pPr>
        <w:pStyle w:val="TextBodyIndent"/>
        <w:spacing w:lineRule="auto" w:line="360"/>
        <w:ind w:firstLine="480"/>
        <w:rPr>
          <w:rFonts w:ascii="楷体" w:hAnsi="楷体" w:eastAsia="楷体" w:cs="楷体"/>
          <w:sz w:val="24"/>
        </w:rPr>
      </w:pPr>
      <w:r>
        <w:rPr>
          <w:rFonts w:ascii="SimHei" w:hAnsi="SimHei" w:cs="楷体" w:eastAsia="黑体"/>
          <w:sz w:val="24"/>
        </w:rPr>
        <w:t>深入分析岗位价值、建立通用与专业并行的职位序列体系，保持员工职业发展途径的通畅。</w:t>
      </w:r>
    </w:p>
    <w:p>
      <w:pPr>
        <w:pStyle w:val="Heading3"/>
        <w:numPr>
          <w:ilvl w:val="1"/>
          <w:numId w:val="2"/>
        </w:numPr>
        <w:spacing w:lineRule="auto" w:line="360" w:before="0" w:after="0"/>
        <w:ind w:start="0" w:firstLine="482"/>
        <w:rPr>
          <w:rFonts w:ascii="楷体" w:hAnsi="楷体" w:eastAsia="楷体" w:cs="楷体"/>
          <w:szCs w:val="24"/>
        </w:rPr>
      </w:pPr>
      <w:bookmarkStart w:id="24" w:name="__RefHeading___Toc30302489"/>
      <w:bookmarkEnd w:id="24"/>
      <w:r>
        <w:rPr>
          <w:rFonts w:ascii="SimHei" w:hAnsi="SimHei" w:cs="楷体" w:eastAsia="黑体"/>
          <w:szCs w:val="24"/>
        </w:rPr>
        <w:t>薪酬构成</w:t>
      </w:r>
    </w:p>
    <w:p>
      <w:pPr>
        <w:pStyle w:val="Heading4"/>
        <w:numPr>
          <w:ilvl w:val="2"/>
          <w:numId w:val="2"/>
        </w:numPr>
        <w:spacing w:lineRule="auto" w:line="360" w:before="0" w:after="0"/>
        <w:ind w:start="0" w:firstLine="482"/>
        <w:rPr>
          <w:rFonts w:ascii="楷体" w:hAnsi="楷体" w:eastAsia="楷体" w:cs="楷体"/>
          <w:szCs w:val="24"/>
        </w:rPr>
      </w:pPr>
      <w:bookmarkStart w:id="25" w:name="__RefHeading___Toc30302490"/>
      <w:bookmarkEnd w:id="25"/>
      <w:r>
        <w:rPr>
          <w:rFonts w:ascii="SimHei" w:hAnsi="SimHei" w:cs="楷体" w:eastAsia="黑体"/>
          <w:szCs w:val="24"/>
        </w:rPr>
        <w:t>固定工资</w:t>
      </w:r>
    </w:p>
    <w:p>
      <w:pPr>
        <w:pStyle w:val="TextBodyIndent"/>
        <w:spacing w:lineRule="auto" w:line="360"/>
        <w:ind w:firstLine="480"/>
        <w:rPr>
          <w:rFonts w:ascii="楷体" w:hAnsi="楷体" w:eastAsia="楷体" w:cs="楷体"/>
          <w:sz w:val="24"/>
        </w:rPr>
      </w:pPr>
      <w:r>
        <w:rPr>
          <w:rFonts w:ascii="SimHei" w:hAnsi="SimHei" w:cs="楷体" w:eastAsia="黑体"/>
          <w:sz w:val="24"/>
        </w:rPr>
        <w:t>固定工资主要是指员工工资中无风险的部分，由两部分组成：基本工资、年功工资。</w:t>
      </w:r>
    </w:p>
    <w:p>
      <w:pPr>
        <w:pStyle w:val="Heading5"/>
        <w:numPr>
          <w:ilvl w:val="0"/>
          <w:numId w:val="19"/>
        </w:numPr>
        <w:spacing w:lineRule="auto" w:line="360" w:before="0" w:after="0"/>
        <w:ind w:start="0" w:firstLine="482"/>
        <w:rPr>
          <w:rFonts w:ascii="楷体" w:hAnsi="楷体" w:eastAsia="楷体" w:cs="楷体"/>
          <w:szCs w:val="24"/>
        </w:rPr>
      </w:pPr>
      <w:r>
        <w:rPr>
          <w:rFonts w:ascii="SimHei" w:hAnsi="SimHei" w:cs="楷体" w:eastAsia="黑体"/>
          <w:szCs w:val="24"/>
        </w:rPr>
        <w:t>基本工资</w:t>
      </w:r>
    </w:p>
    <w:p>
      <w:pPr>
        <w:pStyle w:val="TextBodyIndent"/>
        <w:spacing w:lineRule="auto" w:line="360"/>
        <w:ind w:firstLine="480"/>
        <w:rPr>
          <w:rFonts w:ascii="楷体" w:hAnsi="楷体" w:eastAsia="楷体" w:cs="楷体"/>
          <w:sz w:val="24"/>
        </w:rPr>
      </w:pPr>
      <w:r>
        <w:rPr>
          <w:rFonts w:ascii="SimHei" w:hAnsi="SimHei" w:cs="楷体" w:eastAsia="黑体"/>
          <w:sz w:val="24"/>
        </w:rPr>
        <w:t>基本工资，公司综合评估员工的职务、能力、技术、经验以及学历等的因素，以决定其基本工资标准，是一般职员工资构成的主体部分。基本工资是整体工资体系中无风险的部分，也是员工基本劳动付出的回报。</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年功工资</w:t>
      </w:r>
    </w:p>
    <w:p>
      <w:pPr>
        <w:pStyle w:val="TextBodyIndent"/>
        <w:spacing w:lineRule="auto" w:line="360"/>
        <w:ind w:firstLine="480"/>
        <w:rPr>
          <w:rFonts w:ascii="楷体" w:hAnsi="楷体" w:eastAsia="楷体" w:cs="楷体"/>
          <w:sz w:val="24"/>
        </w:rPr>
      </w:pPr>
      <w:r>
        <w:rPr>
          <w:rFonts w:ascii="SimHei" w:hAnsi="SimHei" w:cs="楷体" w:eastAsia="黑体"/>
          <w:sz w:val="24"/>
        </w:rPr>
        <w:t>年功工资：根据职员在</w:t>
      </w:r>
      <w:r>
        <w:rPr>
          <w:rFonts w:eastAsia="黑体" w:cs="楷体" w:ascii="SimHei" w:hAnsi="SimHei"/>
          <w:sz w:val="24"/>
        </w:rPr>
        <w:t>XX</w:t>
      </w:r>
      <w:r>
        <w:rPr>
          <w:rFonts w:ascii="SimHei" w:hAnsi="SimHei" w:cs="楷体" w:eastAsia="黑体"/>
          <w:sz w:val="24"/>
        </w:rPr>
        <w:t>地产任职年数而逐年增加的工资，是一般职员薪酬构成的附加部分，其作用是通过奖励那些为</w:t>
      </w:r>
      <w:r>
        <w:rPr>
          <w:rFonts w:eastAsia="黑体" w:cs="楷体" w:ascii="SimHei" w:hAnsi="SimHei"/>
          <w:sz w:val="24"/>
        </w:rPr>
        <w:t>XX</w:t>
      </w:r>
      <w:r>
        <w:rPr>
          <w:rFonts w:ascii="SimHei" w:hAnsi="SimHei" w:cs="楷体" w:eastAsia="黑体"/>
          <w:sz w:val="24"/>
        </w:rPr>
        <w:t>地产作出长期贡献的职员，以保持人才队伍的稳定。根据</w:t>
      </w:r>
      <w:r>
        <w:rPr>
          <w:rFonts w:eastAsia="黑体" w:cs="楷体" w:ascii="SimHei" w:hAnsi="SimHei"/>
          <w:sz w:val="24"/>
        </w:rPr>
        <w:t>XX</w:t>
      </w:r>
      <w:r>
        <w:rPr>
          <w:rFonts w:ascii="SimHei" w:hAnsi="SimHei" w:cs="楷体" w:eastAsia="黑体"/>
          <w:sz w:val="24"/>
        </w:rPr>
        <w:t>的员工来源的特殊性，员工进入</w:t>
      </w:r>
      <w:r>
        <w:rPr>
          <w:rFonts w:eastAsia="黑体" w:cs="楷体" w:ascii="SimHei" w:hAnsi="SimHei"/>
          <w:sz w:val="24"/>
        </w:rPr>
        <w:t>XX</w:t>
      </w:r>
      <w:r>
        <w:rPr>
          <w:rFonts w:ascii="SimHei" w:hAnsi="SimHei" w:cs="楷体" w:eastAsia="黑体"/>
          <w:sz w:val="24"/>
        </w:rPr>
        <w:t>系统日开始起计。</w:t>
      </w:r>
      <w:r>
        <w:rPr>
          <w:rFonts w:eastAsia="黑体" w:cs="楷体" w:ascii="SimHei" w:hAnsi="SimHei"/>
          <w:sz w:val="24"/>
        </w:rPr>
        <w:t>XX</w:t>
      </w:r>
      <w:r>
        <w:rPr>
          <w:rFonts w:ascii="SimHei" w:hAnsi="SimHei" w:cs="楷体" w:eastAsia="黑体"/>
          <w:sz w:val="24"/>
        </w:rPr>
        <w:t>系统定义：</w:t>
      </w:r>
      <w:r>
        <w:rPr>
          <w:rFonts w:eastAsia="黑体" w:cs="楷体" w:ascii="SimHei" w:hAnsi="SimHei"/>
          <w:sz w:val="24"/>
        </w:rPr>
        <w:t>XX</w:t>
      </w:r>
      <w:r>
        <w:rPr>
          <w:rFonts w:ascii="SimHei" w:hAnsi="SimHei" w:cs="楷体" w:eastAsia="黑体"/>
          <w:sz w:val="24"/>
        </w:rPr>
        <w:t>集团所属公司及企业。</w:t>
      </w:r>
    </w:p>
    <w:p>
      <w:pPr>
        <w:pStyle w:val="Heading4"/>
        <w:numPr>
          <w:ilvl w:val="2"/>
          <w:numId w:val="2"/>
        </w:numPr>
        <w:spacing w:lineRule="auto" w:line="360" w:before="0" w:after="0"/>
        <w:ind w:start="0" w:firstLine="482"/>
        <w:rPr>
          <w:rFonts w:ascii="楷体" w:hAnsi="楷体" w:eastAsia="楷体" w:cs="楷体"/>
          <w:szCs w:val="24"/>
        </w:rPr>
      </w:pPr>
      <w:bookmarkStart w:id="26" w:name="__RefHeading___Toc30302491"/>
      <w:bookmarkEnd w:id="26"/>
      <w:r>
        <w:rPr>
          <w:rFonts w:ascii="SimHei" w:hAnsi="SimHei" w:cs="楷体" w:eastAsia="黑体"/>
          <w:szCs w:val="24"/>
        </w:rPr>
        <w:t>可变工资</w:t>
      </w:r>
    </w:p>
    <w:p>
      <w:pPr>
        <w:pStyle w:val="TextBodyIndent"/>
        <w:spacing w:lineRule="auto" w:line="360"/>
        <w:ind w:firstLine="480"/>
        <w:rPr>
          <w:rFonts w:ascii="楷体" w:hAnsi="楷体" w:eastAsia="楷体" w:cs="楷体"/>
          <w:sz w:val="24"/>
        </w:rPr>
      </w:pPr>
      <w:r>
        <w:rPr>
          <w:rFonts w:ascii="SimHei" w:hAnsi="SimHei" w:cs="楷体" w:eastAsia="黑体"/>
          <w:sz w:val="24"/>
        </w:rPr>
        <w:t>可变工资是</w:t>
      </w:r>
      <w:r>
        <w:rPr>
          <w:rFonts w:eastAsia="黑体" w:cs="楷体" w:ascii="SimHei" w:hAnsi="SimHei"/>
          <w:sz w:val="24"/>
        </w:rPr>
        <w:t>XX</w:t>
      </w:r>
      <w:r>
        <w:rPr>
          <w:rFonts w:ascii="SimHei" w:hAnsi="SimHei" w:cs="楷体" w:eastAsia="黑体"/>
          <w:sz w:val="24"/>
        </w:rPr>
        <w:t>员工所承担的有一定风险的收入，主要包括：绩效工资、年度奖金。</w:t>
      </w:r>
    </w:p>
    <w:p>
      <w:pPr>
        <w:pStyle w:val="Heading5"/>
        <w:numPr>
          <w:ilvl w:val="0"/>
          <w:numId w:val="20"/>
        </w:numPr>
        <w:spacing w:lineRule="auto" w:line="360" w:before="0" w:after="0"/>
        <w:ind w:start="0" w:firstLine="482"/>
        <w:rPr>
          <w:rFonts w:ascii="楷体" w:hAnsi="楷体" w:eastAsia="楷体" w:cs="楷体"/>
          <w:szCs w:val="24"/>
        </w:rPr>
      </w:pPr>
      <w:r>
        <w:rPr>
          <w:rFonts w:ascii="SimHei" w:hAnsi="SimHei" w:cs="楷体" w:eastAsia="黑体"/>
          <w:szCs w:val="24"/>
        </w:rPr>
        <w:t>绩效工资</w:t>
      </w:r>
    </w:p>
    <w:p>
      <w:pPr>
        <w:pStyle w:val="TextBodyIndent"/>
        <w:spacing w:lineRule="auto" w:line="360"/>
        <w:ind w:firstLine="480"/>
        <w:rPr>
          <w:rFonts w:ascii="楷体" w:hAnsi="楷体" w:eastAsia="楷体" w:cs="楷体"/>
          <w:sz w:val="24"/>
        </w:rPr>
      </w:pPr>
      <w:r>
        <w:rPr>
          <w:rFonts w:ascii="SimHei" w:hAnsi="SimHei" w:cs="楷体" w:eastAsia="黑体"/>
          <w:sz w:val="24"/>
        </w:rPr>
        <w:t>绩效工资是为引导员工工作行为、激励员工不断进取、挑战自我而设立的风险收入。根据考核结果针对不同员工按季度、半年度、年度发放的工资。</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年度奖金</w:t>
      </w:r>
    </w:p>
    <w:p>
      <w:pPr>
        <w:pStyle w:val="TextBodyIndent"/>
        <w:spacing w:lineRule="auto" w:line="360"/>
        <w:ind w:firstLine="480"/>
        <w:rPr>
          <w:rFonts w:ascii="楷体" w:hAnsi="楷体" w:eastAsia="楷体" w:cs="楷体"/>
          <w:sz w:val="24"/>
        </w:rPr>
      </w:pPr>
      <w:r>
        <w:rPr>
          <w:rFonts w:ascii="SimHei" w:hAnsi="SimHei" w:cs="楷体" w:eastAsia="黑体"/>
          <w:sz w:val="24"/>
        </w:rPr>
        <w:t>年度奖金，是对公司发展及效益增长做出重要贡献的部分员工发放的工资。年度奖金不同于其他工资部分，主要由公司重要管理人员参与分配。</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w:t>
      </w:r>
      <w:r>
        <w:rPr>
          <w:rFonts w:eastAsia="黑体" w:cs="楷体" w:ascii="SimHei" w:hAnsi="SimHei"/>
          <w:sz w:val="24"/>
          <w:szCs w:val="24"/>
        </w:rPr>
        <w:t>XX</w:t>
      </w:r>
      <w:r>
        <w:rPr>
          <w:rFonts w:ascii="SimHei" w:hAnsi="SimHei" w:cs="楷体" w:eastAsia="黑体"/>
          <w:sz w:val="24"/>
          <w:szCs w:val="24"/>
        </w:rPr>
        <w:t>职员薪酬构成</w:t>
      </w:r>
    </w:p>
    <w:tbl>
      <w:tblPr>
        <w:tblW w:w="8460" w:type="dxa"/>
        <w:jc w:val="center"/>
        <w:tblInd w:w="0" w:type="dxa"/>
        <w:tblLayout w:type="fixed"/>
        <w:tblCellMar>
          <w:top w:w="0" w:type="dxa"/>
          <w:start w:w="108" w:type="dxa"/>
          <w:bottom w:w="0" w:type="dxa"/>
          <w:end w:w="108" w:type="dxa"/>
        </w:tblCellMar>
      </w:tblPr>
      <w:tblGrid>
        <w:gridCol w:w="3240"/>
        <w:gridCol w:w="1080"/>
        <w:gridCol w:w="1260"/>
        <w:gridCol w:w="1440"/>
        <w:gridCol w:w="1440"/>
      </w:tblGrid>
      <w:tr>
        <w:trPr>
          <w:cantSplit w:val="true"/>
        </w:trPr>
        <w:tc>
          <w:tcPr>
            <w:tcW w:w="3240" w:type="dxa"/>
            <w:vMerge w:val="restart"/>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职位类别</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固定工资</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可变工资</w:t>
            </w:r>
          </w:p>
        </w:tc>
      </w:tr>
      <w:tr>
        <w:trPr>
          <w:cantSplit w:val="true"/>
        </w:trPr>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Style12"/>
              <w:snapToGrid w:val="false"/>
              <w:spacing w:lineRule="auto" w:line="360"/>
              <w:rPr>
                <w:rFonts w:ascii="楷体" w:hAnsi="楷体" w:eastAsia="楷体" w:cs="楷体"/>
                <w:sz w:val="24"/>
                <w:szCs w:val="24"/>
              </w:rPr>
            </w:pPr>
            <w:r>
              <w:rPr>
                <w:rFonts w:eastAsia="楷体" w:cs="楷体" w:ascii="楷体" w:hAnsi="楷体"/>
                <w:sz w:val="24"/>
                <w:szCs w:val="24"/>
              </w:rPr>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基本工资</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年功工资</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绩效工资</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年度奖金</w:t>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公司领导（总经理、副总、助总）</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部门领导（总经理）</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部门领导（副总、助总）</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napToGrid w:val="false"/>
              <w:spacing w:lineRule="auto" w:line="360"/>
              <w:rPr>
                <w:rFonts w:ascii="楷体" w:hAnsi="楷体" w:eastAsia="楷体" w:cs="楷体"/>
                <w:sz w:val="24"/>
                <w:szCs w:val="24"/>
              </w:rPr>
            </w:pPr>
            <w:r>
              <w:rPr>
                <w:rFonts w:eastAsia="黑体" w:cs="楷体" w:ascii="SimHei" w:hAnsi="SimHei"/>
                <w:sz w:val="24"/>
                <w:szCs w:val="24"/>
              </w:rPr>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专业人员</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napToGrid w:val="false"/>
              <w:spacing w:lineRule="auto" w:line="360"/>
              <w:rPr>
                <w:rFonts w:ascii="楷体" w:hAnsi="楷体" w:eastAsia="楷体" w:cs="楷体"/>
                <w:sz w:val="24"/>
                <w:szCs w:val="24"/>
              </w:rPr>
            </w:pPr>
            <w:r>
              <w:rPr>
                <w:rFonts w:eastAsia="黑体" w:cs="楷体" w:ascii="SimHei" w:hAnsi="SimHei"/>
                <w:sz w:val="24"/>
                <w:szCs w:val="24"/>
              </w:rPr>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部门主管</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napToGrid w:val="false"/>
              <w:spacing w:lineRule="auto" w:line="360"/>
              <w:rPr>
                <w:rFonts w:ascii="楷体" w:hAnsi="楷体" w:eastAsia="楷体" w:cs="楷体"/>
                <w:sz w:val="24"/>
                <w:szCs w:val="24"/>
              </w:rPr>
            </w:pPr>
            <w:r>
              <w:rPr>
                <w:rFonts w:eastAsia="黑体" w:cs="楷体" w:ascii="SimHei" w:hAnsi="SimHei"/>
                <w:sz w:val="24"/>
                <w:szCs w:val="24"/>
              </w:rPr>
            </w:r>
          </w:p>
        </w:tc>
      </w:tr>
      <w:tr>
        <w:trPr/>
        <w:tc>
          <w:tcPr>
            <w:tcW w:w="32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一般职员</w:t>
            </w:r>
          </w:p>
        </w:tc>
        <w:tc>
          <w:tcPr>
            <w:tcW w:w="108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26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w:t>
            </w:r>
          </w:p>
        </w:tc>
        <w:tc>
          <w:tcPr>
            <w:tcW w:w="1440" w:type="dxa"/>
            <w:tcBorders>
              <w:top w:val="single" w:sz="4" w:space="0" w:color="000000"/>
              <w:start w:val="single" w:sz="4" w:space="0" w:color="000000"/>
              <w:bottom w:val="single" w:sz="4" w:space="0" w:color="000000"/>
              <w:end w:val="single" w:sz="4" w:space="0" w:color="000000"/>
            </w:tcBorders>
          </w:tcPr>
          <w:p>
            <w:pPr>
              <w:pStyle w:val="Style12"/>
              <w:snapToGrid w:val="false"/>
              <w:spacing w:lineRule="auto" w:line="360"/>
              <w:rPr>
                <w:rFonts w:ascii="楷体" w:hAnsi="楷体" w:eastAsia="楷体" w:cs="楷体"/>
                <w:sz w:val="24"/>
                <w:szCs w:val="24"/>
              </w:rPr>
            </w:pPr>
            <w:r>
              <w:rPr>
                <w:rFonts w:eastAsia="黑体" w:cs="楷体" w:ascii="SimHei" w:hAnsi="SimHei"/>
                <w:sz w:val="24"/>
                <w:szCs w:val="24"/>
              </w:rPr>
            </w:r>
          </w:p>
        </w:tc>
      </w:tr>
    </w:tbl>
    <w:p>
      <w:pPr>
        <w:pStyle w:val="TextBodyIndent"/>
        <w:spacing w:lineRule="auto" w:line="360"/>
        <w:ind w:firstLine="480"/>
        <w:rPr>
          <w:rFonts w:ascii="楷体" w:hAnsi="楷体" w:eastAsia="楷体" w:cs="楷体"/>
          <w:sz w:val="24"/>
        </w:rPr>
      </w:pPr>
      <w:r>
        <w:rPr>
          <w:rFonts w:ascii="SimHei" w:hAnsi="SimHei" w:cs="楷体" w:eastAsia="黑体"/>
          <w:sz w:val="24"/>
        </w:rPr>
        <w:t>附注：年度奖金参与分配具体人员情况在年度奖金标准部分详细说明</w:t>
      </w:r>
    </w:p>
    <w:p>
      <w:pPr>
        <w:pStyle w:val="Heading3"/>
        <w:numPr>
          <w:ilvl w:val="1"/>
          <w:numId w:val="2"/>
        </w:numPr>
        <w:spacing w:lineRule="auto" w:line="360" w:before="0" w:after="0"/>
        <w:ind w:start="0" w:firstLine="482"/>
        <w:rPr>
          <w:rFonts w:ascii="楷体" w:hAnsi="楷体" w:eastAsia="楷体" w:cs="楷体"/>
          <w:szCs w:val="24"/>
        </w:rPr>
      </w:pPr>
      <w:bookmarkStart w:id="27" w:name="__RefHeading___Toc30302492"/>
      <w:bookmarkEnd w:id="27"/>
      <w:r>
        <w:rPr>
          <w:rFonts w:ascii="SimHei" w:hAnsi="SimHei" w:cs="楷体" w:eastAsia="黑体"/>
          <w:szCs w:val="24"/>
        </w:rPr>
        <w:t>制订薪酬标准</w:t>
      </w:r>
    </w:p>
    <w:p>
      <w:pPr>
        <w:pStyle w:val="Heading4"/>
        <w:numPr>
          <w:ilvl w:val="2"/>
          <w:numId w:val="2"/>
        </w:numPr>
        <w:spacing w:lineRule="auto" w:line="360" w:before="0" w:after="0"/>
        <w:ind w:start="0" w:firstLine="482"/>
        <w:rPr>
          <w:rFonts w:ascii="楷体" w:hAnsi="楷体" w:eastAsia="楷体" w:cs="楷体"/>
          <w:szCs w:val="24"/>
        </w:rPr>
      </w:pPr>
      <w:bookmarkStart w:id="28" w:name="__RefHeading___Toc30302493"/>
      <w:bookmarkEnd w:id="28"/>
      <w:r>
        <w:rPr>
          <w:rFonts w:ascii="SimHei" w:hAnsi="SimHei" w:cs="楷体" w:eastAsia="黑体"/>
          <w:szCs w:val="24"/>
        </w:rPr>
        <w:t>确定薪酬标准的原则</w:t>
      </w:r>
    </w:p>
    <w:p>
      <w:pPr>
        <w:pStyle w:val="Heading5"/>
        <w:numPr>
          <w:ilvl w:val="0"/>
          <w:numId w:val="21"/>
        </w:numPr>
        <w:spacing w:lineRule="auto" w:line="360" w:before="0" w:after="0"/>
        <w:ind w:start="0" w:firstLine="482"/>
        <w:rPr>
          <w:rFonts w:ascii="楷体" w:hAnsi="楷体" w:eastAsia="楷体" w:cs="楷体"/>
          <w:szCs w:val="24"/>
        </w:rPr>
      </w:pPr>
      <w:r>
        <w:rPr>
          <w:rFonts w:ascii="SimHei" w:hAnsi="SimHei" w:cs="楷体" w:eastAsia="黑体"/>
          <w:szCs w:val="24"/>
        </w:rPr>
        <w:t>外部公平原则</w:t>
      </w:r>
    </w:p>
    <w:p>
      <w:pPr>
        <w:pStyle w:val="TextBodyIndent"/>
        <w:spacing w:lineRule="auto" w:line="360"/>
        <w:ind w:firstLine="480"/>
        <w:rPr>
          <w:rFonts w:ascii="楷体" w:hAnsi="楷体" w:eastAsia="楷体" w:cs="楷体"/>
          <w:sz w:val="24"/>
        </w:rPr>
      </w:pPr>
      <w:r>
        <w:rPr>
          <w:rFonts w:ascii="SimHei" w:hAnsi="SimHei" w:cs="楷体" w:eastAsia="黑体"/>
          <w:sz w:val="24"/>
        </w:rPr>
        <w:t>外部公平原则是指同一职位的薪酬标准与相同行业或者区域的其他企业相比要体现企业的薪酬政策。</w:t>
      </w:r>
      <w:r>
        <w:rPr>
          <w:rFonts w:eastAsia="黑体" w:cs="楷体" w:ascii="SimHei" w:hAnsi="SimHei"/>
          <w:sz w:val="24"/>
        </w:rPr>
        <w:t>XX</w:t>
      </w:r>
      <w:r>
        <w:rPr>
          <w:rFonts w:ascii="SimHei" w:hAnsi="SimHei" w:cs="楷体" w:eastAsia="黑体"/>
          <w:sz w:val="24"/>
        </w:rPr>
        <w:t>地产薪酬管理的外部公平原则是保证企业的薪酬标准对外部人才产生应有的吸引力。</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内部公平原则</w:t>
      </w:r>
    </w:p>
    <w:p>
      <w:pPr>
        <w:pStyle w:val="TextBodyIndent"/>
        <w:spacing w:lineRule="auto" w:line="360"/>
        <w:ind w:firstLine="480"/>
        <w:rPr>
          <w:rFonts w:ascii="楷体" w:hAnsi="楷体" w:eastAsia="楷体" w:cs="楷体"/>
          <w:sz w:val="24"/>
        </w:rPr>
      </w:pPr>
      <w:r>
        <w:rPr>
          <w:rFonts w:ascii="SimHei" w:hAnsi="SimHei" w:cs="楷体" w:eastAsia="黑体"/>
          <w:sz w:val="24"/>
        </w:rPr>
        <w:t>内部公平是指实现企业内部不同的职员的薪酬标准与其职位价值和技能价值相匹配，实施内部公平原则是通过实现内部薪酬相对公平来提高职员的满意度。</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收入风险系数与岗位责任匹配的原则</w:t>
      </w:r>
    </w:p>
    <w:p>
      <w:pPr>
        <w:pStyle w:val="TextBodyIndent"/>
        <w:spacing w:lineRule="auto" w:line="360"/>
        <w:ind w:firstLine="480"/>
        <w:rPr>
          <w:rFonts w:ascii="楷体" w:hAnsi="楷体" w:eastAsia="楷体" w:cs="楷体"/>
          <w:sz w:val="24"/>
        </w:rPr>
      </w:pPr>
      <w:r>
        <w:rPr>
          <w:rFonts w:ascii="SimHei" w:hAnsi="SimHei" w:cs="楷体" w:eastAsia="黑体"/>
          <w:sz w:val="24"/>
        </w:rPr>
        <w:t>收入风险系数</w:t>
      </w:r>
      <w:r>
        <w:rPr>
          <w:rFonts w:eastAsia="黑体" w:cs="楷体" w:ascii="SimHei" w:hAnsi="SimHei"/>
          <w:sz w:val="24"/>
        </w:rPr>
        <w:t>=</w:t>
      </w:r>
      <w:r>
        <w:rPr>
          <w:rFonts w:ascii="SimHei" w:hAnsi="SimHei" w:cs="楷体" w:eastAsia="黑体"/>
          <w:sz w:val="24"/>
        </w:rPr>
        <w:t>绩效工资</w:t>
      </w:r>
      <w:r>
        <w:rPr>
          <w:rFonts w:eastAsia="黑体" w:cs="楷体" w:ascii="SimHei" w:hAnsi="SimHei"/>
          <w:sz w:val="24"/>
        </w:rPr>
        <w:t>/</w:t>
      </w:r>
      <w:r>
        <w:rPr>
          <w:rFonts w:ascii="SimHei" w:hAnsi="SimHei" w:cs="楷体" w:eastAsia="黑体"/>
          <w:sz w:val="24"/>
        </w:rPr>
        <w:t>基准工资</w:t>
      </w:r>
    </w:p>
    <w:p>
      <w:pPr>
        <w:pStyle w:val="TextBodyIndent"/>
        <w:spacing w:lineRule="auto" w:line="360"/>
        <w:ind w:firstLine="480"/>
        <w:rPr>
          <w:rFonts w:ascii="楷体" w:hAnsi="楷体" w:eastAsia="楷体" w:cs="楷体"/>
          <w:sz w:val="24"/>
        </w:rPr>
      </w:pPr>
      <w:r>
        <w:rPr>
          <w:rFonts w:ascii="SimHei" w:hAnsi="SimHei" w:cs="楷体" w:eastAsia="黑体"/>
          <w:sz w:val="24"/>
        </w:rPr>
        <w:t>基准工资的比例构成（风险系数）同员工级别相关，依照行政级别越高承担风险及责任程度相应越高的原则，结合调查问卷中所显示</w:t>
      </w:r>
      <w:r>
        <w:rPr>
          <w:rFonts w:eastAsia="黑体" w:cs="楷体" w:ascii="SimHei" w:hAnsi="SimHei"/>
          <w:sz w:val="24"/>
        </w:rPr>
        <w:t>XX</w:t>
      </w:r>
      <w:r>
        <w:rPr>
          <w:rFonts w:ascii="SimHei" w:hAnsi="SimHei" w:cs="楷体" w:eastAsia="黑体"/>
          <w:sz w:val="24"/>
        </w:rPr>
        <w:t>员工风险承受水平（</w:t>
      </w:r>
      <w:r>
        <w:rPr>
          <w:rFonts w:eastAsia="黑体" w:cs="楷体" w:ascii="SimHei" w:hAnsi="SimHei"/>
          <w:sz w:val="24"/>
        </w:rPr>
        <w:t>20%-50%</w:t>
      </w:r>
      <w:r>
        <w:rPr>
          <w:rFonts w:ascii="SimHei" w:hAnsi="SimHei" w:cs="楷体" w:eastAsia="黑体"/>
          <w:sz w:val="24"/>
        </w:rPr>
        <w:t>）分成</w:t>
      </w:r>
      <w:r>
        <w:rPr>
          <w:rFonts w:eastAsia="黑体" w:cs="楷体" w:ascii="SimHei" w:hAnsi="SimHei"/>
          <w:sz w:val="24"/>
        </w:rPr>
        <w:t>4</w:t>
      </w:r>
      <w:r>
        <w:rPr>
          <w:rFonts w:ascii="SimHei" w:hAnsi="SimHei" w:cs="楷体" w:eastAsia="黑体"/>
          <w:sz w:val="24"/>
        </w:rPr>
        <w:t>类。且风险收入系数与级别成正比</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 xml:space="preserve">2 </w:t>
      </w:r>
      <w:r>
        <w:rPr>
          <w:rFonts w:ascii="SimHei" w:hAnsi="SimHei" w:cs="楷体" w:eastAsia="黑体"/>
          <w:sz w:val="24"/>
          <w:szCs w:val="24"/>
        </w:rPr>
        <w:t>基准工资构成比例</w:t>
      </w:r>
    </w:p>
    <w:tbl>
      <w:tblPr>
        <w:tblW w:w="8177" w:type="dxa"/>
        <w:jc w:val="center"/>
        <w:tblInd w:w="0" w:type="dxa"/>
        <w:tblLayout w:type="fixed"/>
        <w:tblCellMar>
          <w:top w:w="0" w:type="dxa"/>
          <w:start w:w="108" w:type="dxa"/>
          <w:bottom w:w="0" w:type="dxa"/>
          <w:end w:w="108" w:type="dxa"/>
        </w:tblCellMar>
      </w:tblPr>
      <w:tblGrid>
        <w:gridCol w:w="2691"/>
        <w:gridCol w:w="2840"/>
        <w:gridCol w:w="2646"/>
      </w:tblGrid>
      <w:tr>
        <w:trPr/>
        <w:tc>
          <w:tcPr>
            <w:tcW w:w="2691"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职级</w:t>
            </w:r>
          </w:p>
        </w:tc>
        <w:tc>
          <w:tcPr>
            <w:tcW w:w="28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收入风险系数</w:t>
            </w:r>
          </w:p>
        </w:tc>
        <w:tc>
          <w:tcPr>
            <w:tcW w:w="2646"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w:t>
            </w:r>
            <w:r>
              <w:rPr>
                <w:rFonts w:ascii="SimHei" w:hAnsi="SimHei" w:cs="楷体" w:eastAsia="黑体"/>
                <w:sz w:val="24"/>
                <w:szCs w:val="24"/>
              </w:rPr>
              <w:t>－收入风险系数</w:t>
            </w:r>
          </w:p>
        </w:tc>
      </w:tr>
      <w:tr>
        <w:trPr/>
        <w:tc>
          <w:tcPr>
            <w:tcW w:w="2691"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总部领导</w:t>
            </w:r>
          </w:p>
        </w:tc>
        <w:tc>
          <w:tcPr>
            <w:tcW w:w="28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50%</w:t>
            </w:r>
          </w:p>
        </w:tc>
        <w:tc>
          <w:tcPr>
            <w:tcW w:w="2646"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50%</w:t>
            </w:r>
          </w:p>
        </w:tc>
      </w:tr>
      <w:tr>
        <w:trPr/>
        <w:tc>
          <w:tcPr>
            <w:tcW w:w="2691"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总部部门领导</w:t>
            </w:r>
          </w:p>
        </w:tc>
        <w:tc>
          <w:tcPr>
            <w:tcW w:w="28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40%</w:t>
            </w:r>
          </w:p>
        </w:tc>
        <w:tc>
          <w:tcPr>
            <w:tcW w:w="2646"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60%</w:t>
            </w:r>
          </w:p>
        </w:tc>
      </w:tr>
      <w:tr>
        <w:trPr/>
        <w:tc>
          <w:tcPr>
            <w:tcW w:w="2691"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业务主管</w:t>
            </w:r>
          </w:p>
        </w:tc>
        <w:tc>
          <w:tcPr>
            <w:tcW w:w="28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30%</w:t>
            </w:r>
          </w:p>
        </w:tc>
        <w:tc>
          <w:tcPr>
            <w:tcW w:w="2646"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70%</w:t>
            </w:r>
          </w:p>
        </w:tc>
      </w:tr>
      <w:tr>
        <w:trPr/>
        <w:tc>
          <w:tcPr>
            <w:tcW w:w="2691"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员工</w:t>
            </w:r>
          </w:p>
        </w:tc>
        <w:tc>
          <w:tcPr>
            <w:tcW w:w="284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20%</w:t>
            </w:r>
          </w:p>
        </w:tc>
        <w:tc>
          <w:tcPr>
            <w:tcW w:w="2646"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80%</w:t>
            </w:r>
          </w:p>
        </w:tc>
      </w:tr>
    </w:tbl>
    <w:p>
      <w:pPr>
        <w:pStyle w:val="Heading4"/>
        <w:numPr>
          <w:ilvl w:val="2"/>
          <w:numId w:val="2"/>
        </w:numPr>
        <w:spacing w:lineRule="auto" w:line="360" w:before="0" w:after="0"/>
        <w:ind w:start="0" w:firstLine="482"/>
        <w:rPr>
          <w:rFonts w:ascii="楷体" w:hAnsi="楷体" w:eastAsia="楷体" w:cs="楷体"/>
          <w:szCs w:val="24"/>
        </w:rPr>
      </w:pPr>
      <w:bookmarkStart w:id="29" w:name="__RefHeading___Toc30302494"/>
      <w:bookmarkEnd w:id="29"/>
      <w:r>
        <w:rPr>
          <w:rFonts w:ascii="SimHei" w:hAnsi="SimHei" w:cs="楷体" w:eastAsia="黑体"/>
          <w:szCs w:val="24"/>
        </w:rPr>
        <w:t>基准工资标准确定</w:t>
      </w:r>
    </w:p>
    <w:p>
      <w:pPr>
        <w:pStyle w:val="TextBodyIndent"/>
        <w:spacing w:lineRule="auto" w:line="360"/>
        <w:ind w:firstLine="480"/>
        <w:rPr>
          <w:rFonts w:ascii="楷体" w:hAnsi="楷体" w:eastAsia="楷体" w:cs="楷体"/>
          <w:sz w:val="24"/>
        </w:rPr>
      </w:pPr>
      <w:r>
        <w:rPr>
          <w:rFonts w:ascii="SimHei" w:hAnsi="SimHei" w:cs="楷体" w:eastAsia="黑体"/>
          <w:sz w:val="24"/>
        </w:rPr>
        <w:t>基准工资是员工岗位价值的体现，基准工资由基本工资和绩效工资构成。</w:t>
      </w:r>
    </w:p>
    <w:p>
      <w:pPr>
        <w:pStyle w:val="Heading5"/>
        <w:numPr>
          <w:ilvl w:val="0"/>
          <w:numId w:val="22"/>
        </w:numPr>
        <w:spacing w:lineRule="auto" w:line="360" w:before="0" w:after="0"/>
        <w:ind w:start="0" w:firstLine="482"/>
        <w:rPr>
          <w:rFonts w:ascii="楷体" w:hAnsi="楷体" w:eastAsia="楷体" w:cs="楷体"/>
          <w:szCs w:val="24"/>
        </w:rPr>
      </w:pPr>
      <w:r>
        <w:rPr>
          <w:rFonts w:ascii="SimHei" w:hAnsi="SimHei" w:cs="楷体" w:eastAsia="黑体"/>
          <w:szCs w:val="24"/>
        </w:rPr>
        <w:t>确定岗位价值</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）岗位价值评估的方法：计点职务分析法</w:t>
      </w:r>
    </w:p>
    <w:p>
      <w:pPr>
        <w:pStyle w:val="TextBodyIndent"/>
        <w:spacing w:lineRule="auto" w:line="360"/>
        <w:ind w:firstLine="480"/>
        <w:rPr>
          <w:rFonts w:ascii="楷体" w:hAnsi="楷体" w:eastAsia="楷体" w:cs="楷体"/>
          <w:sz w:val="24"/>
        </w:rPr>
      </w:pPr>
      <w:r>
        <w:rPr>
          <w:rFonts w:ascii="SimHei" w:hAnsi="SimHei" w:cs="楷体" w:eastAsia="黑体"/>
          <w:sz w:val="24"/>
        </w:rPr>
        <w:t>计点职务评价目的：通过对</w:t>
      </w:r>
      <w:r>
        <w:rPr>
          <w:rFonts w:eastAsia="黑体" w:cs="楷体" w:ascii="SimHei" w:hAnsi="SimHei"/>
          <w:sz w:val="24"/>
        </w:rPr>
        <w:t>XX</w:t>
      </w:r>
      <w:r>
        <w:rPr>
          <w:rFonts w:ascii="SimHei" w:hAnsi="SimHei" w:cs="楷体" w:eastAsia="黑体"/>
          <w:sz w:val="24"/>
        </w:rPr>
        <w:t>职务的量化分析，确定公司员工对公司的相对贡献，为人力资源管理提供量化依据。</w:t>
      </w:r>
    </w:p>
    <w:p>
      <w:pPr>
        <w:pStyle w:val="TextBodyIndent"/>
        <w:spacing w:lineRule="auto" w:line="360"/>
        <w:ind w:firstLine="480"/>
        <w:rPr>
          <w:rFonts w:ascii="楷体" w:hAnsi="楷体" w:eastAsia="楷体" w:cs="楷体"/>
          <w:sz w:val="24"/>
        </w:rPr>
      </w:pPr>
      <w:r>
        <w:rPr>
          <w:rFonts w:ascii="SimHei" w:hAnsi="SimHei" w:cs="楷体" w:eastAsia="黑体"/>
          <w:sz w:val="24"/>
        </w:rPr>
        <w:t>计点职务评价方法的评分结构：依据三种评价因素：知识技能、解决问题能力及职务所承担的责任，将职务进行量化分解</w:t>
      </w:r>
    </w:p>
    <w:p>
      <w:pPr>
        <w:pStyle w:val="TextBodyIndent"/>
        <w:spacing w:lineRule="auto" w:line="360"/>
        <w:ind w:firstLine="480"/>
        <w:rPr>
          <w:rFonts w:ascii="楷体" w:hAnsi="楷体" w:eastAsia="楷体" w:cs="楷体"/>
          <w:sz w:val="24"/>
        </w:rPr>
      </w:pPr>
      <w:r>
        <w:rPr>
          <w:rFonts w:ascii="SimHei" w:hAnsi="SimHei" w:cs="楷体" w:eastAsia="黑体"/>
          <w:sz w:val="24"/>
        </w:rPr>
        <w:t>最后根据各职务的特点赋予不同的权重计算出加权总分，即为该职务对公司的贡献分值。</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）计点职务评价方法的主要内容</w:t>
      </w:r>
    </w:p>
    <w:p>
      <w:pPr>
        <w:pStyle w:val="TextBodyIndent"/>
        <w:spacing w:lineRule="auto" w:line="360"/>
        <w:ind w:firstLine="480"/>
        <w:rPr>
          <w:rFonts w:ascii="楷体" w:hAnsi="楷体" w:eastAsia="楷体" w:cs="楷体"/>
          <w:sz w:val="24"/>
        </w:rPr>
      </w:pPr>
      <w:r>
        <w:rPr>
          <w:rFonts w:ascii="SimHei" w:hAnsi="SimHei" w:cs="楷体" w:eastAsia="黑体"/>
          <w:sz w:val="24"/>
        </w:rPr>
        <w:t>知识技能：知识技能是指使工作绩效达到可接受水平所必需的专门业务知识及相应的实际运作技能总和，这些知识和技能可以是技术性的、专业性的或行政管理性的。包括以下三个衡量因素：</w:t>
      </w:r>
    </w:p>
    <w:p>
      <w:pPr>
        <w:pStyle w:val="TextBodyIndent"/>
        <w:spacing w:lineRule="auto" w:line="360"/>
        <w:ind w:firstLine="480"/>
        <w:rPr>
          <w:rFonts w:ascii="楷体" w:hAnsi="楷体" w:eastAsia="楷体" w:cs="楷体"/>
          <w:sz w:val="24"/>
        </w:rPr>
      </w:pPr>
      <w:r>
        <w:rPr>
          <w:rFonts w:ascii="SimHei" w:hAnsi="SimHei" w:cs="楷体" w:eastAsia="黑体"/>
          <w:sz w:val="24"/>
        </w:rPr>
        <w:t>管理技巧：为达到要求绩效水平而具备的计划、执行、控制及评价的能力与技巧。</w:t>
      </w:r>
    </w:p>
    <w:p>
      <w:pPr>
        <w:pStyle w:val="TextBodyIndent"/>
        <w:spacing w:lineRule="auto" w:line="360"/>
        <w:ind w:firstLine="480"/>
        <w:rPr>
          <w:rFonts w:ascii="楷体" w:hAnsi="楷体" w:eastAsia="楷体" w:cs="楷体"/>
          <w:sz w:val="24"/>
        </w:rPr>
      </w:pPr>
      <w:r>
        <w:rPr>
          <w:rFonts w:ascii="SimHei" w:hAnsi="SimHei" w:cs="楷体" w:eastAsia="黑体"/>
          <w:sz w:val="24"/>
        </w:rPr>
        <w:t>沟通交往能力：该职务所需要的激励沟通，协调、培养、关系处理等方面人际交往技巧及沟通能力。</w:t>
      </w:r>
    </w:p>
    <w:p>
      <w:pPr>
        <w:pStyle w:val="TextBodyIndent"/>
        <w:spacing w:lineRule="auto" w:line="360"/>
        <w:ind w:firstLine="480"/>
        <w:rPr>
          <w:rFonts w:ascii="楷体" w:hAnsi="楷体" w:eastAsia="楷体" w:cs="楷体"/>
          <w:sz w:val="24"/>
        </w:rPr>
      </w:pPr>
      <w:r>
        <w:rPr>
          <w:rFonts w:ascii="SimHei" w:hAnsi="SimHei" w:cs="楷体" w:eastAsia="黑体"/>
          <w:sz w:val="24"/>
        </w:rPr>
        <w:t>对该职务要求从事的职业领域的理论、实际方法与专门知识的了解，从仅要求职业学校教育到精通某一专业共分为</w:t>
      </w:r>
      <w:r>
        <w:rPr>
          <w:rFonts w:eastAsia="黑体" w:cs="楷体" w:ascii="SimHei" w:hAnsi="SimHei"/>
          <w:sz w:val="24"/>
        </w:rPr>
        <w:t>8</w:t>
      </w:r>
      <w:r>
        <w:rPr>
          <w:rFonts w:ascii="SimHei" w:hAnsi="SimHei" w:cs="楷体" w:eastAsia="黑体"/>
          <w:sz w:val="24"/>
        </w:rPr>
        <w:t>级，这些专业知识包括技术性的、专业性的或行政管理性的。</w:t>
      </w:r>
    </w:p>
    <w:p>
      <w:pPr>
        <w:pStyle w:val="TextBodyIndent"/>
        <w:spacing w:lineRule="auto" w:line="360"/>
        <w:ind w:firstLine="480"/>
        <w:rPr>
          <w:rFonts w:ascii="楷体" w:hAnsi="楷体" w:eastAsia="楷体" w:cs="楷体"/>
          <w:sz w:val="24"/>
        </w:rPr>
      </w:pPr>
      <w:r>
        <w:rPr>
          <w:rFonts w:ascii="SimHei" w:hAnsi="SimHei" w:cs="楷体" w:eastAsia="黑体"/>
          <w:sz w:val="24"/>
        </w:rPr>
        <w:t>解决问题的能力：任何职务在工作中总要在一定程度上涉及解决问题的过程。典型的过程包括考察和发现问题，分清问题的主次轻重，诊断问题产生的原因，针对性的拟定出若干备选对策，在权衡与评价这些对策各自利弊的基础上作出决策，然后付诸实施等环节。包括以下两个衡量因素：</w:t>
      </w:r>
    </w:p>
    <w:p>
      <w:pPr>
        <w:pStyle w:val="TextBodyIndent"/>
        <w:spacing w:lineRule="auto" w:line="360"/>
        <w:ind w:firstLine="480"/>
        <w:rPr>
          <w:rFonts w:ascii="楷体" w:hAnsi="楷体" w:eastAsia="楷体" w:cs="楷体"/>
          <w:sz w:val="24"/>
        </w:rPr>
      </w:pPr>
      <w:r>
        <w:rPr>
          <w:rFonts w:ascii="SimHei" w:hAnsi="SimHei" w:cs="楷体" w:eastAsia="黑体"/>
          <w:sz w:val="24"/>
        </w:rPr>
        <w:t>思维环境：职务所处环境对担任职务人员的思维所设的限制</w:t>
      </w:r>
    </w:p>
    <w:p>
      <w:pPr>
        <w:pStyle w:val="TextBodyIndent"/>
        <w:spacing w:lineRule="auto" w:line="360"/>
        <w:ind w:firstLine="480"/>
        <w:rPr>
          <w:rFonts w:ascii="楷体" w:hAnsi="楷体" w:eastAsia="楷体" w:cs="楷体"/>
          <w:sz w:val="24"/>
        </w:rPr>
      </w:pPr>
      <w:r>
        <w:rPr>
          <w:rFonts w:ascii="SimHei" w:hAnsi="SimHei" w:cs="楷体" w:eastAsia="黑体"/>
          <w:sz w:val="24"/>
        </w:rPr>
        <w:t>思维难度：职务需要担任者进行创造性思维的程度大小，从几乎无需动多少脑筋只需按老规矩做的第一级，到完全无先例可供借鉴的第五级。</w:t>
      </w:r>
    </w:p>
    <w:p>
      <w:pPr>
        <w:pStyle w:val="TextBodyIndent"/>
        <w:spacing w:lineRule="auto" w:line="360"/>
        <w:ind w:firstLine="480"/>
        <w:rPr>
          <w:rFonts w:ascii="楷体" w:hAnsi="楷体" w:eastAsia="楷体" w:cs="楷体"/>
          <w:sz w:val="24"/>
        </w:rPr>
      </w:pPr>
      <w:r>
        <w:rPr>
          <w:rFonts w:ascii="SimHei" w:hAnsi="SimHei" w:cs="楷体" w:eastAsia="黑体"/>
          <w:sz w:val="24"/>
        </w:rPr>
        <w:t>职务所承担的责任是指担任职务人员的行动对工作最终结果可能造成的影响。包括以下三个衡量因素：</w:t>
      </w:r>
    </w:p>
    <w:p>
      <w:pPr>
        <w:pStyle w:val="TextBodyIndent"/>
        <w:spacing w:lineRule="auto" w:line="360"/>
        <w:ind w:firstLine="480"/>
        <w:rPr>
          <w:rFonts w:ascii="楷体" w:hAnsi="楷体" w:eastAsia="楷体" w:cs="楷体"/>
          <w:sz w:val="24"/>
        </w:rPr>
      </w:pPr>
      <w:r>
        <w:rPr>
          <w:rFonts w:ascii="SimHei" w:hAnsi="SimHei" w:cs="楷体" w:eastAsia="黑体"/>
          <w:sz w:val="24"/>
        </w:rPr>
        <w:t>职务责任：可能造成的经济后果，分为四级，即微小的、少量的、中级的和大量的。</w:t>
      </w:r>
    </w:p>
    <w:p>
      <w:pPr>
        <w:pStyle w:val="TextBodyIndent"/>
        <w:spacing w:lineRule="auto" w:line="360"/>
        <w:ind w:firstLine="480"/>
        <w:rPr>
          <w:rFonts w:ascii="楷体" w:hAnsi="楷体" w:eastAsia="楷体" w:cs="楷体"/>
          <w:sz w:val="24"/>
        </w:rPr>
      </w:pPr>
      <w:r>
        <w:rPr>
          <w:rFonts w:ascii="SimHei" w:hAnsi="SimHei" w:cs="楷体" w:eastAsia="黑体"/>
          <w:sz w:val="24"/>
        </w:rPr>
        <w:t>职务对结果的作用，分为四级</w:t>
      </w:r>
    </w:p>
    <w:p>
      <w:pPr>
        <w:pStyle w:val="TextBodyIndent"/>
        <w:spacing w:lineRule="auto" w:line="360"/>
        <w:ind w:firstLine="480"/>
        <w:rPr>
          <w:rFonts w:ascii="楷体" w:hAnsi="楷体" w:eastAsia="楷体" w:cs="楷体"/>
          <w:sz w:val="24"/>
        </w:rPr>
      </w:pPr>
      <w:r>
        <w:rPr>
          <w:rFonts w:ascii="SimHei" w:hAnsi="SimHei" w:cs="楷体" w:eastAsia="黑体"/>
          <w:sz w:val="24"/>
        </w:rPr>
        <w:t>第一级：后勤性作用，只提供一点信息或偶然性服务。</w:t>
      </w:r>
    </w:p>
    <w:p>
      <w:pPr>
        <w:pStyle w:val="TextBodyIndent"/>
        <w:spacing w:lineRule="auto" w:line="360"/>
        <w:ind w:firstLine="480"/>
        <w:rPr>
          <w:rFonts w:ascii="楷体" w:hAnsi="楷体" w:eastAsia="楷体" w:cs="楷体"/>
          <w:sz w:val="24"/>
        </w:rPr>
      </w:pPr>
      <w:r>
        <w:rPr>
          <w:rFonts w:ascii="SimHei" w:hAnsi="SimHei" w:cs="楷体" w:eastAsia="黑体"/>
          <w:sz w:val="24"/>
        </w:rPr>
        <w:t>第二级：咨询性作用，提出意见或建议，补充、解释与说明或有一定贡献。</w:t>
      </w:r>
    </w:p>
    <w:p>
      <w:pPr>
        <w:pStyle w:val="TextBodyIndent"/>
        <w:spacing w:lineRule="auto" w:line="360"/>
        <w:ind w:firstLine="480"/>
        <w:rPr>
          <w:rFonts w:ascii="楷体" w:hAnsi="楷体" w:eastAsia="楷体" w:cs="楷体"/>
          <w:sz w:val="24"/>
        </w:rPr>
      </w:pPr>
      <w:r>
        <w:rPr>
          <w:rFonts w:ascii="SimHei" w:hAnsi="SimHei" w:cs="楷体" w:eastAsia="黑体"/>
          <w:sz w:val="24"/>
        </w:rPr>
        <w:t>第三级：分摊性作用，与其它职务共同负责工作结果，与本企业内部其它部门的或企业外部的别人合作。</w:t>
      </w:r>
    </w:p>
    <w:p>
      <w:pPr>
        <w:pStyle w:val="TextBodyIndent"/>
        <w:spacing w:lineRule="auto" w:line="360"/>
        <w:ind w:firstLine="480"/>
        <w:rPr>
          <w:rFonts w:ascii="楷体" w:hAnsi="楷体" w:eastAsia="楷体" w:cs="楷体"/>
          <w:sz w:val="24"/>
        </w:rPr>
      </w:pPr>
      <w:r>
        <w:rPr>
          <w:rFonts w:ascii="SimHei" w:hAnsi="SimHei" w:cs="楷体" w:eastAsia="黑体"/>
          <w:sz w:val="24"/>
        </w:rPr>
        <w:t>第四级：主要作用，本职务承担主要责任，独立承担或虽有其它职务参与，但其它职务是次要的。</w:t>
      </w:r>
    </w:p>
    <w:p>
      <w:pPr>
        <w:pStyle w:val="TextBodyIndent"/>
        <w:spacing w:lineRule="auto" w:line="360"/>
        <w:ind w:firstLine="480"/>
        <w:rPr>
          <w:rFonts w:ascii="楷体" w:hAnsi="楷体" w:eastAsia="楷体" w:cs="楷体"/>
          <w:sz w:val="24"/>
        </w:rPr>
      </w:pPr>
      <w:r>
        <w:rPr>
          <w:rFonts w:ascii="SimHei" w:hAnsi="SimHei" w:cs="楷体" w:eastAsia="黑体"/>
          <w:sz w:val="24"/>
        </w:rPr>
        <w:t>行动的自主程度：职务在多大程度上受到指导与控制，分为九级。</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）计点职务评价方法适用范围</w:t>
      </w:r>
    </w:p>
    <w:p>
      <w:pPr>
        <w:pStyle w:val="TextBodyIndent"/>
        <w:spacing w:lineRule="auto" w:line="360"/>
        <w:ind w:firstLine="480"/>
        <w:rPr>
          <w:rFonts w:ascii="楷体" w:hAnsi="楷体" w:eastAsia="楷体" w:cs="楷体"/>
          <w:sz w:val="24"/>
        </w:rPr>
      </w:pPr>
      <w:r>
        <w:rPr>
          <w:rFonts w:ascii="SimHei" w:hAnsi="SimHei" w:cs="楷体" w:eastAsia="黑体"/>
          <w:sz w:val="24"/>
        </w:rPr>
        <w:t>计点职务评价法要求：只根据被评职务本身的性质与工作内容，以其职务描述为基础，不考虑担任该职务特定人物的特点与情况，也不需考虑外界人才市场的价格与条件；仅考虑该职务相对于本公司的贡献，不必考虑其它公司或其它行业该职务的情况。</w:t>
      </w:r>
    </w:p>
    <w:p>
      <w:pPr>
        <w:pStyle w:val="TextBodyIndent"/>
        <w:spacing w:lineRule="auto" w:line="360"/>
        <w:ind w:firstLine="480"/>
        <w:rPr>
          <w:rFonts w:ascii="楷体" w:hAnsi="楷体" w:eastAsia="楷体" w:cs="楷体"/>
          <w:sz w:val="24"/>
        </w:rPr>
      </w:pPr>
      <w:r>
        <w:rPr>
          <w:rFonts w:ascii="SimHei" w:hAnsi="SimHei" w:cs="楷体" w:eastAsia="黑体"/>
          <w:sz w:val="24"/>
        </w:rPr>
        <w:t>计点职务评价法主要基于内部公平的原则，对</w:t>
      </w:r>
      <w:r>
        <w:rPr>
          <w:rFonts w:eastAsia="黑体" w:cs="楷体" w:ascii="SimHei" w:hAnsi="SimHei"/>
          <w:sz w:val="24"/>
        </w:rPr>
        <w:t>XX</w:t>
      </w:r>
      <w:r>
        <w:rPr>
          <w:rFonts w:ascii="SimHei" w:hAnsi="SimHei" w:cs="楷体" w:eastAsia="黑体"/>
          <w:sz w:val="24"/>
        </w:rPr>
        <w:t>各岗位贡献程度做出积分评价、形成职位序列，进一步结合外部薪资水平确立基准工资标准。</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确定部门重要程度、建立职位序列</w:t>
      </w:r>
    </w:p>
    <w:p>
      <w:pPr>
        <w:pStyle w:val="TextBodyIndent"/>
        <w:spacing w:lineRule="auto" w:line="360"/>
        <w:ind w:firstLine="480"/>
        <w:rPr>
          <w:rFonts w:ascii="楷体" w:hAnsi="楷体" w:eastAsia="楷体" w:cs="楷体"/>
          <w:sz w:val="24"/>
        </w:rPr>
      </w:pPr>
      <w:r>
        <w:rPr>
          <w:rFonts w:ascii="SimHei" w:hAnsi="SimHei" w:cs="楷体" w:eastAsia="黑体"/>
          <w:sz w:val="24"/>
        </w:rPr>
        <w:t>通过内部访谈及问卷调查确定部门重要度系数。结合计点职务分析法建立职位序列。</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3</w:t>
      </w:r>
      <w:r>
        <w:rPr>
          <w:rFonts w:ascii="SimHei" w:hAnsi="SimHei" w:cs="楷体" w:eastAsia="黑体"/>
          <w:sz w:val="24"/>
          <w:szCs w:val="24"/>
        </w:rPr>
        <w:t>：业务部门重要度调查结果</w:t>
      </w:r>
    </w:p>
    <w:tbl>
      <w:tblPr>
        <w:tblW w:w="8820" w:type="dxa"/>
        <w:jc w:val="center"/>
        <w:tblInd w:w="0" w:type="dxa"/>
        <w:tblLayout w:type="fixed"/>
        <w:tblCellMar>
          <w:top w:w="0" w:type="dxa"/>
          <w:start w:w="108" w:type="dxa"/>
          <w:bottom w:w="0" w:type="dxa"/>
          <w:end w:w="108" w:type="dxa"/>
        </w:tblCellMar>
      </w:tblPr>
      <w:tblGrid>
        <w:gridCol w:w="1618"/>
        <w:gridCol w:w="723"/>
        <w:gridCol w:w="1044"/>
        <w:gridCol w:w="1128"/>
        <w:gridCol w:w="1128"/>
        <w:gridCol w:w="1128"/>
        <w:gridCol w:w="897"/>
        <w:gridCol w:w="1154"/>
      </w:tblGrid>
      <w:tr>
        <w:trPr>
          <w:trHeight w:val="473" w:hRule="atLeast"/>
        </w:trPr>
        <w:tc>
          <w:tcPr>
            <w:tcW w:w="161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重要度排序</w:t>
            </w:r>
          </w:p>
        </w:tc>
        <w:tc>
          <w:tcPr>
            <w:tcW w:w="723"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w:t>
            </w:r>
          </w:p>
        </w:tc>
        <w:tc>
          <w:tcPr>
            <w:tcW w:w="104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3</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4</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5</w:t>
            </w:r>
          </w:p>
        </w:tc>
        <w:tc>
          <w:tcPr>
            <w:tcW w:w="897"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6</w:t>
            </w:r>
          </w:p>
        </w:tc>
        <w:tc>
          <w:tcPr>
            <w:tcW w:w="115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7</w:t>
            </w:r>
          </w:p>
        </w:tc>
      </w:tr>
      <w:tr>
        <w:trPr>
          <w:trHeight w:val="961" w:hRule="atLeast"/>
        </w:trPr>
        <w:tc>
          <w:tcPr>
            <w:tcW w:w="161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部门</w:t>
            </w:r>
          </w:p>
        </w:tc>
        <w:tc>
          <w:tcPr>
            <w:tcW w:w="723"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投资</w:t>
            </w:r>
          </w:p>
        </w:tc>
        <w:tc>
          <w:tcPr>
            <w:tcW w:w="104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设计</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经营</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地盘</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合约</w:t>
            </w:r>
          </w:p>
        </w:tc>
        <w:tc>
          <w:tcPr>
            <w:tcW w:w="897"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工程</w:t>
            </w:r>
          </w:p>
        </w:tc>
        <w:tc>
          <w:tcPr>
            <w:tcW w:w="115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客户服务</w:t>
            </w:r>
          </w:p>
        </w:tc>
      </w:tr>
      <w:tr>
        <w:trPr>
          <w:trHeight w:val="473" w:hRule="atLeast"/>
        </w:trPr>
        <w:tc>
          <w:tcPr>
            <w:tcW w:w="161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积分</w:t>
            </w:r>
          </w:p>
        </w:tc>
        <w:tc>
          <w:tcPr>
            <w:tcW w:w="723"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284</w:t>
            </w:r>
          </w:p>
        </w:tc>
        <w:tc>
          <w:tcPr>
            <w:tcW w:w="104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231</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182</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159</w:t>
            </w:r>
          </w:p>
        </w:tc>
        <w:tc>
          <w:tcPr>
            <w:tcW w:w="1128"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154</w:t>
            </w:r>
          </w:p>
        </w:tc>
        <w:tc>
          <w:tcPr>
            <w:tcW w:w="897"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146</w:t>
            </w:r>
          </w:p>
        </w:tc>
        <w:tc>
          <w:tcPr>
            <w:tcW w:w="115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104</w:t>
            </w:r>
          </w:p>
        </w:tc>
      </w:tr>
    </w:tbl>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4</w:t>
      </w:r>
      <w:r>
        <w:rPr>
          <w:rFonts w:ascii="SimHei" w:hAnsi="SimHei" w:cs="楷体" w:eastAsia="黑体"/>
          <w:sz w:val="24"/>
          <w:szCs w:val="24"/>
        </w:rPr>
        <w:t>管理部门重要度调查结果</w:t>
      </w:r>
    </w:p>
    <w:tbl>
      <w:tblPr>
        <w:tblW w:w="8520" w:type="dxa"/>
        <w:jc w:val="center"/>
        <w:tblInd w:w="0" w:type="dxa"/>
        <w:tblLayout w:type="fixed"/>
        <w:tblCellMar>
          <w:top w:w="0" w:type="dxa"/>
          <w:start w:w="108" w:type="dxa"/>
          <w:bottom w:w="0" w:type="dxa"/>
          <w:end w:w="108" w:type="dxa"/>
        </w:tblCellMar>
      </w:tblPr>
      <w:tblGrid>
        <w:gridCol w:w="1704"/>
        <w:gridCol w:w="1704"/>
        <w:gridCol w:w="1704"/>
        <w:gridCol w:w="1704"/>
        <w:gridCol w:w="1704"/>
      </w:tblGrid>
      <w:tr>
        <w:trPr/>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重要度排序</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3</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4</w:t>
            </w:r>
          </w:p>
        </w:tc>
      </w:tr>
      <w:tr>
        <w:trPr/>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部门</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人力资源</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财务资金</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行政公关</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信息</w:t>
            </w:r>
          </w:p>
        </w:tc>
      </w:tr>
      <w:tr>
        <w:trPr/>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积分</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161</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138</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87</w:t>
            </w:r>
          </w:p>
        </w:tc>
        <w:tc>
          <w:tcPr>
            <w:tcW w:w="170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64</w:t>
            </w:r>
          </w:p>
        </w:tc>
      </w:tr>
    </w:tbl>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根据职位调查结果和部门重要度系数确定职位序列表</w:t>
      </w:r>
    </w:p>
    <w:p>
      <w:pPr>
        <w:pStyle w:val="TextBodyIndent"/>
        <w:spacing w:lineRule="auto" w:line="360"/>
        <w:ind w:firstLine="480"/>
        <w:rPr>
          <w:rFonts w:ascii="楷体" w:hAnsi="楷体" w:eastAsia="楷体" w:cs="楷体"/>
          <w:sz w:val="24"/>
        </w:rPr>
      </w:pPr>
      <w:r>
        <w:rPr>
          <w:rFonts w:ascii="SimHei" w:hAnsi="SimHei" w:cs="楷体" w:eastAsia="黑体"/>
          <w:sz w:val="24"/>
        </w:rPr>
        <w:t>根据职位调查结果和部门重要度系数确定职位序列表（见文件《职位序列表》），同时可以确定各职位的薪酬等级如表</w:t>
      </w:r>
      <w:r>
        <w:rPr>
          <w:rFonts w:eastAsia="黑体" w:cs="楷体" w:ascii="SimHei" w:hAnsi="SimHei"/>
          <w:sz w:val="24"/>
        </w:rPr>
        <w:t>2</w:t>
      </w:r>
      <w:r>
        <w:rPr>
          <w:rFonts w:ascii="SimHei" w:hAnsi="SimHei" w:cs="楷体" w:eastAsia="黑体"/>
          <w:sz w:val="24"/>
        </w:rPr>
        <w:t>－</w:t>
      </w:r>
      <w:r>
        <w:rPr>
          <w:rFonts w:eastAsia="黑体" w:cs="楷体" w:ascii="SimHei" w:hAnsi="SimHei"/>
          <w:sz w:val="24"/>
        </w:rPr>
        <w:t>5</w:t>
      </w:r>
      <w:r>
        <w:rPr>
          <w:rFonts w:ascii="SimHei" w:hAnsi="SimHei" w:cs="楷体" w:eastAsia="黑体"/>
          <w:sz w:val="24"/>
        </w:rPr>
        <w:t>所示。</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5</w:t>
      </w:r>
      <w:r>
        <w:rPr>
          <w:rFonts w:ascii="SimHei" w:hAnsi="SimHei" w:cs="楷体" w:eastAsia="黑体"/>
          <w:sz w:val="24"/>
          <w:szCs w:val="24"/>
        </w:rPr>
        <w:t>职位薪酬等级表</w:t>
      </w:r>
    </w:p>
    <w:tbl>
      <w:tblPr>
        <w:tblW w:w="8304" w:type="dxa"/>
        <w:jc w:val="center"/>
        <w:tblInd w:w="0" w:type="dxa"/>
        <w:tblLayout w:type="fixed"/>
        <w:tblCellMar>
          <w:top w:w="15" w:type="dxa"/>
          <w:start w:w="15" w:type="dxa"/>
          <w:bottom w:w="0" w:type="dxa"/>
          <w:end w:w="15" w:type="dxa"/>
        </w:tblCellMar>
      </w:tblPr>
      <w:tblGrid>
        <w:gridCol w:w="1280"/>
        <w:gridCol w:w="2335"/>
        <w:gridCol w:w="1080"/>
        <w:gridCol w:w="1080"/>
        <w:gridCol w:w="1620"/>
        <w:gridCol w:w="909"/>
      </w:tblGrid>
      <w:tr>
        <w:trPr>
          <w:trHeight w:val="468"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部门</w:t>
            </w:r>
          </w:p>
        </w:tc>
        <w:tc>
          <w:tcPr>
            <w:tcW w:w="23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职位</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薪金等级</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部门</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职位</w:t>
            </w:r>
          </w:p>
        </w:tc>
        <w:tc>
          <w:tcPr>
            <w:tcW w:w="9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薪金等级</w:t>
            </w:r>
          </w:p>
        </w:tc>
      </w:tr>
      <w:tr>
        <w:trPr>
          <w:trHeight w:val="468"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9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r>
      <w:tr>
        <w:trPr>
          <w:trHeight w:val="255"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公司领导</w:t>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39</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信息中心</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26</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常务副总经理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信息主管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总建筑师</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系统分析员</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人事行政副总经理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网络管理员</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财务总监</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软件工程师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助理总经理（营销管理）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31</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投资发展部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助理总经理（深圳业务）</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22</w:t>
            </w:r>
          </w:p>
        </w:tc>
      </w:tr>
      <w:tr>
        <w:trPr>
          <w:trHeight w:val="255"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企管委</w:t>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高级投资经理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投资副主任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29</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16</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设计副主任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投资分析员</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营销副主任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27</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设计研究部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27</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项目设计师</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19</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主任设计师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营销策划师</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主任工程师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高级投资经理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项目设计师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副主任设计师</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副主任设计师</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园林设计师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文员</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室内设计师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人力资源部</w:t>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设计安装工程师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副总经理（招聘人事）</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结构工程师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副总经理（人事考核）</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文员</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培训中心主任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27</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经营销售部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26</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培训中心副主任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24</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人事主管</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经营销售部</w:t>
            </w:r>
            <w:r>
              <w:rPr>
                <w:rFonts w:eastAsia="黑体" w:cs="楷体" w:ascii="SimHei" w:hAnsi="SimHei"/>
                <w:bCs/>
                <w:sz w:val="24"/>
              </w:rPr>
              <w:t>---</w:t>
            </w:r>
            <w:r>
              <w:rPr>
                <w:rFonts w:ascii="SimHei" w:hAnsi="SimHei" w:cs="楷体" w:eastAsia="黑体"/>
                <w:bCs/>
                <w:sz w:val="24"/>
              </w:rPr>
              <w:t>策划总监</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20</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培训办公室主任</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项目营销经理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薪资专员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营销经理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人事外勤专员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报建主管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培训专员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销售主管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文员</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营销副经理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6</w:t>
            </w:r>
          </w:p>
        </w:tc>
      </w:tr>
      <w:tr>
        <w:trPr>
          <w:trHeight w:val="255"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财务资金部</w:t>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29</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合约管理部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25</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副总经理（资金管理）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副总经理（财务管理）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23</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土建造价工程师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资金管理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分判工程师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综合调研</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材料造价工程师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投资评估</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安装造价工程师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13</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会计主管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文员</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5</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会计报表</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工程管理部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25</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法律秘书</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财务主管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17</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给排水工程师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税务管理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电气工程师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财务信息化管理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报建工程师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销售管理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档案工程师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成本会计</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15</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地盘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25</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固定资产管理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14</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土建副经理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费用管理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14</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安装副经理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统计管理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水电工程师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银行出纳</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材料工程师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12</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会计档案</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园艺工程师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现金出纳</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9</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内业工程师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会计文员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粮单工程师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r>
      <w:tr>
        <w:trPr>
          <w:trHeight w:val="255" w:hRule="atLeast"/>
          <w:cantSplit w:val="true"/>
        </w:trPr>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行政公关部</w:t>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总经理</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28</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结构工程师</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副总经理（行政）</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26</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投资报建主管</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副总经理（公关）</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25</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客户服务部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副总经理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21</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公关秘书</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14</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助理总经理</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总务秘书</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投诉主管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9</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档案管理员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10</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维修主管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文员</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5</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社区文化主管</w:t>
            </w: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8</w:t>
            </w:r>
          </w:p>
        </w:tc>
      </w:tr>
      <w:tr>
        <w:trPr>
          <w:trHeight w:val="255" w:hRule="atLeast"/>
          <w:cantSplit w:val="true"/>
        </w:trPr>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ascii="SimHei" w:hAnsi="SimHei" w:cs="楷体" w:eastAsia="黑体"/>
                <w:bCs/>
                <w:sz w:val="24"/>
              </w:rPr>
              <w:t>前台</w:t>
            </w:r>
            <w:r>
              <w:rPr>
                <w:rFonts w:ascii="SimHei" w:hAnsi="SimHei" w:cs="楷体" w:eastAsia="黑体"/>
                <w:bCs/>
                <w:sz w:val="24"/>
              </w:rPr>
              <w:t xml:space="preserve">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sz w:val="24"/>
              </w:rPr>
            </w:pPr>
            <w:r>
              <w:rPr>
                <w:rFonts w:eastAsia="黑体" w:cs="楷体" w:ascii="SimHei" w:hAnsi="SimHei"/>
                <w:bCs/>
                <w:sz w:val="24"/>
              </w:rPr>
              <w:t>3</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sz w:val="24"/>
              </w:rPr>
            </w:pPr>
            <w:r>
              <w:rPr>
                <w:rFonts w:eastAsia="楷体" w:cs="楷体" w:ascii="楷体" w:hAnsi="楷体"/>
                <w:bCs/>
                <w:sz w:val="24"/>
              </w:rPr>
            </w:r>
          </w:p>
        </w:tc>
        <w:tc>
          <w:tcPr>
            <w:tcW w:w="162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jc w:val="center"/>
              <w:rPr>
                <w:rFonts w:ascii="楷体" w:hAnsi="楷体" w:eastAsia="楷体" w:cs="楷体"/>
                <w:bCs/>
                <w:sz w:val="24"/>
              </w:rPr>
            </w:pPr>
            <w:r>
              <w:rPr>
                <w:rFonts w:ascii="SimHei" w:hAnsi="SimHei" w:cs="楷体" w:eastAsia="黑体"/>
                <w:bCs/>
                <w:sz w:val="24"/>
              </w:rPr>
              <w:t xml:space="preserve">　</w:t>
            </w:r>
          </w:p>
        </w:tc>
        <w:tc>
          <w:tcPr>
            <w:tcW w:w="90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jc w:val="center"/>
              <w:rPr>
                <w:rFonts w:ascii="楷体" w:hAnsi="楷体" w:eastAsia="楷体" w:cs="楷体"/>
                <w:bCs/>
                <w:sz w:val="24"/>
              </w:rPr>
            </w:pPr>
            <w:r>
              <w:rPr>
                <w:rFonts w:ascii="SimHei" w:hAnsi="SimHei" w:cs="楷体" w:eastAsia="黑体"/>
                <w:bCs/>
                <w:sz w:val="24"/>
              </w:rPr>
              <w:t xml:space="preserve">　</w:t>
            </w:r>
          </w:p>
        </w:tc>
      </w:tr>
    </w:tbl>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确定基准工资标准</w:t>
      </w:r>
    </w:p>
    <w:p>
      <w:pPr>
        <w:pStyle w:val="TextBodyIndent"/>
        <w:spacing w:lineRule="auto" w:line="360"/>
        <w:ind w:firstLine="480"/>
        <w:rPr>
          <w:rFonts w:ascii="楷体" w:hAnsi="楷体" w:eastAsia="楷体" w:cs="楷体"/>
          <w:sz w:val="24"/>
        </w:rPr>
      </w:pPr>
      <w:r>
        <w:rPr>
          <w:rFonts w:ascii="SimHei" w:hAnsi="SimHei" w:cs="楷体" w:eastAsia="黑体"/>
          <w:sz w:val="24"/>
        </w:rPr>
        <w:t>影响基准工资标准的两个主要因素：外部市场薪酬标准和内部员工满意度。外部市场薪酬标准在一定时间内是相对稳定的，围绕外部标准存在员工较满意到非常满意的薪酬标准区间，我们建议以从薪酬调控和人工成本出发，以员工较满意的水平确定基准工资标准。</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基准工资的调整</w:t>
      </w:r>
    </w:p>
    <w:p>
      <w:pPr>
        <w:pStyle w:val="TextBodyIndent"/>
        <w:spacing w:lineRule="auto" w:line="360"/>
        <w:ind w:firstLine="480"/>
        <w:rPr>
          <w:rFonts w:ascii="楷体" w:hAnsi="楷体" w:eastAsia="楷体" w:cs="楷体"/>
          <w:sz w:val="24"/>
        </w:rPr>
      </w:pPr>
      <w:r>
        <w:rPr>
          <w:rFonts w:ascii="SimHei" w:hAnsi="SimHei" w:cs="楷体" w:eastAsia="黑体"/>
          <w:sz w:val="24"/>
        </w:rPr>
        <w:t>基准工资确定后并不是一成不变，企业应根据外部经营环境和职员自身的变化，对基本工资标准进行调整，以保持工资标准有利于吸引人才和保持职员的满意度。调整方式分为单个调整和整体调整。</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）单个调整</w:t>
      </w:r>
    </w:p>
    <w:p>
      <w:pPr>
        <w:pStyle w:val="TextBodyIndent"/>
        <w:spacing w:lineRule="auto" w:line="360"/>
        <w:ind w:firstLine="480"/>
        <w:rPr>
          <w:rFonts w:ascii="楷体" w:hAnsi="楷体" w:eastAsia="楷体" w:cs="楷体"/>
          <w:sz w:val="24"/>
        </w:rPr>
      </w:pPr>
      <w:r>
        <w:rPr>
          <w:rFonts w:ascii="SimHei" w:hAnsi="SimHei" w:cs="楷体" w:eastAsia="黑体"/>
          <w:sz w:val="24"/>
        </w:rPr>
        <w:t>单个调整，最常见通过职位晋升获得加薪，不能获得晋升的职员，可以在职位薪酬范围内加薪；当竞争对手或者人才市场薪酬标准发生明显变化时，要对相应的职位基本工资标准进行调整以保持人才的吸引力；当企业经营环境和发展战略发生变化时，要对职位的相对价值进行重新评估并调整相应的职位基本工资标准以确保战略目标的实现。</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）整体调整</w:t>
      </w:r>
    </w:p>
    <w:p>
      <w:pPr>
        <w:pStyle w:val="TextBodyIndent"/>
        <w:spacing w:lineRule="auto" w:line="360"/>
        <w:ind w:firstLine="480"/>
        <w:rPr>
          <w:rFonts w:ascii="楷体" w:hAnsi="楷体" w:eastAsia="楷体" w:cs="楷体"/>
          <w:sz w:val="24"/>
        </w:rPr>
      </w:pPr>
      <w:r>
        <w:rPr>
          <w:rFonts w:ascii="SimHei" w:hAnsi="SimHei" w:cs="楷体" w:eastAsia="黑体"/>
          <w:sz w:val="24"/>
        </w:rPr>
        <w:t>整体调整是指当企业的经营业绩及财务支付能力发生明显的变化时，可以通过调整基本工资标准来实现职员对经营业绩的分享及经营风险的分担；当物价或者社会通货膨胀率等因素发生明显变化时，也要考虑对基本工资标准的调整。</w:t>
      </w:r>
    </w:p>
    <w:p>
      <w:pPr>
        <w:pStyle w:val="Heading4"/>
        <w:numPr>
          <w:ilvl w:val="2"/>
          <w:numId w:val="2"/>
        </w:numPr>
        <w:spacing w:lineRule="auto" w:line="360" w:before="0" w:after="0"/>
        <w:ind w:start="0" w:firstLine="482"/>
        <w:rPr>
          <w:rFonts w:ascii="楷体" w:hAnsi="楷体" w:eastAsia="楷体" w:cs="楷体"/>
          <w:szCs w:val="24"/>
        </w:rPr>
      </w:pPr>
      <w:bookmarkStart w:id="30" w:name="__RefHeading___Toc30302495"/>
      <w:bookmarkEnd w:id="30"/>
      <w:r>
        <w:rPr>
          <w:rFonts w:ascii="SimHei" w:hAnsi="SimHei" w:cs="楷体" w:eastAsia="黑体"/>
          <w:szCs w:val="24"/>
        </w:rPr>
        <w:t>基本工资</w:t>
      </w:r>
    </w:p>
    <w:p>
      <w:pPr>
        <w:pStyle w:val="Heading5"/>
        <w:numPr>
          <w:ilvl w:val="0"/>
          <w:numId w:val="23"/>
        </w:numPr>
        <w:spacing w:lineRule="auto" w:line="360" w:before="0" w:after="0"/>
        <w:ind w:start="0" w:firstLine="482"/>
        <w:rPr>
          <w:rFonts w:ascii="楷体" w:hAnsi="楷体" w:eastAsia="楷体" w:cs="楷体"/>
          <w:szCs w:val="24"/>
        </w:rPr>
      </w:pPr>
      <w:r>
        <w:rPr>
          <w:rFonts w:ascii="SimHei" w:hAnsi="SimHei" w:cs="楷体" w:eastAsia="黑体"/>
          <w:szCs w:val="24"/>
        </w:rPr>
        <w:t>基本工资标准计算</w:t>
      </w:r>
    </w:p>
    <w:p>
      <w:pPr>
        <w:pStyle w:val="TextBodyIndent"/>
        <w:spacing w:lineRule="auto" w:line="360"/>
        <w:ind w:firstLine="480"/>
        <w:rPr>
          <w:rFonts w:ascii="楷体" w:hAnsi="楷体" w:eastAsia="楷体" w:cs="楷体"/>
          <w:sz w:val="24"/>
        </w:rPr>
      </w:pPr>
      <w:r>
        <w:rPr>
          <w:rFonts w:eastAsia="黑体" w:cs="楷体" w:ascii="SimHei" w:hAnsi="SimHei"/>
          <w:sz w:val="24"/>
        </w:rPr>
        <w:t>XX</w:t>
      </w:r>
      <w:r>
        <w:rPr>
          <w:rFonts w:ascii="SimHei" w:hAnsi="SimHei" w:cs="楷体" w:eastAsia="黑体"/>
          <w:sz w:val="24"/>
        </w:rPr>
        <w:t>员工基本工资是基准工资中无风险的部分，是根据职位相对价值来确定，其隐含的条件是每个职位的工作责任、工作环境、所需技能、承担风险等要素是有区别的，所以获得的薪酬应该要体现相应的区别。确定</w:t>
      </w:r>
      <w:r>
        <w:rPr>
          <w:rFonts w:eastAsia="黑体" w:cs="楷体" w:ascii="SimHei" w:hAnsi="SimHei"/>
          <w:sz w:val="24"/>
        </w:rPr>
        <w:t>XX</w:t>
      </w:r>
      <w:r>
        <w:rPr>
          <w:rFonts w:ascii="SimHei" w:hAnsi="SimHei" w:cs="楷体" w:eastAsia="黑体"/>
          <w:sz w:val="24"/>
        </w:rPr>
        <w:t>员工基本工资的方法是通过职位评估来量化职位的相对价值以实现内部公平，并参照相应职位的市场水平，确保基本工资标准具有市场竞争力，以体现外部公平和内部公平的原则。</w:t>
      </w:r>
    </w:p>
    <w:p>
      <w:pPr>
        <w:pStyle w:val="TextBodyIndent"/>
        <w:spacing w:lineRule="auto" w:line="360"/>
        <w:ind w:firstLine="480"/>
        <w:rPr>
          <w:rFonts w:ascii="楷体" w:hAnsi="楷体" w:eastAsia="楷体" w:cs="楷体"/>
          <w:sz w:val="24"/>
        </w:rPr>
      </w:pPr>
      <w:r>
        <w:rPr>
          <w:rFonts w:ascii="SimHei" w:hAnsi="SimHei" w:cs="楷体" w:eastAsia="黑体"/>
          <w:sz w:val="24"/>
        </w:rPr>
        <w:t>基本工资</w:t>
      </w:r>
      <w:r>
        <w:rPr>
          <w:rFonts w:eastAsia="黑体" w:cs="楷体" w:ascii="SimHei" w:hAnsi="SimHei"/>
          <w:sz w:val="24"/>
        </w:rPr>
        <w:t>=</w:t>
      </w:r>
      <w:r>
        <w:rPr>
          <w:rFonts w:ascii="SimHei" w:hAnsi="SimHei" w:cs="楷体" w:eastAsia="黑体"/>
          <w:sz w:val="24"/>
        </w:rPr>
        <w:t>基准工资</w:t>
      </w:r>
      <w:r>
        <w:rPr>
          <w:rFonts w:eastAsia="黑体" w:cs="楷体" w:ascii="SimHei" w:hAnsi="SimHei"/>
          <w:sz w:val="24"/>
        </w:rPr>
        <w:t>×</w:t>
      </w:r>
      <w:r>
        <w:rPr>
          <w:rFonts w:ascii="SimHei" w:hAnsi="SimHei" w:cs="楷体" w:eastAsia="黑体"/>
          <w:sz w:val="24"/>
        </w:rPr>
        <w:t>（</w:t>
      </w:r>
      <w:r>
        <w:rPr>
          <w:rFonts w:eastAsia="黑体" w:cs="楷体" w:ascii="SimHei" w:hAnsi="SimHei"/>
          <w:sz w:val="24"/>
        </w:rPr>
        <w:t>1-</w:t>
      </w:r>
      <w:r>
        <w:rPr>
          <w:rFonts w:ascii="SimHei" w:hAnsi="SimHei" w:cs="楷体" w:eastAsia="黑体"/>
          <w:sz w:val="24"/>
        </w:rPr>
        <w:t>风险收入系数）</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基本工资的支付</w:t>
      </w:r>
    </w:p>
    <w:p>
      <w:pPr>
        <w:pStyle w:val="TextBodyIndent"/>
        <w:spacing w:lineRule="auto" w:line="360"/>
        <w:ind w:firstLine="480"/>
        <w:rPr>
          <w:rFonts w:ascii="楷体" w:hAnsi="楷体" w:eastAsia="楷体" w:cs="楷体"/>
          <w:sz w:val="24"/>
        </w:rPr>
      </w:pPr>
      <w:r>
        <w:rPr>
          <w:rFonts w:ascii="SimHei" w:hAnsi="SimHei" w:cs="楷体" w:eastAsia="黑体"/>
          <w:sz w:val="24"/>
        </w:rPr>
        <w:t>基本工资是所有员工按月发放。</w:t>
      </w:r>
    </w:p>
    <w:p>
      <w:pPr>
        <w:pStyle w:val="Heading4"/>
        <w:numPr>
          <w:ilvl w:val="2"/>
          <w:numId w:val="2"/>
        </w:numPr>
        <w:spacing w:lineRule="auto" w:line="360" w:before="0" w:after="0"/>
        <w:ind w:start="0" w:firstLine="482"/>
        <w:rPr>
          <w:rFonts w:ascii="楷体" w:hAnsi="楷体" w:eastAsia="楷体" w:cs="楷体"/>
          <w:szCs w:val="24"/>
        </w:rPr>
      </w:pPr>
      <w:bookmarkStart w:id="31" w:name="__RefHeading___Toc30302496"/>
      <w:bookmarkEnd w:id="31"/>
      <w:r>
        <w:rPr>
          <w:rFonts w:ascii="SimHei" w:hAnsi="SimHei" w:cs="楷体" w:eastAsia="黑体"/>
          <w:szCs w:val="24"/>
        </w:rPr>
        <w:t>绩效工资标准计算</w:t>
      </w:r>
    </w:p>
    <w:p>
      <w:pPr>
        <w:pStyle w:val="Heading5"/>
        <w:numPr>
          <w:ilvl w:val="0"/>
          <w:numId w:val="24"/>
        </w:numPr>
        <w:spacing w:lineRule="auto" w:line="360" w:before="0" w:after="0"/>
        <w:ind w:start="0" w:firstLine="482"/>
        <w:rPr>
          <w:rFonts w:ascii="楷体" w:hAnsi="楷体" w:eastAsia="楷体" w:cs="楷体"/>
          <w:szCs w:val="24"/>
        </w:rPr>
      </w:pPr>
      <w:r>
        <w:rPr>
          <w:rFonts w:ascii="SimHei" w:hAnsi="SimHei" w:cs="楷体" w:eastAsia="黑体"/>
          <w:szCs w:val="24"/>
        </w:rPr>
        <w:t>绩效工资标准</w:t>
      </w:r>
    </w:p>
    <w:p>
      <w:pPr>
        <w:pStyle w:val="TextBodyIndent"/>
        <w:spacing w:lineRule="auto" w:line="360"/>
        <w:ind w:firstLine="480"/>
        <w:rPr>
          <w:rFonts w:ascii="楷体" w:hAnsi="楷体" w:eastAsia="楷体" w:cs="楷体"/>
          <w:sz w:val="24"/>
        </w:rPr>
      </w:pPr>
      <w:r>
        <w:rPr>
          <w:rFonts w:ascii="SimHei" w:hAnsi="SimHei" w:cs="楷体" w:eastAsia="黑体"/>
          <w:sz w:val="24"/>
        </w:rPr>
        <w:t>根据员工工作业绩和工作表现发放的工资</w:t>
      </w:r>
    </w:p>
    <w:p>
      <w:pPr>
        <w:pStyle w:val="TextBodyIndent"/>
        <w:spacing w:lineRule="auto" w:line="360"/>
        <w:ind w:firstLine="480"/>
        <w:rPr>
          <w:rFonts w:ascii="楷体" w:hAnsi="楷体" w:eastAsia="楷体" w:cs="楷体"/>
          <w:sz w:val="24"/>
        </w:rPr>
      </w:pPr>
      <w:r>
        <w:rPr>
          <w:rFonts w:ascii="SimHei" w:hAnsi="SimHei" w:cs="楷体" w:eastAsia="黑体"/>
          <w:sz w:val="24"/>
        </w:rPr>
        <w:t>（基准）绩效工资</w:t>
      </w:r>
      <w:r>
        <w:rPr>
          <w:rFonts w:eastAsia="黑体" w:cs="楷体" w:ascii="SimHei" w:hAnsi="SimHei"/>
          <w:sz w:val="24"/>
        </w:rPr>
        <w:t>=</w:t>
      </w:r>
      <w:r>
        <w:rPr>
          <w:rFonts w:ascii="SimHei" w:hAnsi="SimHei" w:cs="楷体" w:eastAsia="黑体"/>
          <w:sz w:val="24"/>
        </w:rPr>
        <w:t>基准工资</w:t>
      </w:r>
      <w:r>
        <w:rPr>
          <w:rFonts w:eastAsia="黑体" w:cs="楷体" w:ascii="SimHei" w:hAnsi="SimHei"/>
          <w:sz w:val="24"/>
        </w:rPr>
        <w:t>×</w:t>
      </w:r>
      <w:r>
        <w:rPr>
          <w:rFonts w:ascii="SimHei" w:hAnsi="SimHei" w:cs="楷体" w:eastAsia="黑体"/>
          <w:sz w:val="24"/>
        </w:rPr>
        <w:t>风险收入系数</w:t>
      </w:r>
    </w:p>
    <w:p>
      <w:pPr>
        <w:pStyle w:val="TextBodyIndent"/>
        <w:spacing w:lineRule="auto" w:line="360"/>
        <w:ind w:firstLine="480"/>
        <w:rPr>
          <w:rFonts w:ascii="楷体" w:hAnsi="楷体" w:eastAsia="楷体" w:cs="楷体"/>
          <w:sz w:val="24"/>
        </w:rPr>
      </w:pPr>
      <w:r>
        <w:rPr>
          <w:rFonts w:ascii="SimHei" w:hAnsi="SimHei" w:cs="楷体" w:eastAsia="黑体"/>
          <w:sz w:val="24"/>
        </w:rPr>
        <w:t>（实际）绩效工资</w:t>
      </w:r>
      <w:r>
        <w:rPr>
          <w:rFonts w:eastAsia="黑体" w:cs="楷体" w:ascii="SimHei" w:hAnsi="SimHei"/>
          <w:sz w:val="24"/>
        </w:rPr>
        <w:t>=</w:t>
      </w:r>
      <w:r>
        <w:rPr>
          <w:rFonts w:ascii="SimHei" w:hAnsi="SimHei" w:cs="楷体" w:eastAsia="黑体"/>
          <w:sz w:val="24"/>
        </w:rPr>
        <w:t>（基准）绩效工资</w:t>
      </w:r>
      <w:r>
        <w:rPr>
          <w:rFonts w:eastAsia="黑体" w:cs="楷体" w:ascii="SimHei" w:hAnsi="SimHei"/>
          <w:sz w:val="24"/>
        </w:rPr>
        <w:t>×</w:t>
      </w:r>
      <w:r>
        <w:rPr>
          <w:rFonts w:ascii="SimHei" w:hAnsi="SimHei" w:cs="楷体" w:eastAsia="黑体"/>
          <w:sz w:val="24"/>
        </w:rPr>
        <w:t>绩效考核系数</w:t>
      </w:r>
    </w:p>
    <w:p>
      <w:pPr>
        <w:pStyle w:val="TextBodyIndent"/>
        <w:spacing w:lineRule="auto" w:line="360"/>
        <w:ind w:firstLine="480"/>
        <w:rPr>
          <w:rFonts w:ascii="楷体" w:hAnsi="楷体" w:eastAsia="楷体" w:cs="楷体"/>
          <w:sz w:val="24"/>
        </w:rPr>
      </w:pPr>
      <w:r>
        <w:rPr>
          <w:rFonts w:ascii="SimHei" w:hAnsi="SimHei" w:cs="楷体" w:eastAsia="黑体"/>
          <w:sz w:val="24"/>
        </w:rPr>
        <w:t>绩效考核系数：参照员工考核方案详细说明</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绩效工资发放</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5</w:t>
      </w:r>
      <w:r>
        <w:rPr>
          <w:rFonts w:ascii="SimHei" w:hAnsi="SimHei" w:cs="楷体" w:eastAsia="黑体"/>
          <w:sz w:val="24"/>
          <w:szCs w:val="24"/>
        </w:rPr>
        <w:t>： 绩效工资发放</w:t>
      </w:r>
    </w:p>
    <w:tbl>
      <w:tblPr>
        <w:tblW w:w="8144" w:type="dxa"/>
        <w:jc w:val="center"/>
        <w:tblInd w:w="0" w:type="dxa"/>
        <w:tblLayout w:type="fixed"/>
        <w:tblCellMar>
          <w:top w:w="0" w:type="dxa"/>
          <w:start w:w="108" w:type="dxa"/>
          <w:bottom w:w="0" w:type="dxa"/>
          <w:end w:w="108" w:type="dxa"/>
        </w:tblCellMar>
      </w:tblPr>
      <w:tblGrid>
        <w:gridCol w:w="3052"/>
        <w:gridCol w:w="5092"/>
      </w:tblGrid>
      <w:tr>
        <w:trPr/>
        <w:tc>
          <w:tcPr>
            <w:tcW w:w="305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职位</w:t>
            </w:r>
          </w:p>
        </w:tc>
        <w:tc>
          <w:tcPr>
            <w:tcW w:w="509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发放时间</w:t>
            </w:r>
          </w:p>
        </w:tc>
      </w:tr>
      <w:tr>
        <w:trPr/>
        <w:tc>
          <w:tcPr>
            <w:tcW w:w="305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基层员工</w:t>
            </w:r>
          </w:p>
        </w:tc>
        <w:tc>
          <w:tcPr>
            <w:tcW w:w="509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每季度一次</w:t>
            </w:r>
          </w:p>
        </w:tc>
      </w:tr>
      <w:tr>
        <w:trPr/>
        <w:tc>
          <w:tcPr>
            <w:tcW w:w="305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中层管理人员</w:t>
            </w:r>
          </w:p>
        </w:tc>
        <w:tc>
          <w:tcPr>
            <w:tcW w:w="509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每半年一次</w:t>
            </w:r>
          </w:p>
        </w:tc>
      </w:tr>
      <w:tr>
        <w:trPr/>
        <w:tc>
          <w:tcPr>
            <w:tcW w:w="305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高层管理人员</w:t>
            </w:r>
          </w:p>
        </w:tc>
        <w:tc>
          <w:tcPr>
            <w:tcW w:w="5092" w:type="dxa"/>
            <w:tcBorders>
              <w:top w:val="single" w:sz="4" w:space="0" w:color="000000"/>
              <w:start w:val="single" w:sz="4" w:space="0" w:color="000000"/>
              <w:bottom w:val="single" w:sz="4" w:space="0" w:color="000000"/>
              <w:end w:val="single" w:sz="4" w:space="0" w:color="000000"/>
            </w:tcBorders>
            <w:vAlign w:val="center"/>
          </w:tcPr>
          <w:p>
            <w:pPr>
              <w:pStyle w:val="Style12"/>
              <w:spacing w:lineRule="auto" w:line="360"/>
              <w:rPr>
                <w:rFonts w:ascii="楷体" w:hAnsi="楷体" w:eastAsia="楷体" w:cs="楷体"/>
                <w:sz w:val="24"/>
                <w:szCs w:val="24"/>
              </w:rPr>
            </w:pPr>
            <w:r>
              <w:rPr>
                <w:rFonts w:ascii="SimHei" w:hAnsi="SimHei" w:cs="楷体" w:eastAsia="黑体"/>
                <w:sz w:val="24"/>
                <w:szCs w:val="24"/>
              </w:rPr>
              <w:t>每年度一次</w:t>
            </w:r>
          </w:p>
        </w:tc>
      </w:tr>
    </w:tbl>
    <w:p>
      <w:pPr>
        <w:pStyle w:val="Style10"/>
        <w:numPr>
          <w:ilvl w:val="0"/>
          <w:numId w:val="0"/>
        </w:numPr>
        <w:spacing w:lineRule="auto" w:line="360"/>
        <w:ind w:firstLine="480"/>
        <w:outlineLvl w:val="0"/>
        <w:rPr>
          <w:rFonts w:ascii="楷体" w:hAnsi="楷体" w:eastAsia="楷体" w:cs="楷体"/>
          <w:sz w:val="24"/>
        </w:rPr>
      </w:pPr>
      <w:r>
        <w:rPr>
          <w:rFonts w:ascii="SimHei" w:hAnsi="SimHei" w:cs="楷体" w:eastAsia="黑体"/>
          <w:sz w:val="24"/>
        </w:rPr>
        <w:t>绩效工资的发放时间为当期考核结束后下个月，为体现及时激励的原则，绩效工资的发放形式为一次性全额发放。</w:t>
      </w:r>
    </w:p>
    <w:p>
      <w:pPr>
        <w:pStyle w:val="Heading4"/>
        <w:numPr>
          <w:ilvl w:val="2"/>
          <w:numId w:val="2"/>
        </w:numPr>
        <w:spacing w:lineRule="auto" w:line="360" w:before="0" w:after="0"/>
        <w:ind w:start="0" w:firstLine="482"/>
        <w:rPr>
          <w:rFonts w:ascii="楷体" w:hAnsi="楷体" w:eastAsia="楷体" w:cs="楷体"/>
          <w:szCs w:val="24"/>
        </w:rPr>
      </w:pPr>
      <w:bookmarkStart w:id="32" w:name="__RefHeading___Toc30302497"/>
      <w:bookmarkEnd w:id="32"/>
      <w:r>
        <w:rPr>
          <w:rFonts w:ascii="SimHei" w:hAnsi="SimHei" w:cs="楷体" w:eastAsia="黑体"/>
          <w:szCs w:val="24"/>
        </w:rPr>
        <w:t>年功工资标准计算</w:t>
      </w:r>
    </w:p>
    <w:p>
      <w:pPr>
        <w:pStyle w:val="TextBodyIndent"/>
        <w:spacing w:lineRule="auto" w:line="360"/>
        <w:ind w:firstLine="480"/>
        <w:rPr>
          <w:rFonts w:ascii="楷体" w:hAnsi="楷体" w:eastAsia="楷体" w:cs="楷体"/>
          <w:sz w:val="24"/>
        </w:rPr>
      </w:pPr>
      <w:r>
        <w:rPr>
          <w:rFonts w:ascii="SimHei" w:hAnsi="SimHei" w:cs="楷体" w:eastAsia="黑体"/>
          <w:sz w:val="24"/>
        </w:rPr>
        <w:t>年功工资是根据职员在</w:t>
      </w:r>
      <w:r>
        <w:rPr>
          <w:rFonts w:eastAsia="黑体" w:cs="楷体" w:ascii="SimHei" w:hAnsi="SimHei"/>
          <w:sz w:val="24"/>
        </w:rPr>
        <w:t>XX</w:t>
      </w:r>
      <w:r>
        <w:rPr>
          <w:rFonts w:ascii="SimHei" w:hAnsi="SimHei" w:cs="楷体" w:eastAsia="黑体"/>
          <w:sz w:val="24"/>
        </w:rPr>
        <w:t>地产任职年数而逐年增加的薪金。依据</w:t>
      </w:r>
      <w:r>
        <w:rPr>
          <w:rFonts w:eastAsia="黑体" w:cs="楷体" w:ascii="SimHei" w:hAnsi="SimHei"/>
          <w:sz w:val="24"/>
        </w:rPr>
        <w:t>XX</w:t>
      </w:r>
      <w:r>
        <w:rPr>
          <w:rFonts w:ascii="SimHei" w:hAnsi="SimHei" w:cs="楷体" w:eastAsia="黑体"/>
          <w:sz w:val="24"/>
        </w:rPr>
        <w:t>地产管理者的现状和未来的人力资源规划，</w:t>
      </w:r>
      <w:r>
        <w:rPr>
          <w:rFonts w:eastAsia="黑体" w:cs="楷体" w:ascii="SimHei" w:hAnsi="SimHei"/>
          <w:sz w:val="24"/>
        </w:rPr>
        <w:t>XX</w:t>
      </w:r>
      <w:r>
        <w:rPr>
          <w:rFonts w:ascii="SimHei" w:hAnsi="SimHei" w:cs="楷体" w:eastAsia="黑体"/>
          <w:sz w:val="24"/>
        </w:rPr>
        <w:t>地产年功工资标准按下面公式计算：</w:t>
      </w:r>
    </w:p>
    <w:p>
      <w:pPr>
        <w:pStyle w:val="TextBodyIndent"/>
        <w:spacing w:lineRule="auto" w:line="360"/>
        <w:ind w:firstLine="480"/>
        <w:rPr>
          <w:rFonts w:ascii="楷体" w:hAnsi="楷体" w:eastAsia="楷体" w:cs="楷体"/>
          <w:sz w:val="24"/>
        </w:rPr>
      </w:pPr>
      <w:r>
        <w:rPr>
          <w:rFonts w:ascii="SimHei" w:hAnsi="SimHei" w:cs="楷体" w:eastAsia="黑体"/>
          <w:sz w:val="24"/>
        </w:rPr>
        <w:t>司龄</w:t>
      </w:r>
      <w:r>
        <w:rPr>
          <w:rFonts w:eastAsia="黑体" w:cs="楷体" w:ascii="SimHei" w:hAnsi="SimHei"/>
          <w:sz w:val="24"/>
        </w:rPr>
        <w:t>&lt; 10</w:t>
      </w:r>
      <w:r>
        <w:rPr>
          <w:rFonts w:ascii="SimHei" w:hAnsi="SimHei" w:cs="楷体" w:eastAsia="黑体"/>
          <w:sz w:val="24"/>
        </w:rPr>
        <w:t>年，年功工资＝司龄</w:t>
      </w:r>
      <w:r>
        <w:rPr>
          <w:rFonts w:eastAsia="黑体" w:cs="楷体" w:ascii="SimHei" w:hAnsi="SimHei"/>
          <w:sz w:val="24"/>
        </w:rPr>
        <w:t>X200</w:t>
      </w:r>
      <w:r>
        <w:rPr>
          <w:rFonts w:ascii="SimHei" w:hAnsi="SimHei" w:cs="楷体" w:eastAsia="黑体"/>
          <w:sz w:val="24"/>
        </w:rPr>
        <w:t>元（月）</w:t>
      </w:r>
    </w:p>
    <w:p>
      <w:pPr>
        <w:pStyle w:val="TextBodyIndent"/>
        <w:spacing w:lineRule="auto" w:line="360"/>
        <w:ind w:firstLine="480"/>
        <w:rPr>
          <w:rFonts w:ascii="楷体" w:hAnsi="楷体" w:eastAsia="楷体" w:cs="楷体"/>
          <w:sz w:val="24"/>
        </w:rPr>
      </w:pPr>
      <w:r>
        <w:rPr>
          <w:rFonts w:ascii="SimHei" w:hAnsi="SimHei" w:cs="楷体" w:eastAsia="黑体"/>
          <w:sz w:val="24"/>
        </w:rPr>
        <w:t>司龄≥</w:t>
      </w:r>
      <w:r>
        <w:rPr>
          <w:rFonts w:eastAsia="黑体" w:cs="楷体" w:ascii="SimHei" w:hAnsi="SimHei"/>
          <w:sz w:val="24"/>
        </w:rPr>
        <w:t>10</w:t>
      </w:r>
      <w:r>
        <w:rPr>
          <w:rFonts w:ascii="SimHei" w:hAnsi="SimHei" w:cs="楷体" w:eastAsia="黑体"/>
          <w:sz w:val="24"/>
        </w:rPr>
        <w:t>年，年功工资</w:t>
      </w:r>
      <w:r>
        <w:rPr>
          <w:rFonts w:eastAsia="黑体" w:cs="楷体" w:ascii="SimHei" w:hAnsi="SimHei"/>
          <w:sz w:val="24"/>
        </w:rPr>
        <w:t>=2000</w:t>
      </w:r>
      <w:r>
        <w:rPr>
          <w:rFonts w:ascii="SimHei" w:hAnsi="SimHei" w:cs="楷体" w:eastAsia="黑体"/>
          <w:sz w:val="24"/>
        </w:rPr>
        <w:t>元（月）</w:t>
      </w:r>
    </w:p>
    <w:p>
      <w:pPr>
        <w:pStyle w:val="Heading5"/>
        <w:numPr>
          <w:ilvl w:val="0"/>
          <w:numId w:val="25"/>
        </w:numPr>
        <w:spacing w:lineRule="auto" w:line="360" w:before="0" w:after="0"/>
        <w:ind w:start="0" w:firstLine="482"/>
        <w:rPr>
          <w:rFonts w:ascii="楷体" w:hAnsi="楷体" w:eastAsia="楷体" w:cs="楷体"/>
          <w:szCs w:val="24"/>
        </w:rPr>
      </w:pPr>
      <w:r>
        <w:rPr>
          <w:rFonts w:ascii="SimHei" w:hAnsi="SimHei" w:cs="楷体" w:eastAsia="黑体"/>
          <w:szCs w:val="24"/>
        </w:rPr>
        <w:t>承认年功的贡献</w:t>
      </w:r>
    </w:p>
    <w:p>
      <w:pPr>
        <w:pStyle w:val="TextBodyIndent"/>
        <w:spacing w:lineRule="auto" w:line="360"/>
        <w:ind w:firstLine="480"/>
        <w:rPr>
          <w:rFonts w:ascii="楷体" w:hAnsi="楷体" w:eastAsia="楷体" w:cs="楷体"/>
          <w:sz w:val="24"/>
        </w:rPr>
      </w:pPr>
      <w:r>
        <w:rPr>
          <w:rFonts w:ascii="SimHei" w:hAnsi="SimHei" w:cs="楷体" w:eastAsia="黑体"/>
          <w:sz w:val="24"/>
        </w:rPr>
        <w:t>年功工资的作用是通过奖励那些为</w:t>
      </w:r>
      <w:r>
        <w:rPr>
          <w:rFonts w:eastAsia="黑体" w:cs="楷体" w:ascii="SimHei" w:hAnsi="SimHei"/>
          <w:sz w:val="24"/>
        </w:rPr>
        <w:t>XX</w:t>
      </w:r>
      <w:r>
        <w:rPr>
          <w:rFonts w:ascii="SimHei" w:hAnsi="SimHei" w:cs="楷体" w:eastAsia="黑体"/>
          <w:sz w:val="24"/>
        </w:rPr>
        <w:t>地产作出长期贡献的职员，以保持人才队伍的稳定。员工在</w:t>
      </w:r>
      <w:r>
        <w:rPr>
          <w:rFonts w:eastAsia="黑体" w:cs="楷体" w:ascii="SimHei" w:hAnsi="SimHei"/>
          <w:sz w:val="24"/>
        </w:rPr>
        <w:t>XX</w:t>
      </w:r>
      <w:r>
        <w:rPr>
          <w:rFonts w:ascii="SimHei" w:hAnsi="SimHei" w:cs="楷体" w:eastAsia="黑体"/>
          <w:sz w:val="24"/>
        </w:rPr>
        <w:t>的服务年限对企业的认同和贡献是应该得到承认的，设立年功工资可以稳定员工队伍，适当平衡新老员工满意度差别。</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年功工资的增长受惠期</w:t>
      </w:r>
    </w:p>
    <w:p>
      <w:pPr>
        <w:pStyle w:val="TextBodyIndent"/>
        <w:spacing w:lineRule="auto" w:line="360"/>
        <w:ind w:firstLine="480"/>
        <w:rPr>
          <w:rFonts w:ascii="楷体" w:hAnsi="楷体" w:eastAsia="楷体" w:cs="楷体"/>
          <w:sz w:val="24"/>
        </w:rPr>
      </w:pPr>
      <w:r>
        <w:rPr>
          <w:rFonts w:ascii="SimHei" w:hAnsi="SimHei" w:cs="楷体" w:eastAsia="黑体"/>
          <w:sz w:val="24"/>
        </w:rPr>
        <w:t>年功工资的基本作用是通过增加工资标准来吸引和挽留职员，是企业保持职员队伍稳定性的措施之一。当职员在企业的工作年限较长并且对企业已经建立起基本的忠诚度后，年功工资的边际效用就会呈现下降趋势，这时企业应该通过其他激励措施（如股权、期权等）取代年功工资来强化和保持职员的忠诚度。根据</w:t>
      </w:r>
      <w:r>
        <w:rPr>
          <w:rFonts w:eastAsia="黑体" w:cs="楷体" w:ascii="SimHei" w:hAnsi="SimHei"/>
          <w:sz w:val="24"/>
        </w:rPr>
        <w:t>XX</w:t>
      </w:r>
      <w:r>
        <w:rPr>
          <w:rFonts w:ascii="SimHei" w:hAnsi="SimHei" w:cs="楷体" w:eastAsia="黑体"/>
          <w:sz w:val="24"/>
        </w:rPr>
        <w:t>的情况，增长受惠期为</w:t>
      </w:r>
      <w:r>
        <w:rPr>
          <w:rFonts w:eastAsia="黑体" w:cs="楷体" w:ascii="SimHei" w:hAnsi="SimHei"/>
          <w:sz w:val="24"/>
        </w:rPr>
        <w:t>10</w:t>
      </w:r>
      <w:r>
        <w:rPr>
          <w:rFonts w:ascii="SimHei" w:hAnsi="SimHei" w:cs="楷体" w:eastAsia="黑体"/>
          <w:sz w:val="24"/>
        </w:rPr>
        <w:t>年。</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年功工资的发放</w:t>
      </w:r>
    </w:p>
    <w:p>
      <w:pPr>
        <w:pStyle w:val="Style10"/>
        <w:numPr>
          <w:ilvl w:val="0"/>
          <w:numId w:val="0"/>
        </w:numPr>
        <w:spacing w:lineRule="auto" w:line="360"/>
        <w:ind w:firstLine="480"/>
        <w:outlineLvl w:val="0"/>
        <w:rPr>
          <w:rFonts w:ascii="楷体" w:hAnsi="楷体" w:eastAsia="楷体" w:cs="楷体"/>
          <w:sz w:val="24"/>
        </w:rPr>
      </w:pPr>
      <w:r>
        <w:rPr>
          <w:rFonts w:eastAsia="黑体" w:cs="楷体" w:ascii="SimHei" w:hAnsi="SimHei"/>
          <w:sz w:val="24"/>
        </w:rPr>
        <w:t>XX</w:t>
      </w:r>
      <w:r>
        <w:rPr>
          <w:rFonts w:ascii="SimHei" w:hAnsi="SimHei" w:cs="楷体" w:eastAsia="黑体"/>
          <w:sz w:val="24"/>
        </w:rPr>
        <w:t>地产所有员工为年功工资的发放对象，足额按月发放。</w:t>
      </w:r>
    </w:p>
    <w:p>
      <w:pPr>
        <w:pStyle w:val="Heading4"/>
        <w:numPr>
          <w:ilvl w:val="2"/>
          <w:numId w:val="2"/>
        </w:numPr>
        <w:spacing w:lineRule="auto" w:line="360" w:before="0" w:after="0"/>
        <w:ind w:start="0" w:firstLine="482"/>
        <w:rPr>
          <w:rFonts w:ascii="楷体" w:hAnsi="楷体" w:eastAsia="楷体" w:cs="楷体"/>
          <w:szCs w:val="24"/>
        </w:rPr>
      </w:pPr>
      <w:bookmarkStart w:id="33" w:name="__RefHeading___Toc30302498"/>
      <w:bookmarkEnd w:id="33"/>
      <w:r>
        <w:rPr>
          <w:rFonts w:ascii="SimHei" w:hAnsi="SimHei" w:cs="楷体" w:eastAsia="黑体"/>
          <w:szCs w:val="24"/>
        </w:rPr>
        <w:t>年度奖金标准计算</w:t>
      </w:r>
    </w:p>
    <w:p>
      <w:pPr>
        <w:pStyle w:val="TextBodyIndent"/>
        <w:spacing w:lineRule="auto" w:line="360"/>
        <w:ind w:firstLine="480"/>
        <w:rPr>
          <w:rFonts w:ascii="楷体" w:hAnsi="楷体" w:eastAsia="楷体" w:cs="楷体"/>
          <w:sz w:val="24"/>
        </w:rPr>
      </w:pPr>
      <w:r>
        <w:rPr>
          <w:rFonts w:ascii="SimHei" w:hAnsi="SimHei" w:cs="楷体" w:eastAsia="黑体"/>
          <w:sz w:val="24"/>
        </w:rPr>
        <w:t>年度奖金发放的前提是本年度股份公司获得超额利润，即公司盈利超过计划目标利润。</w:t>
      </w:r>
    </w:p>
    <w:p>
      <w:pPr>
        <w:pStyle w:val="Heading5"/>
        <w:numPr>
          <w:ilvl w:val="1"/>
          <w:numId w:val="16"/>
        </w:numPr>
        <w:spacing w:lineRule="auto" w:line="360" w:before="0" w:after="0"/>
        <w:ind w:start="0" w:firstLine="482"/>
        <w:rPr>
          <w:rFonts w:ascii="楷体" w:hAnsi="楷体" w:eastAsia="楷体" w:cs="楷体"/>
          <w:szCs w:val="24"/>
        </w:rPr>
      </w:pPr>
      <w:r>
        <w:rPr>
          <w:rFonts w:ascii="SimHei" w:hAnsi="SimHei" w:cs="楷体" w:eastAsia="黑体"/>
          <w:szCs w:val="24"/>
        </w:rPr>
        <w:t>年度奖金的发放对象</w:t>
      </w:r>
    </w:p>
    <w:p>
      <w:pPr>
        <w:pStyle w:val="TextBodyIndent"/>
        <w:spacing w:lineRule="auto" w:line="360"/>
        <w:ind w:firstLine="480"/>
        <w:rPr>
          <w:rFonts w:ascii="楷体" w:hAnsi="楷体" w:eastAsia="楷体" w:cs="楷体"/>
          <w:sz w:val="24"/>
        </w:rPr>
      </w:pPr>
      <w:r>
        <w:rPr>
          <w:rFonts w:ascii="SimHei" w:hAnsi="SimHei" w:cs="楷体" w:eastAsia="黑体"/>
          <w:sz w:val="24"/>
        </w:rPr>
        <w:t>年度奖金主要是主要管理者风险责任的相应回报。参与年度奖金分配的员工，应该是为公司获得超额利润者，包括：</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）股份公司领导（助总以上）</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）总部部门总经理</w:t>
      </w:r>
    </w:p>
    <w:p>
      <w:pPr>
        <w:pStyle w:val="TextBodyIndent"/>
        <w:spacing w:lineRule="auto" w:line="360"/>
        <w:ind w:firstLine="480"/>
        <w:rPr>
          <w:rFonts w:ascii="楷体" w:hAnsi="楷体" w:eastAsia="楷体" w:cs="楷体"/>
          <w:sz w:val="24"/>
        </w:rPr>
      </w:pPr>
      <w:r>
        <w:rPr>
          <w:rFonts w:ascii="SimHei" w:hAnsi="SimHei" w:cs="楷体" w:eastAsia="黑体"/>
          <w:sz w:val="24"/>
        </w:rPr>
        <w:t>（</w:t>
      </w:r>
      <w:r>
        <w:rPr>
          <w:rFonts w:eastAsia="黑体" w:cs="楷体" w:ascii="SimHei" w:hAnsi="SimHei"/>
          <w:sz w:val="24"/>
        </w:rPr>
        <w:t>3</w:t>
      </w:r>
      <w:r>
        <w:rPr>
          <w:rFonts w:ascii="SimHei" w:hAnsi="SimHei" w:cs="楷体" w:eastAsia="黑体"/>
          <w:sz w:val="24"/>
        </w:rPr>
        <w:t>）薪酬考核委员会提名的员工</w:t>
      </w:r>
    </w:p>
    <w:p>
      <w:pPr>
        <w:pStyle w:val="Heading5"/>
        <w:numPr>
          <w:ilvl w:val="1"/>
          <w:numId w:val="16"/>
        </w:numPr>
        <w:spacing w:lineRule="auto" w:line="360" w:before="0" w:after="0"/>
        <w:ind w:start="0" w:firstLine="482"/>
        <w:rPr>
          <w:rFonts w:ascii="楷体" w:hAnsi="楷体" w:eastAsia="楷体" w:cs="楷体"/>
          <w:szCs w:val="24"/>
        </w:rPr>
      </w:pPr>
      <w:r>
        <w:rPr>
          <w:rFonts w:ascii="SimHei" w:hAnsi="SimHei" w:cs="楷体" w:eastAsia="黑体"/>
          <w:szCs w:val="24"/>
        </w:rPr>
        <w:t>年度奖金核算</w:t>
      </w:r>
    </w:p>
    <w:p>
      <w:pPr>
        <w:pStyle w:val="TextBodyIndent"/>
        <w:spacing w:lineRule="auto" w:line="360"/>
        <w:ind w:firstLine="480"/>
        <w:rPr>
          <w:rFonts w:ascii="楷体" w:hAnsi="楷体" w:eastAsia="楷体" w:cs="楷体"/>
          <w:sz w:val="24"/>
        </w:rPr>
      </w:pPr>
      <w:r>
        <w:rPr>
          <w:rFonts w:ascii="SimHei" w:hAnsi="SimHei" w:cs="楷体" w:eastAsia="黑体"/>
          <w:sz w:val="24"/>
        </w:rPr>
        <w:t>个人奖金＝公司年终奖金总额</w:t>
      </w:r>
      <w:r>
        <w:rPr>
          <w:rFonts w:eastAsia="黑体" w:cs="楷体" w:ascii="SimHei" w:hAnsi="SimHei"/>
          <w:sz w:val="24"/>
        </w:rPr>
        <w:t>×</w:t>
      </w:r>
      <w:r>
        <w:rPr>
          <w:rFonts w:ascii="SimHei" w:hAnsi="SimHei" w:cs="楷体" w:eastAsia="黑体"/>
          <w:sz w:val="24"/>
        </w:rPr>
        <w:t>个人分配系数</w:t>
      </w:r>
    </w:p>
    <w:p>
      <w:pPr>
        <w:pStyle w:val="TextBodyIndent"/>
        <w:spacing w:lineRule="auto" w:line="360"/>
        <w:ind w:firstLine="480"/>
        <w:rPr>
          <w:rFonts w:ascii="楷体" w:hAnsi="楷体" w:eastAsia="楷体" w:cs="楷体"/>
          <w:sz w:val="24"/>
        </w:rPr>
      </w:pPr>
      <w:r>
        <w:rPr>
          <w:rFonts w:ascii="SimHei" w:hAnsi="SimHei" w:cs="楷体" w:eastAsia="黑体"/>
          <w:sz w:val="24"/>
        </w:rPr>
        <w:t>个人分配系数＝个人岗位系数</w:t>
      </w:r>
      <w:r>
        <w:rPr>
          <w:rFonts w:eastAsia="黑体" w:cs="楷体" w:ascii="SimHei" w:hAnsi="SimHei"/>
          <w:sz w:val="24"/>
        </w:rPr>
        <w:t>/</w:t>
      </w:r>
      <w:r>
        <w:rPr>
          <w:rFonts w:ascii="SimHei" w:hAnsi="SimHei" w:cs="楷体" w:eastAsia="黑体"/>
          <w:sz w:val="24"/>
        </w:rPr>
        <w:t>所有受惠对象的岗位系数之和</w:t>
      </w:r>
    </w:p>
    <w:p>
      <w:pPr>
        <w:pStyle w:val="Heading5"/>
        <w:numPr>
          <w:ilvl w:val="1"/>
          <w:numId w:val="16"/>
        </w:numPr>
        <w:spacing w:lineRule="auto" w:line="360" w:before="0" w:after="0"/>
        <w:ind w:start="0" w:firstLine="482"/>
        <w:rPr>
          <w:rFonts w:ascii="楷体" w:hAnsi="楷体" w:eastAsia="楷体" w:cs="楷体"/>
          <w:szCs w:val="24"/>
        </w:rPr>
      </w:pPr>
      <w:r>
        <w:rPr>
          <w:rFonts w:ascii="SimHei" w:hAnsi="SimHei" w:cs="楷体" w:eastAsia="黑体"/>
          <w:szCs w:val="24"/>
        </w:rPr>
        <w:t>年度奖金支付</w:t>
      </w:r>
    </w:p>
    <w:p>
      <w:pPr>
        <w:pStyle w:val="TextBodyIndent"/>
        <w:spacing w:lineRule="auto" w:line="360"/>
        <w:ind w:firstLine="480"/>
        <w:rPr>
          <w:rFonts w:ascii="楷体" w:hAnsi="楷体" w:eastAsia="楷体" w:cs="楷体"/>
          <w:sz w:val="24"/>
        </w:rPr>
      </w:pPr>
      <w:r>
        <w:rPr>
          <w:rFonts w:ascii="SimHei" w:hAnsi="SimHei" w:cs="楷体" w:eastAsia="黑体"/>
          <w:sz w:val="24"/>
        </w:rPr>
        <w:t>年度奖金的支付体现年度收入均衡及个人风险控制的原则。一方面由于房地产行业的特点年度效益不均衡，另一方面考虑保持骨干管理人员的稳定，年度奖金的发放按照下表进行：</w:t>
      </w:r>
    </w:p>
    <w:p>
      <w:pPr>
        <w:pStyle w:val="Style11"/>
        <w:spacing w:lineRule="auto" w:line="360" w:before="0" w:after="0"/>
        <w:ind w:hanging="0"/>
        <w:jc w:val="center"/>
        <w:rPr>
          <w:rFonts w:ascii="楷体" w:hAnsi="楷体" w:eastAsia="楷体" w:cs="楷体"/>
          <w:sz w:val="24"/>
          <w:szCs w:val="24"/>
        </w:rPr>
      </w:pPr>
      <w:r>
        <w:rPr>
          <w:rFonts w:ascii="SimHei" w:hAnsi="SimHei" w:cs="楷体" w:eastAsia="黑体"/>
          <w:sz w:val="24"/>
          <w:szCs w:val="24"/>
        </w:rPr>
        <w:t>表</w:t>
      </w:r>
      <w:r>
        <w:rPr>
          <w:rFonts w:eastAsia="黑体" w:cs="楷体" w:ascii="SimHei" w:hAnsi="SimHei"/>
          <w:sz w:val="24"/>
          <w:szCs w:val="24"/>
        </w:rPr>
        <w:t>2</w:t>
      </w:r>
      <w:r>
        <w:rPr>
          <w:rFonts w:ascii="SimHei" w:hAnsi="SimHei" w:cs="楷体" w:eastAsia="黑体"/>
          <w:sz w:val="24"/>
          <w:szCs w:val="24"/>
        </w:rPr>
        <w:t>－</w:t>
      </w:r>
      <w:r>
        <w:rPr>
          <w:rFonts w:eastAsia="黑体" w:cs="楷体" w:ascii="SimHei" w:hAnsi="SimHei"/>
          <w:sz w:val="24"/>
          <w:szCs w:val="24"/>
        </w:rPr>
        <w:t xml:space="preserve">6 </w:t>
      </w:r>
      <w:r>
        <w:rPr>
          <w:rFonts w:ascii="SimHei" w:hAnsi="SimHei" w:cs="楷体" w:eastAsia="黑体"/>
          <w:sz w:val="24"/>
          <w:szCs w:val="24"/>
        </w:rPr>
        <w:t>年度奖金支付</w:t>
      </w:r>
    </w:p>
    <w:tbl>
      <w:tblPr>
        <w:tblW w:w="8184" w:type="dxa"/>
        <w:jc w:val="center"/>
        <w:tblInd w:w="0" w:type="dxa"/>
        <w:tblLayout w:type="fixed"/>
        <w:tblCellMar>
          <w:top w:w="0" w:type="dxa"/>
          <w:start w:w="108" w:type="dxa"/>
          <w:bottom w:w="0" w:type="dxa"/>
          <w:end w:w="108" w:type="dxa"/>
        </w:tblCellMar>
      </w:tblPr>
      <w:tblGrid>
        <w:gridCol w:w="2130"/>
        <w:gridCol w:w="2130"/>
        <w:gridCol w:w="2130"/>
        <w:gridCol w:w="1794"/>
      </w:tblGrid>
      <w:tr>
        <w:trPr/>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年份</w:t>
            </w:r>
          </w:p>
        </w:tc>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当年</w:t>
            </w:r>
          </w:p>
        </w:tc>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第二年</w:t>
            </w:r>
          </w:p>
        </w:tc>
        <w:tc>
          <w:tcPr>
            <w:tcW w:w="179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第三年</w:t>
            </w:r>
          </w:p>
        </w:tc>
      </w:tr>
      <w:tr>
        <w:trPr/>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ascii="SimHei" w:hAnsi="SimHei" w:cs="楷体" w:eastAsia="黑体"/>
                <w:sz w:val="24"/>
                <w:szCs w:val="24"/>
              </w:rPr>
              <w:t>支付比例</w:t>
            </w:r>
          </w:p>
        </w:tc>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60%</w:t>
            </w:r>
          </w:p>
        </w:tc>
        <w:tc>
          <w:tcPr>
            <w:tcW w:w="2130"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20%</w:t>
            </w:r>
          </w:p>
        </w:tc>
        <w:tc>
          <w:tcPr>
            <w:tcW w:w="1794" w:type="dxa"/>
            <w:tcBorders>
              <w:top w:val="single" w:sz="4" w:space="0" w:color="000000"/>
              <w:start w:val="single" w:sz="4" w:space="0" w:color="000000"/>
              <w:bottom w:val="single" w:sz="4" w:space="0" w:color="000000"/>
              <w:end w:val="single" w:sz="4" w:space="0" w:color="000000"/>
            </w:tcBorders>
          </w:tcPr>
          <w:p>
            <w:pPr>
              <w:pStyle w:val="Style12"/>
              <w:spacing w:lineRule="auto" w:line="360"/>
              <w:rPr>
                <w:rFonts w:ascii="楷体" w:hAnsi="楷体" w:eastAsia="楷体" w:cs="楷体"/>
                <w:sz w:val="24"/>
                <w:szCs w:val="24"/>
              </w:rPr>
            </w:pPr>
            <w:r>
              <w:rPr>
                <w:rFonts w:eastAsia="黑体" w:cs="楷体" w:ascii="SimHei" w:hAnsi="SimHei"/>
                <w:sz w:val="24"/>
                <w:szCs w:val="24"/>
              </w:rPr>
              <w:t>20%</w:t>
            </w:r>
          </w:p>
        </w:tc>
      </w:tr>
    </w:tbl>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延迟发放年度奖金的减免</w:t>
      </w:r>
    </w:p>
    <w:p>
      <w:pPr>
        <w:pStyle w:val="TextBodyIndent"/>
        <w:spacing w:lineRule="auto" w:line="360"/>
        <w:ind w:firstLine="480"/>
        <w:rPr>
          <w:rFonts w:ascii="楷体" w:hAnsi="楷体" w:eastAsia="楷体" w:cs="楷体"/>
          <w:sz w:val="24"/>
        </w:rPr>
      </w:pPr>
      <w:r>
        <w:rPr>
          <w:rFonts w:ascii="SimHei" w:hAnsi="SimHei" w:cs="楷体" w:eastAsia="黑体"/>
          <w:sz w:val="24"/>
        </w:rPr>
        <w:t>以下情况对延迟发放年度奖金减免：</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）严重违反公司制度被公司除名者</w:t>
      </w:r>
      <w:r>
        <w:rPr>
          <w:rFonts w:ascii="SimHei" w:hAnsi="SimHei" w:cs="楷体" w:eastAsia="黑体"/>
          <w:sz w:val="24"/>
          <w:szCs w:val="24"/>
        </w:rPr>
        <w:t xml:space="preserve"> </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2</w:t>
      </w:r>
      <w:r>
        <w:rPr>
          <w:rFonts w:ascii="SimHei" w:hAnsi="SimHei" w:cs="楷体" w:eastAsia="黑体"/>
          <w:sz w:val="24"/>
          <w:szCs w:val="24"/>
        </w:rPr>
        <w:t>）合同期内且未经公司许可擅自离职者</w:t>
      </w:r>
      <w:r>
        <w:rPr>
          <w:rFonts w:ascii="SimHei" w:hAnsi="SimHei" w:cs="楷体" w:eastAsia="黑体"/>
          <w:sz w:val="24"/>
          <w:szCs w:val="24"/>
        </w:rPr>
        <w:t xml:space="preserve"> </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3</w:t>
      </w:r>
      <w:r>
        <w:rPr>
          <w:rFonts w:ascii="SimHei" w:hAnsi="SimHei" w:cs="楷体" w:eastAsia="黑体"/>
          <w:sz w:val="24"/>
          <w:szCs w:val="24"/>
        </w:rPr>
        <w:t>）被证实有私自占用公司资产或有贪污、受贿等行为者</w:t>
      </w:r>
      <w:r>
        <w:rPr>
          <w:rFonts w:ascii="SimHei" w:hAnsi="SimHei" w:cs="楷体" w:eastAsia="黑体"/>
          <w:sz w:val="24"/>
          <w:szCs w:val="24"/>
        </w:rPr>
        <w:t xml:space="preserve"> </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4</w:t>
      </w:r>
      <w:r>
        <w:rPr>
          <w:rFonts w:ascii="SimHei" w:hAnsi="SimHei" w:cs="楷体" w:eastAsia="黑体"/>
          <w:sz w:val="24"/>
          <w:szCs w:val="24"/>
        </w:rPr>
        <w:t>）被证实参与制定虚假财务数据者</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5</w:t>
      </w:r>
      <w:r>
        <w:rPr>
          <w:rFonts w:ascii="SimHei" w:hAnsi="SimHei" w:cs="楷体" w:eastAsia="黑体"/>
          <w:sz w:val="24"/>
          <w:szCs w:val="24"/>
        </w:rPr>
        <w:t>）被证实牺牲公司长期利益换取短期利益者</w:t>
      </w:r>
    </w:p>
    <w:p>
      <w:pPr>
        <w:pStyle w:val="Style13"/>
        <w:numPr>
          <w:ilvl w:val="0"/>
          <w:numId w:val="0"/>
        </w:numPr>
        <w:tabs>
          <w:tab w:val="left" w:pos="0" w:leader="none"/>
          <w:tab w:val="left" w:pos="360" w:leader="none"/>
          <w:tab w:val="left" w:pos="721" w:leader="none"/>
          <w:tab w:val="left" w:pos="5100"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6</w:t>
      </w:r>
      <w:r>
        <w:rPr>
          <w:rFonts w:ascii="SimHei" w:hAnsi="SimHei" w:cs="楷体" w:eastAsia="黑体"/>
          <w:sz w:val="24"/>
          <w:szCs w:val="24"/>
        </w:rPr>
        <w:t>）被证实与重大产品质量事故相关者</w:t>
      </w:r>
      <w:r>
        <w:rPr>
          <w:rFonts w:eastAsia="黑体" w:cs="楷体" w:ascii="SimHei" w:hAnsi="SimHei"/>
          <w:sz w:val="24"/>
          <w:szCs w:val="24"/>
        </w:rPr>
        <w:tab/>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延迟发放年度奖金的保留</w:t>
      </w:r>
    </w:p>
    <w:p>
      <w:pPr>
        <w:pStyle w:val="TextBodyIndent"/>
        <w:spacing w:lineRule="auto" w:line="360"/>
        <w:ind w:firstLine="480"/>
        <w:rPr>
          <w:rFonts w:ascii="楷体" w:hAnsi="楷体" w:eastAsia="楷体" w:cs="楷体"/>
          <w:sz w:val="24"/>
        </w:rPr>
      </w:pPr>
      <w:r>
        <w:rPr>
          <w:rFonts w:ascii="SimHei" w:hAnsi="SimHei" w:cs="楷体" w:eastAsia="黑体"/>
          <w:sz w:val="24"/>
        </w:rPr>
        <w:t>以下情况对延迟发放年度奖金保留：</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）按公司规定正常离休者</w:t>
      </w:r>
      <w:r>
        <w:rPr>
          <w:rFonts w:ascii="SimHei" w:hAnsi="SimHei" w:cs="楷体" w:eastAsia="黑体"/>
          <w:sz w:val="24"/>
          <w:szCs w:val="24"/>
        </w:rPr>
        <w:t xml:space="preserve"> </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2</w:t>
      </w:r>
      <w:r>
        <w:rPr>
          <w:rFonts w:ascii="SimHei" w:hAnsi="SimHei" w:cs="楷体" w:eastAsia="黑体"/>
          <w:sz w:val="24"/>
          <w:szCs w:val="24"/>
        </w:rPr>
        <w:t>）根据公司需要调离到其他地区公司任职者</w:t>
      </w:r>
    </w:p>
    <w:p>
      <w:pPr>
        <w:pStyle w:val="Heading5"/>
        <w:numPr>
          <w:ilvl w:val="0"/>
          <w:numId w:val="13"/>
        </w:numPr>
        <w:spacing w:lineRule="auto" w:line="360" w:before="0" w:after="0"/>
        <w:ind w:start="0" w:firstLine="482"/>
        <w:rPr>
          <w:rFonts w:ascii="楷体" w:hAnsi="楷体" w:eastAsia="楷体" w:cs="楷体"/>
          <w:szCs w:val="24"/>
        </w:rPr>
      </w:pPr>
      <w:r>
        <w:rPr>
          <w:rFonts w:ascii="SimHei" w:hAnsi="SimHei" w:cs="楷体" w:eastAsia="黑体"/>
          <w:szCs w:val="24"/>
        </w:rPr>
        <w:t>延迟奖金的提前兑现</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）按劳动合同规定正常离职者</w:t>
      </w:r>
      <w:r>
        <w:rPr>
          <w:rFonts w:ascii="SimHei" w:hAnsi="SimHei" w:cs="楷体" w:eastAsia="黑体"/>
          <w:sz w:val="24"/>
          <w:szCs w:val="24"/>
        </w:rPr>
        <w:t xml:space="preserve"> </w:t>
      </w:r>
    </w:p>
    <w:p>
      <w:pPr>
        <w:pStyle w:val="Style13"/>
        <w:numPr>
          <w:ilvl w:val="0"/>
          <w:numId w:val="0"/>
        </w:numPr>
        <w:tabs>
          <w:tab w:val="left" w:pos="0" w:leader="none"/>
          <w:tab w:val="left" w:pos="360" w:leader="none"/>
          <w:tab w:val="left" w:pos="721" w:leader="none"/>
        </w:tabs>
        <w:spacing w:lineRule="auto" w:line="360"/>
        <w:ind w:start="0" w:firstLine="480"/>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2</w:t>
      </w:r>
      <w:r>
        <w:rPr>
          <w:rFonts w:ascii="SimHei" w:hAnsi="SimHei" w:cs="楷体" w:eastAsia="黑体"/>
          <w:sz w:val="24"/>
          <w:szCs w:val="24"/>
        </w:rPr>
        <w:t>）由于不可抗力而无法在公司继续任职者</w:t>
      </w:r>
    </w:p>
    <w:sectPr>
      <w:headerReference w:type="default" r:id="rId5"/>
      <w:footerReference w:type="default" r:id="rId6"/>
      <w:type w:val="nextPage"/>
      <w:pgSz w:w="11906" w:h="16838"/>
      <w:pgMar w:left="1474" w:right="1474" w:header="624" w:top="851" w:footer="454" w:bottom="851"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Wingdings">
    <w:charset w:val="02"/>
    <w:family w:val="auto"/>
    <w:pitch w:val="default"/>
  </w:font>
  <w:font w:name="宋体">
    <w:charset w:val="86"/>
    <w:family w:val="auto"/>
    <w:pitch w:val="default"/>
  </w:font>
  <w:font w:name="黑体">
    <w:charset w:val="86"/>
    <w:family w:val="auto"/>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48</w:t>
    </w:r>
    <w:r>
      <w:rPr/>
      <w:fldChar w:fldCharType="end"/>
    </w:r>
  </w:p>
  <w:p>
    <w:pPr>
      <w:pStyle w:val="Footer"/>
      <w:tabs>
        <w:tab w:val="left" w:pos="4140" w:leader="none"/>
        <w:tab w:val="center" w:pos="4153" w:leader="none"/>
        <w:tab w:val="right" w:pos="8306" w:leader="none"/>
      </w:tabs>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
      <w:rPr/>
    </w:pPr>
    <w:r>
      <w:rPr/>
    </w:r>
  </w:p>
  <w:p>
    <w:pPr>
      <w:pStyle w:val="Contents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end"/>
      <w:rPr>
        <w:rFonts w:ascii="黑体" w:hAnsi="黑体"/>
      </w:rPr>
    </w:pPr>
    <w:r>
      <w:rPr>
        <w:rFonts w:ascii="黑体" w:hAnsi="黑体"/>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节"/>
      <w:lvlJc w:val="start"/>
      <w:pPr>
        <w:tabs>
          <w:tab w:val="num" w:pos="0"/>
        </w:tabs>
        <w:ind w:start="780" w:hanging="420"/>
      </w:pPr>
      <w:rPr>
        <w:sz w:val="28"/>
      </w:rPr>
    </w:lvl>
    <w:lvl w:ilvl="1">
      <w:start w:val="1"/>
      <w:numFmt w:val="chineseCountingThousand"/>
      <w:lvlText w:val="%2、"/>
      <w:lvlJc w:val="start"/>
      <w:pPr>
        <w:tabs>
          <w:tab w:val="num" w:pos="0"/>
        </w:tabs>
        <w:ind w:start="840" w:hanging="420"/>
      </w:pPr>
      <w:rPr/>
    </w:lvl>
    <w:lvl w:ilvl="2">
      <w:start w:val="1"/>
      <w:numFmt w:val="chineseCountingThousand"/>
      <w:lvlText w:val="（%3）"/>
      <w:lvlJc w:val="start"/>
      <w:pPr>
        <w:tabs>
          <w:tab w:val="num" w:pos="420"/>
        </w:tabs>
        <w:ind w:start="0" w:firstLine="425"/>
      </w:pPr>
      <w:rPr/>
    </w:lvl>
    <w:lvl w:ilvl="3">
      <w:start w:val="1"/>
      <w:numFmt w:val="chineseCountingThousand"/>
      <w:lvlText w:val="%4."/>
      <w:lvlJc w:val="start"/>
      <w:pPr>
        <w:tabs>
          <w:tab w:val="num" w:pos="0"/>
        </w:tabs>
        <w:ind w:start="1680" w:hanging="420"/>
      </w:pPr>
      <w:rPr/>
    </w:lvl>
    <w:lvl w:ilvl="4">
      <w:start w:val="1"/>
      <w:numFmt w:val="chineseCountingThousand"/>
      <w:lvlText w:val="（%5）"/>
      <w:lvlJc w:val="start"/>
      <w:pPr>
        <w:tabs>
          <w:tab w:val="num" w:pos="0"/>
        </w:tabs>
        <w:ind w:start="425" w:hanging="425"/>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bullet"/>
      <w:lvlText w:val=""/>
      <w:lvlJc w:val="start"/>
      <w:pPr>
        <w:tabs>
          <w:tab w:val="num" w:pos="0"/>
        </w:tabs>
        <w:ind w:start="59" w:firstLine="420"/>
      </w:pPr>
      <w:rPr>
        <w:rFonts w:ascii="Wingdings" w:hAnsi="Wingdings" w:cs="Wingdings" w:hint="default"/>
      </w:rPr>
    </w:lvl>
    <w:lvl w:ilvl="1">
      <w:start w:val="1"/>
      <w:numFmt w:val="bullet"/>
      <w:lvlText w:val=""/>
      <w:lvlJc w:val="start"/>
      <w:pPr>
        <w:tabs>
          <w:tab w:val="num" w:pos="0"/>
        </w:tabs>
        <w:ind w:start="1275" w:hanging="420"/>
      </w:pPr>
      <w:rPr>
        <w:rFonts w:ascii="Wingdings" w:hAnsi="Wingdings" w:cs="Wingdings" w:hint="default"/>
      </w:rPr>
    </w:lvl>
    <w:lvl w:ilvl="2">
      <w:start w:val="1"/>
      <w:numFmt w:val="bullet"/>
      <w:lvlText w:val=""/>
      <w:lvlJc w:val="start"/>
      <w:pPr>
        <w:tabs>
          <w:tab w:val="num" w:pos="0"/>
        </w:tabs>
        <w:ind w:start="1695" w:hanging="420"/>
      </w:pPr>
      <w:rPr>
        <w:rFonts w:ascii="Wingdings" w:hAnsi="Wingdings" w:cs="Wingdings" w:hint="default"/>
      </w:rPr>
    </w:lvl>
    <w:lvl w:ilvl="3">
      <w:start w:val="1"/>
      <w:numFmt w:val="bullet"/>
      <w:lvlText w:val=""/>
      <w:lvlJc w:val="start"/>
      <w:pPr>
        <w:tabs>
          <w:tab w:val="num" w:pos="0"/>
        </w:tabs>
        <w:ind w:start="2115" w:hanging="420"/>
      </w:pPr>
      <w:rPr>
        <w:rFonts w:ascii="Wingdings" w:hAnsi="Wingdings" w:cs="Wingdings" w:hint="default"/>
      </w:rPr>
    </w:lvl>
    <w:lvl w:ilvl="4">
      <w:start w:val="1"/>
      <w:numFmt w:val="bullet"/>
      <w:lvlText w:val=""/>
      <w:lvlJc w:val="start"/>
      <w:pPr>
        <w:tabs>
          <w:tab w:val="num" w:pos="0"/>
        </w:tabs>
        <w:ind w:start="2535" w:hanging="420"/>
      </w:pPr>
      <w:rPr>
        <w:rFonts w:ascii="Wingdings" w:hAnsi="Wingdings" w:cs="Wingdings" w:hint="default"/>
      </w:rPr>
    </w:lvl>
    <w:lvl w:ilvl="5">
      <w:start w:val="1"/>
      <w:numFmt w:val="bullet"/>
      <w:lvlText w:val=""/>
      <w:lvlJc w:val="start"/>
      <w:pPr>
        <w:tabs>
          <w:tab w:val="num" w:pos="0"/>
        </w:tabs>
        <w:ind w:start="2955" w:hanging="420"/>
      </w:pPr>
      <w:rPr>
        <w:rFonts w:ascii="Wingdings" w:hAnsi="Wingdings" w:cs="Wingdings" w:hint="default"/>
      </w:rPr>
    </w:lvl>
    <w:lvl w:ilvl="6">
      <w:start w:val="1"/>
      <w:numFmt w:val="bullet"/>
      <w:lvlText w:val=""/>
      <w:lvlJc w:val="start"/>
      <w:pPr>
        <w:tabs>
          <w:tab w:val="num" w:pos="0"/>
        </w:tabs>
        <w:ind w:start="3375" w:hanging="420"/>
      </w:pPr>
      <w:rPr>
        <w:rFonts w:ascii="Wingdings" w:hAnsi="Wingdings" w:cs="Wingdings" w:hint="default"/>
      </w:rPr>
    </w:lvl>
    <w:lvl w:ilvl="7">
      <w:start w:val="1"/>
      <w:numFmt w:val="bullet"/>
      <w:lvlText w:val=""/>
      <w:lvlJc w:val="start"/>
      <w:pPr>
        <w:tabs>
          <w:tab w:val="num" w:pos="0"/>
        </w:tabs>
        <w:ind w:start="3795" w:hanging="420"/>
      </w:pPr>
      <w:rPr>
        <w:rFonts w:ascii="Wingdings" w:hAnsi="Wingdings" w:cs="Wingdings" w:hint="default"/>
      </w:rPr>
    </w:lvl>
    <w:lvl w:ilvl="8">
      <w:start w:val="1"/>
      <w:numFmt w:val="bullet"/>
      <w:lvlText w:val=""/>
      <w:lvlJc w:val="start"/>
      <w:pPr>
        <w:tabs>
          <w:tab w:val="num" w:pos="0"/>
        </w:tabs>
        <w:ind w:start="4215" w:hanging="420"/>
      </w:pPr>
      <w:rPr>
        <w:rFonts w:ascii="Wingdings" w:hAnsi="Wingdings" w:cs="Wingdings" w:hint="default"/>
      </w:rPr>
    </w:lvl>
  </w:abstractNum>
  <w:abstractNum w:abstractNumId="5">
    <w:lvl w:ilvl="0">
      <w:start w:val="1"/>
      <w:numFmt w:val="bullet"/>
      <w:lvlText w:val=""/>
      <w:lvlJc w:val="start"/>
      <w:pPr>
        <w:tabs>
          <w:tab w:val="num" w:pos="0"/>
        </w:tabs>
        <w:ind w:start="59" w:firstLine="420"/>
      </w:pPr>
      <w:rPr>
        <w:rFonts w:ascii="Wingdings" w:hAnsi="Wingdings" w:cs="Wingdings" w:hint="default"/>
      </w:rPr>
    </w:lvl>
    <w:lvl w:ilvl="1">
      <w:start w:val="1"/>
      <w:numFmt w:val="bullet"/>
      <w:lvlText w:val=""/>
      <w:lvlJc w:val="start"/>
      <w:pPr>
        <w:tabs>
          <w:tab w:val="num" w:pos="0"/>
        </w:tabs>
        <w:ind w:start="1275" w:hanging="420"/>
      </w:pPr>
      <w:rPr>
        <w:rFonts w:ascii="Wingdings" w:hAnsi="Wingdings" w:cs="Wingdings" w:hint="default"/>
      </w:rPr>
    </w:lvl>
    <w:lvl w:ilvl="2">
      <w:start w:val="1"/>
      <w:numFmt w:val="bullet"/>
      <w:lvlText w:val=""/>
      <w:lvlJc w:val="start"/>
      <w:pPr>
        <w:tabs>
          <w:tab w:val="num" w:pos="0"/>
        </w:tabs>
        <w:ind w:start="1695" w:hanging="420"/>
      </w:pPr>
      <w:rPr>
        <w:rFonts w:ascii="Wingdings" w:hAnsi="Wingdings" w:cs="Wingdings" w:hint="default"/>
      </w:rPr>
    </w:lvl>
    <w:lvl w:ilvl="3">
      <w:start w:val="1"/>
      <w:numFmt w:val="bullet"/>
      <w:lvlText w:val=""/>
      <w:lvlJc w:val="start"/>
      <w:pPr>
        <w:tabs>
          <w:tab w:val="num" w:pos="0"/>
        </w:tabs>
        <w:ind w:start="2115" w:hanging="420"/>
      </w:pPr>
      <w:rPr>
        <w:rFonts w:ascii="Wingdings" w:hAnsi="Wingdings" w:cs="Wingdings" w:hint="default"/>
      </w:rPr>
    </w:lvl>
    <w:lvl w:ilvl="4">
      <w:start w:val="1"/>
      <w:numFmt w:val="bullet"/>
      <w:lvlText w:val=""/>
      <w:lvlJc w:val="start"/>
      <w:pPr>
        <w:tabs>
          <w:tab w:val="num" w:pos="0"/>
        </w:tabs>
        <w:ind w:start="2535" w:hanging="420"/>
      </w:pPr>
      <w:rPr>
        <w:rFonts w:ascii="Wingdings" w:hAnsi="Wingdings" w:cs="Wingdings" w:hint="default"/>
      </w:rPr>
    </w:lvl>
    <w:lvl w:ilvl="5">
      <w:start w:val="1"/>
      <w:numFmt w:val="bullet"/>
      <w:lvlText w:val=""/>
      <w:lvlJc w:val="start"/>
      <w:pPr>
        <w:tabs>
          <w:tab w:val="num" w:pos="0"/>
        </w:tabs>
        <w:ind w:start="2955" w:hanging="420"/>
      </w:pPr>
      <w:rPr>
        <w:rFonts w:ascii="Wingdings" w:hAnsi="Wingdings" w:cs="Wingdings" w:hint="default"/>
      </w:rPr>
    </w:lvl>
    <w:lvl w:ilvl="6">
      <w:start w:val="1"/>
      <w:numFmt w:val="bullet"/>
      <w:lvlText w:val=""/>
      <w:lvlJc w:val="start"/>
      <w:pPr>
        <w:tabs>
          <w:tab w:val="num" w:pos="0"/>
        </w:tabs>
        <w:ind w:start="3375" w:hanging="420"/>
      </w:pPr>
      <w:rPr>
        <w:rFonts w:ascii="Wingdings" w:hAnsi="Wingdings" w:cs="Wingdings" w:hint="default"/>
      </w:rPr>
    </w:lvl>
    <w:lvl w:ilvl="7">
      <w:start w:val="1"/>
      <w:numFmt w:val="bullet"/>
      <w:lvlText w:val=""/>
      <w:lvlJc w:val="start"/>
      <w:pPr>
        <w:tabs>
          <w:tab w:val="num" w:pos="0"/>
        </w:tabs>
        <w:ind w:start="3795" w:hanging="420"/>
      </w:pPr>
      <w:rPr>
        <w:rFonts w:ascii="Wingdings" w:hAnsi="Wingdings" w:cs="Wingdings" w:hint="default"/>
      </w:rPr>
    </w:lvl>
    <w:lvl w:ilvl="8">
      <w:start w:val="1"/>
      <w:numFmt w:val="bullet"/>
      <w:lvlText w:val=""/>
      <w:lvlJc w:val="start"/>
      <w:pPr>
        <w:tabs>
          <w:tab w:val="num" w:pos="0"/>
        </w:tabs>
        <w:ind w:start="4215" w:hanging="420"/>
      </w:pPr>
      <w:rPr>
        <w:rFonts w:ascii="Wingdings" w:hAnsi="Wingdings" w:cs="Wingdings" w:hint="default"/>
      </w:rPr>
    </w:lvl>
  </w:abstractNum>
  <w:abstractNum w:abstractNumId="6">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chineseCountingThousand"/>
      <w:lvlText w:val="（%1）"/>
      <w:lvlJc w:val="start"/>
      <w:pPr>
        <w:tabs>
          <w:tab w:val="num" w:pos="0"/>
        </w:tabs>
        <w:ind w:start="273" w:firstLine="11"/>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bullet"/>
      <w:lvlText w:val=""/>
      <w:lvlJc w:val="start"/>
      <w:pPr>
        <w:tabs>
          <w:tab w:val="num" w:pos="0"/>
        </w:tabs>
        <w:ind w:start="59" w:firstLine="420"/>
      </w:pPr>
      <w:rPr>
        <w:rFonts w:ascii="Wingdings" w:hAnsi="Wingdings" w:cs="Wingdings" w:hint="default"/>
      </w:rPr>
    </w:lvl>
    <w:lvl w:ilvl="1">
      <w:start w:val="1"/>
      <w:numFmt w:val="bullet"/>
      <w:lvlText w:val=""/>
      <w:lvlJc w:val="start"/>
      <w:pPr>
        <w:tabs>
          <w:tab w:val="num" w:pos="0"/>
        </w:tabs>
        <w:ind w:start="1275" w:hanging="420"/>
      </w:pPr>
      <w:rPr>
        <w:rFonts w:ascii="Wingdings" w:hAnsi="Wingdings" w:cs="Wingdings" w:hint="default"/>
      </w:rPr>
    </w:lvl>
    <w:lvl w:ilvl="2">
      <w:start w:val="1"/>
      <w:numFmt w:val="bullet"/>
      <w:lvlText w:val=""/>
      <w:lvlJc w:val="start"/>
      <w:pPr>
        <w:tabs>
          <w:tab w:val="num" w:pos="0"/>
        </w:tabs>
        <w:ind w:start="1695" w:hanging="420"/>
      </w:pPr>
      <w:rPr>
        <w:rFonts w:ascii="Wingdings" w:hAnsi="Wingdings" w:cs="Wingdings" w:hint="default"/>
      </w:rPr>
    </w:lvl>
    <w:lvl w:ilvl="3">
      <w:start w:val="1"/>
      <w:numFmt w:val="bullet"/>
      <w:lvlText w:val=""/>
      <w:lvlJc w:val="start"/>
      <w:pPr>
        <w:tabs>
          <w:tab w:val="num" w:pos="0"/>
        </w:tabs>
        <w:ind w:start="2115" w:hanging="420"/>
      </w:pPr>
      <w:rPr>
        <w:rFonts w:ascii="Wingdings" w:hAnsi="Wingdings" w:cs="Wingdings" w:hint="default"/>
      </w:rPr>
    </w:lvl>
    <w:lvl w:ilvl="4">
      <w:start w:val="1"/>
      <w:numFmt w:val="bullet"/>
      <w:lvlText w:val=""/>
      <w:lvlJc w:val="start"/>
      <w:pPr>
        <w:tabs>
          <w:tab w:val="num" w:pos="0"/>
        </w:tabs>
        <w:ind w:start="2535" w:hanging="420"/>
      </w:pPr>
      <w:rPr>
        <w:rFonts w:ascii="Wingdings" w:hAnsi="Wingdings" w:cs="Wingdings" w:hint="default"/>
      </w:rPr>
    </w:lvl>
    <w:lvl w:ilvl="5">
      <w:start w:val="1"/>
      <w:numFmt w:val="bullet"/>
      <w:lvlText w:val=""/>
      <w:lvlJc w:val="start"/>
      <w:pPr>
        <w:tabs>
          <w:tab w:val="num" w:pos="0"/>
        </w:tabs>
        <w:ind w:start="2955" w:hanging="420"/>
      </w:pPr>
      <w:rPr>
        <w:rFonts w:ascii="Wingdings" w:hAnsi="Wingdings" w:cs="Wingdings" w:hint="default"/>
      </w:rPr>
    </w:lvl>
    <w:lvl w:ilvl="6">
      <w:start w:val="1"/>
      <w:numFmt w:val="bullet"/>
      <w:lvlText w:val=""/>
      <w:lvlJc w:val="start"/>
      <w:pPr>
        <w:tabs>
          <w:tab w:val="num" w:pos="0"/>
        </w:tabs>
        <w:ind w:start="3375" w:hanging="420"/>
      </w:pPr>
      <w:rPr>
        <w:rFonts w:ascii="Wingdings" w:hAnsi="Wingdings" w:cs="Wingdings" w:hint="default"/>
      </w:rPr>
    </w:lvl>
    <w:lvl w:ilvl="7">
      <w:start w:val="1"/>
      <w:numFmt w:val="bullet"/>
      <w:lvlText w:val=""/>
      <w:lvlJc w:val="start"/>
      <w:pPr>
        <w:tabs>
          <w:tab w:val="num" w:pos="0"/>
        </w:tabs>
        <w:ind w:start="3795" w:hanging="420"/>
      </w:pPr>
      <w:rPr>
        <w:rFonts w:ascii="Wingdings" w:hAnsi="Wingdings" w:cs="Wingdings" w:hint="default"/>
      </w:rPr>
    </w:lvl>
    <w:lvl w:ilvl="8">
      <w:start w:val="1"/>
      <w:numFmt w:val="bullet"/>
      <w:lvlText w:val=""/>
      <w:lvlJc w:val="start"/>
      <w:pPr>
        <w:tabs>
          <w:tab w:val="num" w:pos="0"/>
        </w:tabs>
        <w:ind w:start="4215" w:hanging="420"/>
      </w:pPr>
      <w:rPr>
        <w:rFonts w:ascii="Wingdings" w:hAnsi="Wingdings" w:cs="Wingdings" w:hint="default"/>
      </w:rPr>
    </w:lvl>
  </w:abstractNum>
  <w:abstractNum w:abstractNumId="12">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bullet"/>
      <w:lvlText w:val=""/>
      <w:lvlJc w:val="start"/>
      <w:pPr>
        <w:tabs>
          <w:tab w:val="num" w:pos="0"/>
        </w:tabs>
        <w:ind w:start="59" w:firstLine="420"/>
      </w:pPr>
      <w:rPr>
        <w:rFonts w:ascii="Wingdings" w:hAnsi="Wingdings" w:cs="Wingdings" w:hint="default"/>
      </w:rPr>
    </w:lvl>
    <w:lvl w:ilvl="1">
      <w:start w:val="1"/>
      <w:numFmt w:val="bullet"/>
      <w:lvlText w:val=""/>
      <w:lvlJc w:val="start"/>
      <w:pPr>
        <w:tabs>
          <w:tab w:val="num" w:pos="0"/>
        </w:tabs>
        <w:ind w:start="1275" w:hanging="420"/>
      </w:pPr>
      <w:rPr>
        <w:rFonts w:ascii="Wingdings" w:hAnsi="Wingdings" w:cs="Wingdings" w:hint="default"/>
      </w:rPr>
    </w:lvl>
    <w:lvl w:ilvl="2">
      <w:start w:val="1"/>
      <w:numFmt w:val="bullet"/>
      <w:lvlText w:val=""/>
      <w:lvlJc w:val="start"/>
      <w:pPr>
        <w:tabs>
          <w:tab w:val="num" w:pos="0"/>
        </w:tabs>
        <w:ind w:start="1695" w:hanging="420"/>
      </w:pPr>
      <w:rPr>
        <w:rFonts w:ascii="Wingdings" w:hAnsi="Wingdings" w:cs="Wingdings" w:hint="default"/>
      </w:rPr>
    </w:lvl>
    <w:lvl w:ilvl="3">
      <w:start w:val="1"/>
      <w:numFmt w:val="bullet"/>
      <w:lvlText w:val=""/>
      <w:lvlJc w:val="start"/>
      <w:pPr>
        <w:tabs>
          <w:tab w:val="num" w:pos="0"/>
        </w:tabs>
        <w:ind w:start="2115" w:hanging="420"/>
      </w:pPr>
      <w:rPr>
        <w:rFonts w:ascii="Wingdings" w:hAnsi="Wingdings" w:cs="Wingdings" w:hint="default"/>
      </w:rPr>
    </w:lvl>
    <w:lvl w:ilvl="4">
      <w:start w:val="1"/>
      <w:numFmt w:val="bullet"/>
      <w:lvlText w:val=""/>
      <w:lvlJc w:val="start"/>
      <w:pPr>
        <w:tabs>
          <w:tab w:val="num" w:pos="0"/>
        </w:tabs>
        <w:ind w:start="2535" w:hanging="420"/>
      </w:pPr>
      <w:rPr>
        <w:rFonts w:ascii="Wingdings" w:hAnsi="Wingdings" w:cs="Wingdings" w:hint="default"/>
      </w:rPr>
    </w:lvl>
    <w:lvl w:ilvl="5">
      <w:start w:val="1"/>
      <w:numFmt w:val="bullet"/>
      <w:lvlText w:val=""/>
      <w:lvlJc w:val="start"/>
      <w:pPr>
        <w:tabs>
          <w:tab w:val="num" w:pos="0"/>
        </w:tabs>
        <w:ind w:start="2955" w:hanging="420"/>
      </w:pPr>
      <w:rPr>
        <w:rFonts w:ascii="Wingdings" w:hAnsi="Wingdings" w:cs="Wingdings" w:hint="default"/>
      </w:rPr>
    </w:lvl>
    <w:lvl w:ilvl="6">
      <w:start w:val="1"/>
      <w:numFmt w:val="bullet"/>
      <w:lvlText w:val=""/>
      <w:lvlJc w:val="start"/>
      <w:pPr>
        <w:tabs>
          <w:tab w:val="num" w:pos="0"/>
        </w:tabs>
        <w:ind w:start="3375" w:hanging="420"/>
      </w:pPr>
      <w:rPr>
        <w:rFonts w:ascii="Wingdings" w:hAnsi="Wingdings" w:cs="Wingdings" w:hint="default"/>
      </w:rPr>
    </w:lvl>
    <w:lvl w:ilvl="7">
      <w:start w:val="1"/>
      <w:numFmt w:val="bullet"/>
      <w:lvlText w:val=""/>
      <w:lvlJc w:val="start"/>
      <w:pPr>
        <w:tabs>
          <w:tab w:val="num" w:pos="0"/>
        </w:tabs>
        <w:ind w:start="3795" w:hanging="420"/>
      </w:pPr>
      <w:rPr>
        <w:rFonts w:ascii="Wingdings" w:hAnsi="Wingdings" w:cs="Wingdings" w:hint="default"/>
      </w:rPr>
    </w:lvl>
    <w:lvl w:ilvl="8">
      <w:start w:val="1"/>
      <w:numFmt w:val="bullet"/>
      <w:lvlText w:val=""/>
      <w:lvlJc w:val="start"/>
      <w:pPr>
        <w:tabs>
          <w:tab w:val="num" w:pos="0"/>
        </w:tabs>
        <w:ind w:start="4215" w:hanging="420"/>
      </w:pPr>
      <w:rPr>
        <w:rFonts w:ascii="Wingdings" w:hAnsi="Wingdings" w:cs="Wingdings" w:hint="default"/>
      </w:rPr>
    </w:lvl>
  </w:abstractNum>
  <w:abstractNum w:abstractNumId="15">
    <w:lvl w:ilvl="0">
      <w:start w:val="1"/>
      <w:numFmt w:val="decimal"/>
      <w:lvlText w:val="%1."/>
      <w:lvlJc w:val="start"/>
      <w:pPr>
        <w:tabs>
          <w:tab w:val="num" w:pos="0"/>
        </w:tabs>
        <w:ind w:start="420" w:hanging="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840" w:hanging="420"/>
      </w:pPr>
      <w:rPr/>
    </w:lvl>
    <w:lvl w:ilvl="1">
      <w:start w:val="1"/>
      <w:numFmt w:val="decimal"/>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0"/>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Indent"/>
    <w:qFormat/>
    <w:pPr>
      <w:keepNext w:val="true"/>
      <w:keepLines/>
      <w:spacing w:lineRule="auto" w:line="576" w:before="340" w:after="330"/>
      <w:jc w:val="center"/>
      <w:outlineLvl w:val="0"/>
    </w:pPr>
    <w:rPr>
      <w:rFonts w:eastAsia="黑体"/>
      <w:b/>
      <w:bCs/>
      <w:kern w:val="2"/>
      <w:sz w:val="28"/>
      <w:szCs w:val="44"/>
    </w:rPr>
  </w:style>
  <w:style w:type="paragraph" w:styleId="Heading2">
    <w:name w:val="Heading 2"/>
    <w:basedOn w:val="Normal"/>
    <w:next w:val="TextBodyIndent"/>
    <w:qFormat/>
    <w:pPr>
      <w:keepNext w:val="true"/>
      <w:keepLines/>
      <w:numPr>
        <w:ilvl w:val="0"/>
        <w:numId w:val="2"/>
      </w:numPr>
      <w:tabs>
        <w:tab w:val="clear" w:pos="420"/>
        <w:tab w:val="left" w:pos="1080" w:leader="none"/>
      </w:tabs>
      <w:spacing w:lineRule="auto" w:line="415" w:before="260" w:after="260"/>
      <w:jc w:val="center"/>
      <w:outlineLvl w:val="1"/>
    </w:pPr>
    <w:rPr>
      <w:rFonts w:ascii="Arial" w:hAnsi="Arial" w:cs="Arial"/>
      <w:b/>
      <w:bCs/>
      <w:sz w:val="24"/>
      <w:szCs w:val="32"/>
    </w:rPr>
  </w:style>
  <w:style w:type="paragraph" w:styleId="Heading3">
    <w:name w:val="Heading 3"/>
    <w:basedOn w:val="Normal"/>
    <w:next w:val="TextBodyIndent"/>
    <w:qFormat/>
    <w:pPr>
      <w:keepNext w:val="true"/>
      <w:keepLines/>
      <w:numPr>
        <w:ilvl w:val="0"/>
        <w:numId w:val="2"/>
      </w:numPr>
      <w:tabs>
        <w:tab w:val="clear" w:pos="420"/>
        <w:tab w:val="left" w:pos="1140" w:leader="none"/>
      </w:tabs>
      <w:spacing w:lineRule="auto" w:line="415" w:before="260" w:after="260"/>
      <w:outlineLvl w:val="2"/>
    </w:pPr>
    <w:rPr>
      <w:b/>
      <w:bCs/>
      <w:sz w:val="24"/>
      <w:szCs w:val="32"/>
    </w:rPr>
  </w:style>
  <w:style w:type="paragraph" w:styleId="Heading4">
    <w:name w:val="Heading 4"/>
    <w:basedOn w:val="Normal"/>
    <w:next w:val="TextBodyIndent"/>
    <w:qFormat/>
    <w:pPr>
      <w:keepNext w:val="true"/>
      <w:keepLines/>
      <w:numPr>
        <w:ilvl w:val="0"/>
        <w:numId w:val="2"/>
      </w:numPr>
      <w:tabs>
        <w:tab w:val="clear" w:pos="420"/>
        <w:tab w:val="left" w:pos="1145" w:leader="none"/>
      </w:tabs>
      <w:spacing w:lineRule="auto" w:line="376" w:before="240" w:after="120"/>
      <w:outlineLvl w:val="3"/>
    </w:pPr>
    <w:rPr>
      <w:rFonts w:ascii="Arial" w:hAnsi="Arial" w:eastAsia="黑体" w:cs="Arial"/>
      <w:b/>
      <w:bCs/>
      <w:sz w:val="24"/>
      <w:szCs w:val="28"/>
    </w:rPr>
  </w:style>
  <w:style w:type="paragraph" w:styleId="Heading5">
    <w:name w:val="Heading 5"/>
    <w:basedOn w:val="Normal"/>
    <w:next w:val="TextBodyIndent"/>
    <w:qFormat/>
    <w:pPr>
      <w:keepNext w:val="true"/>
      <w:keepLines/>
      <w:numPr>
        <w:ilvl w:val="0"/>
        <w:numId w:val="13"/>
      </w:numPr>
      <w:tabs>
        <w:tab w:val="clear" w:pos="420"/>
        <w:tab w:val="left" w:pos="780" w:leader="none"/>
      </w:tabs>
      <w:spacing w:lineRule="auto" w:line="376" w:before="120" w:after="80"/>
      <w:outlineLvl w:val="4"/>
    </w:pPr>
    <w:rPr>
      <w:b/>
      <w:bCs/>
      <w:sz w:val="24"/>
      <w:szCs w:val="28"/>
    </w:rPr>
  </w:style>
  <w:style w:type="character" w:styleId="WW8Num1z0">
    <w:name w:val="WW8Num1z0"/>
    <w:qFormat/>
    <w:rPr>
      <w:sz w:val="28"/>
    </w:rPr>
  </w:style>
  <w:style w:type="character" w:styleId="WW8Num1z1">
    <w:name w:val="WW8Num1z1"/>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Style9">
    <w:name w:val="默认段落字体"/>
    <w:qFormat/>
    <w:rPr/>
  </w:style>
  <w:style w:type="character" w:styleId="Char">
    <w:name w:val="页脚 Char"/>
    <w:basedOn w:val="Style9"/>
    <w:qFormat/>
    <w:rPr>
      <w:kern w:val="2"/>
      <w:sz w:val="18"/>
    </w:rPr>
  </w:style>
  <w:style w:type="character" w:styleId="InternetLink">
    <w:name w:val="Hyperlink"/>
    <w:rPr>
      <w:color w:val="0000FF"/>
      <w:u w:val="single"/>
    </w:rPr>
  </w:style>
  <w:style w:type="character" w:styleId="PageNumber">
    <w:name w:val="Page Number"/>
    <w:basedOn w:val="Style9"/>
    <w:rPr/>
  </w:style>
  <w:style w:type="character" w:styleId="VisitedInternetLink">
    <w:name w:val="FollowedHyperlink"/>
    <w:rPr>
      <w:color w:val="800080"/>
      <w:u w:val="single"/>
    </w:rPr>
  </w:style>
  <w:style w:type="character" w:styleId="Char1">
    <w:name w:val="页眉 Char"/>
    <w:basedOn w:val="Style9"/>
    <w:qFormat/>
    <w:rPr>
      <w:kern w:val="2"/>
      <w:sz w:val="18"/>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eastAsia="黑体" w:cs="Arial"/>
      <w:b/>
      <w:bCs/>
      <w:sz w:val="5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4">
    <w:name w:val="TOC 4"/>
    <w:basedOn w:val="Normal"/>
    <w:next w:val="Normal"/>
    <w:pPr>
      <w:ind w:start="1260" w:hanging="0"/>
    </w:pPr>
    <w:rPr>
      <w:szCs w:val="20"/>
    </w:rPr>
  </w:style>
  <w:style w:type="paragraph" w:styleId="Contents7">
    <w:name w:val="TOC 7"/>
    <w:basedOn w:val="Normal"/>
    <w:next w:val="Normal"/>
    <w:pPr>
      <w:ind w:start="2520" w:hanging="0"/>
    </w:pPr>
    <w:rPr/>
  </w:style>
  <w:style w:type="paragraph" w:styleId="Style10">
    <w:name w:val="正文缩进"/>
    <w:basedOn w:val="Normal"/>
    <w:qFormat/>
    <w:pPr>
      <w:spacing w:lineRule="auto" w:line="300"/>
      <w:ind w:firstLine="420"/>
    </w:pPr>
    <w:rPr/>
  </w:style>
  <w:style w:type="paragraph" w:styleId="TextBodyIndent">
    <w:name w:val="Body Text Indent"/>
    <w:basedOn w:val="Normal"/>
    <w:pPr>
      <w:spacing w:lineRule="auto" w:line="300"/>
      <w:ind w:firstLine="359"/>
    </w:pPr>
    <w:rPr>
      <w:rFonts w:ascii="宋体" w:hAnsi="宋体"/>
    </w:rPr>
  </w:style>
  <w:style w:type="paragraph" w:styleId="Contents8">
    <w:name w:val="TOC 8"/>
    <w:basedOn w:val="Normal"/>
    <w:next w:val="Normal"/>
    <w:pPr>
      <w:ind w:start="2940" w:hanging="0"/>
    </w:pPr>
    <w:rPr/>
  </w:style>
  <w:style w:type="paragraph" w:styleId="Font5">
    <w:name w:val="font5"/>
    <w:basedOn w:val="Normal"/>
    <w:qFormat/>
    <w:pPr>
      <w:widowControl/>
      <w:spacing w:before="280" w:after="280"/>
      <w:jc w:val="start"/>
    </w:pPr>
    <w:rPr>
      <w:rFonts w:ascii="宋体" w:hAnsi="宋体" w:cs="宋体"/>
      <w:kern w:val="0"/>
      <w:sz w:val="18"/>
      <w:szCs w:val="18"/>
    </w:rPr>
  </w:style>
  <w:style w:type="paragraph" w:styleId="Style11">
    <w:name w:val="表题"/>
    <w:basedOn w:val="Normal"/>
    <w:next w:val="Normal"/>
    <w:qFormat/>
    <w:pPr>
      <w:spacing w:before="156" w:after="0"/>
      <w:ind w:firstLine="841"/>
      <w:jc w:val="start"/>
    </w:pPr>
    <w:rPr>
      <w:b/>
      <w:szCs w:val="20"/>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黑体" w:hAnsi="黑体" w:eastAsia="黑体" w:cs="宋体"/>
      <w:b/>
      <w:bCs/>
      <w:kern w:val="0"/>
      <w:sz w:val="2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s>
      <w:snapToGrid w:val="false"/>
      <w:jc w:val="center"/>
    </w:pPr>
    <w:rPr>
      <w:sz w:val="18"/>
      <w:szCs w:val="20"/>
    </w:rPr>
  </w:style>
  <w:style w:type="paragraph" w:styleId="1">
    <w:name w:val="页眉1"/>
    <w:basedOn w:val="Header"/>
    <w:qFormat/>
    <w:pPr>
      <w:pBdr>
        <w:bottom w:val="nil"/>
      </w:pBdr>
      <w:jc w:val="both"/>
    </w:pPr>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kern w:val="0"/>
      <w:sz w:val="20"/>
      <w:szCs w:val="20"/>
    </w:rPr>
  </w:style>
  <w:style w:type="paragraph" w:styleId="Contents5">
    <w:name w:val="TOC 5"/>
    <w:basedOn w:val="Normal"/>
    <w:next w:val="Normal"/>
    <w:pPr>
      <w:ind w:start="1680" w:hanging="0"/>
    </w:pPr>
    <w:rPr>
      <w:szCs w:val="20"/>
    </w:rPr>
  </w:style>
  <w:style w:type="paragraph" w:styleId="Contents3">
    <w:name w:val="TOC 3"/>
    <w:basedOn w:val="Normal"/>
    <w:next w:val="Normal"/>
    <w:pPr>
      <w:tabs>
        <w:tab w:val="clear" w:pos="420"/>
        <w:tab w:val="left" w:pos="851" w:leader="none"/>
        <w:tab w:val="right" w:pos="8296" w:leader="dot"/>
      </w:tabs>
      <w:ind w:firstLine="424"/>
    </w:pPr>
    <w:rPr>
      <w:szCs w:val="20"/>
    </w:rPr>
  </w:style>
  <w:style w:type="paragraph" w:styleId="Style12">
    <w:name w:val="表格文字"/>
    <w:basedOn w:val="Normal"/>
    <w:qFormat/>
    <w:pPr>
      <w:jc w:val="center"/>
    </w:pPr>
    <w:rPr>
      <w:szCs w:val="20"/>
    </w:rPr>
  </w:style>
  <w:style w:type="paragraph" w:styleId="Contents2">
    <w:name w:val="TOC 2"/>
    <w:basedOn w:val="Normal"/>
    <w:next w:val="Normal"/>
    <w:pPr>
      <w:tabs>
        <w:tab w:val="clear" w:pos="420"/>
        <w:tab w:val="left" w:pos="1260" w:leader="none"/>
        <w:tab w:val="right" w:pos="8296" w:leader="dot"/>
      </w:tabs>
      <w:ind w:firstLine="424"/>
      <w:jc w:val="start"/>
    </w:pPr>
    <w:rPr>
      <w:smallCaps/>
    </w:rPr>
  </w:style>
  <w:style w:type="paragraph" w:styleId="Footer">
    <w:name w:val="Footer"/>
    <w:basedOn w:val="Normal"/>
    <w:pPr>
      <w:tabs>
        <w:tab w:val="clear" w:pos="420"/>
        <w:tab w:val="center" w:pos="4153" w:leader="none"/>
        <w:tab w:val="right" w:pos="8306" w:leader="none"/>
      </w:tabs>
      <w:snapToGrid w:val="false"/>
      <w:jc w:val="start"/>
    </w:pPr>
    <w:rPr>
      <w:sz w:val="18"/>
      <w:szCs w:val="20"/>
    </w:rPr>
  </w:style>
  <w:style w:type="paragraph" w:styleId="Contents1">
    <w:name w:val="TOC 1"/>
    <w:basedOn w:val="Normal"/>
    <w:next w:val="Normal"/>
    <w:pPr>
      <w:tabs>
        <w:tab w:val="clear" w:pos="420"/>
        <w:tab w:val="right" w:pos="8296" w:leader="dot"/>
      </w:tabs>
      <w:spacing w:lineRule="auto" w:line="360"/>
      <w:ind w:firstLine="422"/>
      <w:jc w:val="start"/>
    </w:pPr>
    <w:rPr>
      <w:b/>
      <w:bCs/>
      <w:caps/>
    </w:rPr>
  </w:style>
  <w:style w:type="paragraph" w:styleId="Style13">
    <w:name w:val="带符号正文"/>
    <w:basedOn w:val="Normal"/>
    <w:next w:val="Normal"/>
    <w:qFormat/>
    <w:pPr>
      <w:numPr>
        <w:ilvl w:val="0"/>
        <w:numId w:val="11"/>
      </w:numPr>
      <w:tabs>
        <w:tab w:val="clear" w:pos="420"/>
        <w:tab w:val="left" w:pos="360" w:leader="none"/>
        <w:tab w:val="left" w:pos="721" w:leader="none"/>
      </w:tabs>
      <w:spacing w:lineRule="auto" w:line="300"/>
    </w:pPr>
    <w:rPr>
      <w:rFonts w:ascii="宋体" w:hAnsi="宋体"/>
      <w:szCs w:val="20"/>
    </w:rPr>
  </w:style>
  <w:style w:type="paragraph" w:styleId="Contents6">
    <w:name w:val="TOC 6"/>
    <w:basedOn w:val="Normal"/>
    <w:next w:val="Normal"/>
    <w:pPr>
      <w:ind w:start="2100" w:hanging="0"/>
    </w:pPr>
    <w:rPr/>
  </w:style>
  <w:style w:type="paragraph" w:styleId="Style14">
    <w:name w:val="图题"/>
    <w:basedOn w:val="TextBodyIndent"/>
    <w:next w:val="Normal"/>
    <w:qFormat/>
    <w:pPr>
      <w:spacing w:before="0" w:after="312"/>
      <w:ind w:hanging="0"/>
      <w:jc w:val="center"/>
    </w:pPr>
    <w:rPr>
      <w:b/>
      <w:sz w:val="21"/>
    </w:rPr>
  </w:style>
  <w:style w:type="paragraph" w:styleId="Contents9">
    <w:name w:val="TOC 9"/>
    <w:basedOn w:val="Normal"/>
    <w:next w:val="Normal"/>
    <w:pPr>
      <w:ind w:start="3360" w:hanging="0"/>
    </w:pPr>
    <w:rPr/>
  </w:style>
  <w:style w:type="paragraph" w:styleId="Style15">
    <w:name w:val="图"/>
    <w:basedOn w:val="Normal"/>
    <w:next w:val="Style14"/>
    <w:qFormat/>
    <w:pPr>
      <w:spacing w:before="156" w:after="0"/>
      <w:jc w:val="center"/>
    </w:pPr>
    <w:rPr>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诺亚舟正式报告文件（五号字体）模板</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2003-01-13T17:28:00Z</dcterms:created>
  <dc:creator>sinomc</dc:creator>
  <dc:description/>
  <dc:language>en-US</dc:language>
  <cp:lastModifiedBy>Administrator</cp:lastModifiedBy>
  <cp:lastPrinted>2002-12-31T09:26:00Z</cp:lastPrinted>
  <dcterms:modified xsi:type="dcterms:W3CDTF">2019-10-16T16:09:04Z</dcterms:modified>
  <cp:revision>22</cp:revision>
  <dc:subject/>
  <dc:title>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