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pacing w:line="360" w:lineRule="auto"/>
        <w:jc w:val="center"/>
        <w:textAlignment w:val="auto"/>
        <w:rPr>
          <w:rFonts w:hint="eastAsia" w:ascii="楷体" w:hAnsi="楷体" w:eastAsia="楷体" w:cs="楷体"/>
          <w:w w:val="130"/>
          <w:sz w:val="44"/>
          <w:szCs w:val="44"/>
        </w:rPr>
      </w:pP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b/>
          <w:bCs/>
          <w:szCs w:val="21"/>
        </w:rPr>
      </w:pPr>
    </w:p>
    <w:p>
      <w:pPr>
        <w:keepNext w:val="0"/>
        <w:keepLines w:val="0"/>
        <w:pageBreakBefore w:val="0"/>
        <w:widowControl w:val="0"/>
        <w:kinsoku/>
        <w:wordWrap/>
        <w:overflowPunct/>
        <w:topLinePunct w:val="0"/>
        <w:bidi w:val="0"/>
        <w:adjustRightInd w:val="0"/>
        <w:snapToGrid w:val="0"/>
        <w:spacing w:line="360" w:lineRule="auto"/>
        <w:textAlignment w:val="auto"/>
        <w:rPr>
          <w:rFonts w:hint="eastAsia" w:ascii="楷体" w:hAnsi="楷体" w:eastAsia="楷体" w:cs="楷体"/>
          <w:szCs w:val="21"/>
        </w:rPr>
      </w:pPr>
    </w:p>
    <w:p>
      <w:pPr>
        <w:keepNext w:val="0"/>
        <w:keepLines w:val="0"/>
        <w:pageBreakBefore w:val="0"/>
        <w:widowControl w:val="0"/>
        <w:kinsoku/>
        <w:wordWrap/>
        <w:overflowPunct/>
        <w:topLinePunct w:val="0"/>
        <w:bidi w:val="0"/>
        <w:adjustRightInd w:val="0"/>
        <w:snapToGrid w:val="0"/>
        <w:spacing w:line="360" w:lineRule="auto"/>
        <w:textAlignment w:val="auto"/>
        <w:rPr>
          <w:rFonts w:hint="eastAsia" w:ascii="楷体" w:hAnsi="楷体" w:eastAsia="楷体" w:cs="楷体"/>
          <w:szCs w:val="21"/>
        </w:rPr>
      </w:pPr>
    </w:p>
    <w:p>
      <w:pPr>
        <w:keepNext w:val="0"/>
        <w:keepLines w:val="0"/>
        <w:pageBreakBefore w:val="0"/>
        <w:widowControl w:val="0"/>
        <w:kinsoku/>
        <w:wordWrap/>
        <w:overflowPunct/>
        <w:topLinePunct w:val="0"/>
        <w:bidi w:val="0"/>
        <w:adjustRightInd w:val="0"/>
        <w:snapToGrid w:val="0"/>
        <w:spacing w:line="360" w:lineRule="auto"/>
        <w:textAlignment w:val="auto"/>
        <w:rPr>
          <w:rFonts w:hint="eastAsia" w:ascii="楷体" w:hAnsi="楷体" w:eastAsia="楷体" w:cs="楷体"/>
          <w:szCs w:val="21"/>
        </w:rPr>
      </w:pPr>
    </w:p>
    <w:p>
      <w:pPr>
        <w:keepNext w:val="0"/>
        <w:keepLines w:val="0"/>
        <w:pageBreakBefore w:val="0"/>
        <w:widowControl w:val="0"/>
        <w:kinsoku/>
        <w:wordWrap/>
        <w:overflowPunct/>
        <w:topLinePunct w:val="0"/>
        <w:bidi w:val="0"/>
        <w:adjustRightInd w:val="0"/>
        <w:snapToGrid w:val="0"/>
        <w:spacing w:line="360" w:lineRule="auto"/>
        <w:textAlignment w:val="auto"/>
        <w:rPr>
          <w:rFonts w:hint="eastAsia" w:ascii="楷体" w:hAnsi="楷体" w:eastAsia="楷体" w:cs="楷体"/>
          <w:szCs w:val="21"/>
        </w:rPr>
      </w:pPr>
    </w:p>
    <w:p>
      <w:pPr>
        <w:keepNext w:val="0"/>
        <w:keepLines w:val="0"/>
        <w:pageBreakBefore w:val="0"/>
        <w:widowControl w:val="0"/>
        <w:kinsoku/>
        <w:wordWrap/>
        <w:overflowPunct/>
        <w:topLinePunct w:val="0"/>
        <w:bidi w:val="0"/>
        <w:adjustRightInd w:val="0"/>
        <w:snapToGrid w:val="0"/>
        <w:spacing w:line="360" w:lineRule="auto"/>
        <w:textAlignment w:val="auto"/>
        <w:rPr>
          <w:rFonts w:hint="eastAsia" w:ascii="楷体" w:hAnsi="楷体" w:eastAsia="楷体" w:cs="楷体"/>
          <w:szCs w:val="21"/>
        </w:rPr>
      </w:pPr>
    </w:p>
    <w:p>
      <w:pPr>
        <w:keepNext w:val="0"/>
        <w:keepLines w:val="0"/>
        <w:pageBreakBefore w:val="0"/>
        <w:widowControl w:val="0"/>
        <w:kinsoku/>
        <w:wordWrap/>
        <w:overflowPunct/>
        <w:topLinePunct w:val="0"/>
        <w:bidi w:val="0"/>
        <w:adjustRightInd w:val="0"/>
        <w:snapToGrid w:val="0"/>
        <w:spacing w:line="360" w:lineRule="auto"/>
        <w:textAlignment w:val="auto"/>
        <w:rPr>
          <w:rFonts w:hint="eastAsia" w:ascii="楷体" w:hAnsi="楷体" w:eastAsia="楷体" w:cs="楷体"/>
          <w:szCs w:val="21"/>
        </w:rPr>
      </w:pPr>
    </w:p>
    <w:p>
      <w:pPr>
        <w:keepNext w:val="0"/>
        <w:keepLines w:val="0"/>
        <w:pageBreakBefore w:val="0"/>
        <w:widowControl w:val="0"/>
        <w:kinsoku/>
        <w:wordWrap/>
        <w:overflowPunct/>
        <w:topLinePunct w:val="0"/>
        <w:bidi w:val="0"/>
        <w:adjustRightInd w:val="0"/>
        <w:snapToGrid w:val="0"/>
        <w:spacing w:line="360" w:lineRule="auto"/>
        <w:textAlignment w:val="auto"/>
        <w:rPr>
          <w:rFonts w:hint="eastAsia" w:ascii="楷体" w:hAnsi="楷体" w:eastAsia="楷体" w:cs="楷体"/>
          <w:szCs w:val="21"/>
        </w:rPr>
      </w:pPr>
      <w:bookmarkStart w:id="5" w:name="_GoBack"/>
      <w:bookmarkEnd w:id="5"/>
    </w:p>
    <w:p>
      <w:pPr>
        <w:keepNext w:val="0"/>
        <w:keepLines w:val="0"/>
        <w:pageBreakBefore w:val="0"/>
        <w:widowControl w:val="0"/>
        <w:kinsoku/>
        <w:wordWrap/>
        <w:overflowPunct/>
        <w:topLinePunct w:val="0"/>
        <w:bidi w:val="0"/>
        <w:adjustRightInd w:val="0"/>
        <w:snapToGrid w:val="0"/>
        <w:spacing w:line="360" w:lineRule="auto"/>
        <w:textAlignment w:val="auto"/>
        <w:rPr>
          <w:rFonts w:hint="eastAsia" w:ascii="楷体" w:hAnsi="楷体" w:eastAsia="楷体" w:cs="楷体"/>
          <w:szCs w:val="21"/>
        </w:rPr>
      </w:pP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b/>
          <w:bCs/>
          <w:szCs w:val="21"/>
        </w:rPr>
      </w:pP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b/>
          <w:bCs/>
          <w:szCs w:val="21"/>
        </w:rPr>
      </w:pP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b/>
          <w:bCs/>
          <w:szCs w:val="21"/>
        </w:rPr>
      </w:pPr>
    </w:p>
    <w:p>
      <w:pPr>
        <w:keepNext w:val="0"/>
        <w:keepLines w:val="0"/>
        <w:pageBreakBefore w:val="0"/>
        <w:widowControl w:val="0"/>
        <w:kinsoku/>
        <w:wordWrap/>
        <w:overflowPunct/>
        <w:topLinePunct w:val="0"/>
        <w:bidi w:val="0"/>
        <w:spacing w:line="360" w:lineRule="auto"/>
        <w:jc w:val="center"/>
        <w:textAlignment w:val="auto"/>
        <w:rPr>
          <w:rFonts w:hint="eastAsia" w:ascii="楷体" w:hAnsi="楷体" w:eastAsia="楷体" w:cs="楷体"/>
          <w:b/>
          <w:color w:val="00B0F0"/>
          <w:sz w:val="52"/>
          <w:szCs w:val="52"/>
        </w:rPr>
      </w:pPr>
      <w:r>
        <w:rPr>
          <w:rFonts w:hint="eastAsia" w:ascii="SimHei" w:hAnsi="SimHei" w:eastAsia="黑体" w:cs="楷体"/>
          <w:b/>
          <w:color w:val="00B0F0"/>
          <w:sz w:val="72"/>
          <w:szCs w:val="72"/>
        </w:rPr>
        <w:t>薪酬管理制度</w:t>
      </w:r>
    </w:p>
    <w:p>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楷体" w:hAnsi="楷体" w:eastAsia="楷体" w:cs="楷体"/>
          <w:szCs w:val="21"/>
        </w:rPr>
      </w:pPr>
    </w:p>
    <w:p>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楷体" w:hAnsi="楷体" w:eastAsia="楷体" w:cs="楷体"/>
          <w:szCs w:val="21"/>
        </w:rPr>
      </w:pPr>
    </w:p>
    <w:p>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楷体" w:hAnsi="楷体" w:eastAsia="楷体" w:cs="楷体"/>
          <w:szCs w:val="21"/>
        </w:rPr>
      </w:pPr>
      <w:r>
        <w:rPr>
          <w:rFonts w:hint="eastAsia" w:ascii="SimHei" w:hAnsi="SimHei" w:eastAsia="黑体" w:cs="楷体"/>
          <w:szCs w:val="21"/>
        </w:rPr>
        <w:t></w:t>
      </w:r>
    </w:p>
    <w:p>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楷体" w:hAnsi="楷体" w:eastAsia="楷体" w:cs="楷体"/>
          <w:szCs w:val="21"/>
        </w:rPr>
      </w:pPr>
    </w:p>
    <w:p>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楷体" w:hAnsi="楷体" w:eastAsia="楷体" w:cs="楷体"/>
          <w:szCs w:val="21"/>
        </w:rPr>
      </w:pPr>
    </w:p>
    <w:p>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楷体" w:hAnsi="楷体" w:eastAsia="楷体" w:cs="楷体"/>
          <w:szCs w:val="21"/>
        </w:rPr>
      </w:pPr>
    </w:p>
    <w:p>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楷体" w:hAnsi="楷体" w:eastAsia="楷体" w:cs="楷体"/>
          <w:szCs w:val="21"/>
        </w:rPr>
      </w:pPr>
    </w:p>
    <w:p>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楷体" w:hAnsi="楷体" w:eastAsia="楷体" w:cs="楷体"/>
          <w:szCs w:val="21"/>
        </w:rPr>
      </w:pPr>
    </w:p>
    <w:p>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楷体" w:hAnsi="楷体" w:eastAsia="楷体" w:cs="楷体"/>
          <w:szCs w:val="21"/>
        </w:rPr>
      </w:pPr>
    </w:p>
    <w:p>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楷体" w:hAnsi="楷体" w:eastAsia="楷体" w:cs="楷体"/>
          <w:szCs w:val="21"/>
        </w:rPr>
      </w:pPr>
    </w:p>
    <w:p>
      <w:pPr>
        <w:keepNext w:val="0"/>
        <w:keepLines w:val="0"/>
        <w:pageBreakBefore w:val="0"/>
        <w:widowControl w:val="0"/>
        <w:kinsoku/>
        <w:wordWrap/>
        <w:overflowPunct/>
        <w:topLinePunct w:val="0"/>
        <w:bidi w:val="0"/>
        <w:adjustRightInd w:val="0"/>
        <w:snapToGrid w:val="0"/>
        <w:spacing w:line="360" w:lineRule="auto"/>
        <w:jc w:val="center"/>
        <w:textAlignment w:val="auto"/>
        <w:rPr>
          <w:rFonts w:hint="eastAsia" w:ascii="楷体" w:hAnsi="楷体" w:eastAsia="楷体" w:cs="楷体"/>
          <w:szCs w:val="21"/>
        </w:rPr>
      </w:pPr>
    </w:p>
    <w:p>
      <w:pPr>
        <w:keepNext w:val="0"/>
        <w:keepLines w:val="0"/>
        <w:pageBreakBefore w:val="0"/>
        <w:widowControl w:val="0"/>
        <w:kinsoku/>
        <w:wordWrap/>
        <w:overflowPunct/>
        <w:topLinePunct w:val="0"/>
        <w:bidi w:val="0"/>
        <w:adjustRightInd w:val="0"/>
        <w:snapToGrid w:val="0"/>
        <w:spacing w:line="360" w:lineRule="auto"/>
        <w:textAlignment w:val="auto"/>
        <w:rPr>
          <w:rFonts w:hint="eastAsia" w:ascii="楷体" w:hAnsi="楷体" w:eastAsia="楷体" w:cs="楷体"/>
          <w:szCs w:val="21"/>
        </w:rPr>
      </w:pPr>
    </w:p>
    <w:p>
      <w:pPr>
        <w:rPr>
          <w:rFonts w:hint="eastAsia" w:ascii="楷体" w:hAnsi="楷体" w:eastAsia="楷体" w:cs="楷体"/>
          <w:b/>
          <w:bCs/>
          <w:sz w:val="30"/>
        </w:rPr>
      </w:pPr>
      <w:r>
        <w:rPr>
          <w:rFonts w:hint="eastAsia" w:ascii="SimHei" w:hAnsi="SimHei" w:eastAsia="黑体" w:cs="楷体"/>
          <w:b/>
          <w:bCs/>
          <w:sz w:val="30"/>
        </w:rPr>
      </w:r>
    </w:p>
    <w:p>
      <w:pPr>
        <w:keepNext w:val="0"/>
        <w:keepLines w:val="0"/>
        <w:pageBreakBefore w:val="0"/>
        <w:widowControl w:val="0"/>
        <w:kinsoku/>
        <w:wordWrap/>
        <w:overflowPunct/>
        <w:topLinePunct w:val="0"/>
        <w:bidi w:val="0"/>
        <w:spacing w:line="360" w:lineRule="auto"/>
        <w:jc w:val="center"/>
        <w:textAlignment w:val="auto"/>
        <w:rPr>
          <w:rFonts w:hint="eastAsia" w:ascii="楷体" w:hAnsi="楷体" w:eastAsia="楷体" w:cs="楷体"/>
          <w:sz w:val="30"/>
        </w:rPr>
      </w:pPr>
      <w:r>
        <w:rPr>
          <w:rFonts w:hint="eastAsia" w:ascii="SimHei" w:hAnsi="SimHei" w:eastAsia="黑体" w:cs="楷体"/>
          <w:b/>
          <w:bCs/>
          <w:sz w:val="30"/>
        </w:rPr>
        <w:t>薪酬管理制度</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b/>
        </w:rPr>
      </w:pPr>
      <w:r>
        <w:rPr>
          <w:rFonts w:hint="eastAsia" w:ascii="SimHei" w:hAnsi="SimHei" w:eastAsia="黑体" w:cs="楷体"/>
          <w:b/>
        </w:rPr>
        <w:t>1、目的</w:t>
      </w:r>
    </w:p>
    <w:p>
      <w:pPr>
        <w:pStyle w:val="2"/>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为适应企业发展要求，充分发挥薪酬的激励作用，进一步拓展员工职业上升通道，建立一套相对密闭、循环、科学、合理的薪酬体系，某集团现状，特制定本规定。</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b/>
        </w:rPr>
      </w:pPr>
      <w:r>
        <w:rPr>
          <w:rFonts w:hint="eastAsia" w:ascii="SimHei" w:hAnsi="SimHei" w:eastAsia="黑体" w:cs="楷体"/>
          <w:b/>
        </w:rPr>
        <w:t>2、制定原则</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本方案本着公平、竞争、激励、经济、合法的原则制定。</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2.1 公平：是指相同岗位的不同员工享受同等级的薪酬待遇；同时根据员工绩效、服务年限、工作态度等方面的表现不同，对职级薪级进行动态调整，可上可下同时享受或承担不同的工资差异；</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2.2 竞争：使公司的薪酬体系在同行业和同区域有一定的竞争优势。</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2.3 激励：是指制定具有上升和下降的动态管理，对相同职级的薪酬实行区域管理，充分调动员工的积极性和责任心。</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2.4 经济：某集团承受能力大小、利润和合理积累的情况下，合理制定薪酬，使员工与企业能够利益共享。</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2.5 合法：方案建立在遵守国家相关政策、某集团管理制度基础上。</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b/>
        </w:rPr>
      </w:pPr>
      <w:r>
        <w:rPr>
          <w:rFonts w:hint="eastAsia" w:ascii="SimHei" w:hAnsi="SimHei" w:eastAsia="黑体" w:cs="楷体"/>
          <w:b/>
        </w:rPr>
        <w:t>3、管理机构</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3.1薪酬管理委员会</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主任：总经理</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成员：分管副总经理、财务总监、人力资源部经理、财务部经理</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3.2 薪酬委员会职责：</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3.2.1 审查人力资源部提出的薪酬调整策略及其他各种货币形式的激励手段（如年终奖、专项奖等）。</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3.2.2 审查个别薪酬调整及整体整体薪酬调整方案和建议，并行使审定权。</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本规定所指薪酬管理的最高机构为薪酬管理委员会，日常薪酬管理由人力资源部负责。</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b/>
        </w:rPr>
      </w:pPr>
      <w:r>
        <w:rPr>
          <w:rFonts w:hint="eastAsia" w:ascii="SimHei" w:hAnsi="SimHei" w:eastAsia="黑体" w:cs="楷体"/>
          <w:b/>
        </w:rPr>
        <w:t xml:space="preserve">4、制定依据 </w:t>
      </w:r>
    </w:p>
    <w:p>
      <w:pPr>
        <w:keepNext w:val="0"/>
        <w:keepLines w:val="0"/>
        <w:pageBreakBefore w:val="0"/>
        <w:widowControl w:val="0"/>
        <w:kinsoku/>
        <w:wordWrap/>
        <w:overflowPunct/>
        <w:topLinePunct w:val="0"/>
        <w:bidi w:val="0"/>
        <w:spacing w:line="360" w:lineRule="auto"/>
        <w:ind w:firstLine="420" w:firstLineChars="200"/>
        <w:textAlignment w:val="auto"/>
        <w:rPr>
          <w:rFonts w:hint="eastAsia" w:ascii="楷体" w:hAnsi="楷体" w:eastAsia="楷体" w:cs="楷体"/>
        </w:rPr>
      </w:pPr>
      <w:r>
        <w:rPr>
          <w:rFonts w:hint="eastAsia" w:ascii="SimHei" w:hAnsi="SimHei" w:eastAsia="黑体" w:cs="楷体"/>
        </w:rPr>
        <w:t>本规定制定的依据是根据内、外部劳动力市场状况、地区及行业差异、员工岗位价值（对企业的影响、解决问题、责任范围、监督、知识经验、沟通、环境风险等要素）及员工职业发展生涯等因素。（岗位价值分析评估略）</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b/>
        </w:rPr>
      </w:pPr>
      <w:r>
        <w:rPr>
          <w:rFonts w:hint="eastAsia" w:ascii="SimHei" w:hAnsi="SimHei" w:eastAsia="黑体" w:cs="楷体"/>
          <w:b/>
        </w:rPr>
        <w:t>5、岗位职级划分</w:t>
      </w:r>
    </w:p>
    <w:p>
      <w:pPr>
        <w:keepNext w:val="0"/>
        <w:keepLines w:val="0"/>
        <w:pageBreakBefore w:val="0"/>
        <w:widowControl w:val="0"/>
        <w:kinsoku/>
        <w:wordWrap/>
        <w:overflowPunct/>
        <w:topLinePunct w:val="0"/>
        <w:bidi w:val="0"/>
        <w:adjustRightInd w:val="0"/>
        <w:snapToGrid w:val="0"/>
        <w:spacing w:line="360" w:lineRule="auto"/>
        <w:textAlignment w:val="auto"/>
        <w:rPr>
          <w:rFonts w:hint="eastAsia" w:ascii="楷体" w:hAnsi="楷体" w:eastAsia="楷体" w:cs="楷体"/>
        </w:rPr>
      </w:pPr>
      <w:r>
        <w:rPr>
          <w:rFonts w:hint="eastAsia" w:ascii="SimHei" w:hAnsi="SimHei" w:eastAsia="黑体" w:cs="楷体"/>
        </w:rPr>
        <w:t xml:space="preserve">5.1 集团所有岗位分为六个层级分别为：一层级（A）：集团总经理；二层级（B）：高管级；三层级（C）：经理级；四层级（D）：副理级；五层级（E）：主管级；六层级（F）：专员级。 </w:t>
      </w:r>
    </w:p>
    <w:p>
      <w:pPr>
        <w:keepNext w:val="0"/>
        <w:keepLines w:val="0"/>
        <w:pageBreakBefore w:val="0"/>
        <w:widowControl w:val="0"/>
        <w:kinsoku/>
        <w:wordWrap/>
        <w:overflowPunct/>
        <w:topLinePunct w:val="0"/>
        <w:bidi w:val="0"/>
        <w:spacing w:line="360" w:lineRule="auto"/>
        <w:ind w:firstLine="435"/>
        <w:textAlignment w:val="auto"/>
        <w:rPr>
          <w:rFonts w:hint="eastAsia" w:ascii="楷体" w:hAnsi="楷体" w:eastAsia="楷体" w:cs="楷体"/>
        </w:rPr>
      </w:pPr>
      <w:r>
        <w:rPr>
          <w:rFonts w:hint="eastAsia" w:ascii="SimHei" w:hAnsi="SimHei" w:eastAsia="黑体" w:cs="楷体"/>
        </w:rPr>
        <w:t>具体岗位与职级对应见下表：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900"/>
        <w:gridCol w:w="900"/>
        <w:gridCol w:w="5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8" w:type="dxa"/>
            <w:vMerge w:val="restart"/>
            <w:noWrap w:val="0"/>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楷体" w:hAnsi="楷体" w:eastAsia="楷体" w:cs="楷体"/>
              </w:rPr>
            </w:pPr>
            <w:r>
              <w:rPr>
                <w:rFonts w:hint="eastAsia" w:ascii="SimHei" w:hAnsi="SimHei" w:eastAsia="黑体" w:cs="楷体"/>
              </w:rPr>
              <w:t>鸥江职级岗位对应表</w:t>
            </w:r>
          </w:p>
        </w:tc>
        <w:tc>
          <w:tcPr>
            <w:tcW w:w="900" w:type="dxa"/>
            <w:noWrap w:val="0"/>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楷体" w:hAnsi="楷体" w:eastAsia="楷体" w:cs="楷体"/>
              </w:rPr>
            </w:pPr>
            <w:r>
              <w:rPr>
                <w:rFonts w:hint="eastAsia" w:ascii="SimHei" w:hAnsi="SimHei" w:eastAsia="黑体" w:cs="楷体"/>
              </w:rPr>
              <w:t>序号</w:t>
            </w:r>
          </w:p>
        </w:tc>
        <w:tc>
          <w:tcPr>
            <w:tcW w:w="900" w:type="dxa"/>
            <w:noWrap w:val="0"/>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楷体" w:hAnsi="楷体" w:eastAsia="楷体" w:cs="楷体"/>
              </w:rPr>
            </w:pPr>
            <w:r>
              <w:rPr>
                <w:rFonts w:hint="eastAsia" w:ascii="SimHei" w:hAnsi="SimHei" w:eastAsia="黑体" w:cs="楷体"/>
              </w:rPr>
              <w:t>职级</w:t>
            </w:r>
          </w:p>
        </w:tc>
        <w:tc>
          <w:tcPr>
            <w:tcW w:w="5894" w:type="dxa"/>
            <w:noWrap w:val="0"/>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楷体" w:hAnsi="楷体" w:eastAsia="楷体" w:cs="楷体"/>
              </w:rPr>
            </w:pPr>
            <w:r>
              <w:rPr>
                <w:rFonts w:hint="eastAsia" w:ascii="SimHei" w:hAnsi="SimHei" w:eastAsia="黑体" w:cs="楷体"/>
              </w:rPr>
              <w:t>对应岗位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8" w:type="dxa"/>
            <w:vMerge w:val="continue"/>
            <w:noWrap w:val="0"/>
            <w:vAlign w:val="top"/>
          </w:tcPr>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p>
        </w:tc>
        <w:tc>
          <w:tcPr>
            <w:tcW w:w="900" w:type="dxa"/>
            <w:noWrap w:val="0"/>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楷体" w:hAnsi="楷体" w:eastAsia="楷体" w:cs="楷体"/>
              </w:rPr>
            </w:pPr>
            <w:r>
              <w:rPr>
                <w:rFonts w:hint="eastAsia" w:ascii="SimHei" w:hAnsi="SimHei" w:eastAsia="黑体" w:cs="楷体"/>
              </w:rPr>
              <w:t>1</w:t>
            </w:r>
          </w:p>
        </w:tc>
        <w:tc>
          <w:tcPr>
            <w:tcW w:w="900" w:type="dxa"/>
            <w:noWrap w:val="0"/>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楷体" w:hAnsi="楷体" w:eastAsia="楷体" w:cs="楷体"/>
              </w:rPr>
            </w:pPr>
            <w:r>
              <w:rPr>
                <w:rFonts w:hint="eastAsia" w:ascii="SimHei" w:hAnsi="SimHei" w:eastAsia="黑体" w:cs="楷体"/>
              </w:rPr>
              <w:t>A</w:t>
            </w:r>
          </w:p>
        </w:tc>
        <w:tc>
          <w:tcPr>
            <w:tcW w:w="5894" w:type="dxa"/>
            <w:noWrap w:val="0"/>
            <w:vAlign w:val="center"/>
          </w:tcPr>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集团总经理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8" w:type="dxa"/>
            <w:vMerge w:val="continue"/>
            <w:noWrap w:val="0"/>
            <w:vAlign w:val="top"/>
          </w:tcPr>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p>
        </w:tc>
        <w:tc>
          <w:tcPr>
            <w:tcW w:w="900" w:type="dxa"/>
            <w:noWrap w:val="0"/>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楷体" w:hAnsi="楷体" w:eastAsia="楷体" w:cs="楷体"/>
              </w:rPr>
            </w:pPr>
            <w:r>
              <w:rPr>
                <w:rFonts w:hint="eastAsia" w:ascii="SimHei" w:hAnsi="SimHei" w:eastAsia="黑体" w:cs="楷体"/>
              </w:rPr>
              <w:t>2</w:t>
            </w:r>
          </w:p>
        </w:tc>
        <w:tc>
          <w:tcPr>
            <w:tcW w:w="900" w:type="dxa"/>
            <w:noWrap w:val="0"/>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楷体" w:hAnsi="楷体" w:eastAsia="楷体" w:cs="楷体"/>
              </w:rPr>
            </w:pPr>
            <w:r>
              <w:rPr>
                <w:rFonts w:hint="eastAsia" w:ascii="SimHei" w:hAnsi="SimHei" w:eastAsia="黑体" w:cs="楷体"/>
              </w:rPr>
              <w:t>B</w:t>
            </w:r>
          </w:p>
        </w:tc>
        <w:tc>
          <w:tcPr>
            <w:tcW w:w="5894" w:type="dxa"/>
            <w:noWrap w:val="0"/>
            <w:vAlign w:val="center"/>
          </w:tcPr>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各分管副总、总监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8" w:type="dxa"/>
            <w:vMerge w:val="continue"/>
            <w:noWrap w:val="0"/>
            <w:vAlign w:val="top"/>
          </w:tcPr>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p>
        </w:tc>
        <w:tc>
          <w:tcPr>
            <w:tcW w:w="900" w:type="dxa"/>
            <w:noWrap w:val="0"/>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楷体" w:hAnsi="楷体" w:eastAsia="楷体" w:cs="楷体"/>
              </w:rPr>
            </w:pPr>
            <w:r>
              <w:rPr>
                <w:rFonts w:hint="eastAsia" w:ascii="SimHei" w:hAnsi="SimHei" w:eastAsia="黑体" w:cs="楷体"/>
              </w:rPr>
              <w:t>3</w:t>
            </w:r>
          </w:p>
        </w:tc>
        <w:tc>
          <w:tcPr>
            <w:tcW w:w="900" w:type="dxa"/>
            <w:noWrap w:val="0"/>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楷体" w:hAnsi="楷体" w:eastAsia="楷体" w:cs="楷体"/>
              </w:rPr>
            </w:pPr>
            <w:r>
              <w:rPr>
                <w:rFonts w:hint="eastAsia" w:ascii="SimHei" w:hAnsi="SimHei" w:eastAsia="黑体" w:cs="楷体"/>
              </w:rPr>
              <w:t>C</w:t>
            </w:r>
          </w:p>
        </w:tc>
        <w:tc>
          <w:tcPr>
            <w:tcW w:w="5894" w:type="dxa"/>
            <w:noWrap w:val="0"/>
            <w:vAlign w:val="center"/>
          </w:tcPr>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集团总经理助理、各部门经理、分公司总经理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8" w:type="dxa"/>
            <w:vMerge w:val="continue"/>
            <w:noWrap w:val="0"/>
            <w:vAlign w:val="top"/>
          </w:tcPr>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p>
        </w:tc>
        <w:tc>
          <w:tcPr>
            <w:tcW w:w="900" w:type="dxa"/>
            <w:noWrap w:val="0"/>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楷体" w:hAnsi="楷体" w:eastAsia="楷体" w:cs="楷体"/>
              </w:rPr>
            </w:pPr>
            <w:r>
              <w:rPr>
                <w:rFonts w:hint="eastAsia" w:ascii="SimHei" w:hAnsi="SimHei" w:eastAsia="黑体" w:cs="楷体"/>
              </w:rPr>
              <w:t>4</w:t>
            </w:r>
          </w:p>
        </w:tc>
        <w:tc>
          <w:tcPr>
            <w:tcW w:w="900" w:type="dxa"/>
            <w:noWrap w:val="0"/>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楷体" w:hAnsi="楷体" w:eastAsia="楷体" w:cs="楷体"/>
              </w:rPr>
            </w:pPr>
            <w:r>
              <w:rPr>
                <w:rFonts w:hint="eastAsia" w:ascii="SimHei" w:hAnsi="SimHei" w:eastAsia="黑体" w:cs="楷体"/>
              </w:rPr>
              <w:t>D</w:t>
            </w:r>
          </w:p>
        </w:tc>
        <w:tc>
          <w:tcPr>
            <w:tcW w:w="5894" w:type="dxa"/>
            <w:noWrap w:val="0"/>
            <w:vAlign w:val="center"/>
          </w:tcPr>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集团各部门副经理、分公司副总经理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8" w:type="dxa"/>
            <w:vMerge w:val="continue"/>
            <w:noWrap w:val="0"/>
            <w:vAlign w:val="top"/>
          </w:tcPr>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p>
        </w:tc>
        <w:tc>
          <w:tcPr>
            <w:tcW w:w="900" w:type="dxa"/>
            <w:noWrap w:val="0"/>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楷体" w:hAnsi="楷体" w:eastAsia="楷体" w:cs="楷体"/>
              </w:rPr>
            </w:pPr>
            <w:r>
              <w:rPr>
                <w:rFonts w:hint="eastAsia" w:ascii="SimHei" w:hAnsi="SimHei" w:eastAsia="黑体" w:cs="楷体"/>
              </w:rPr>
              <w:t>5</w:t>
            </w:r>
          </w:p>
        </w:tc>
        <w:tc>
          <w:tcPr>
            <w:tcW w:w="900" w:type="dxa"/>
            <w:noWrap w:val="0"/>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楷体" w:hAnsi="楷体" w:eastAsia="楷体" w:cs="楷体"/>
              </w:rPr>
            </w:pPr>
            <w:r>
              <w:rPr>
                <w:rFonts w:hint="eastAsia" w:ascii="SimHei" w:hAnsi="SimHei" w:eastAsia="黑体" w:cs="楷体"/>
              </w:rPr>
              <w:t>E</w:t>
            </w:r>
          </w:p>
        </w:tc>
        <w:tc>
          <w:tcPr>
            <w:tcW w:w="5894" w:type="dxa"/>
            <w:noWrap w:val="0"/>
            <w:vAlign w:val="center"/>
          </w:tcPr>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集团及各子公司承担部门内某一模块的经理助理、主管、专员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8" w:type="dxa"/>
            <w:vMerge w:val="continue"/>
            <w:noWrap w:val="0"/>
            <w:vAlign w:val="top"/>
          </w:tcPr>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p>
        </w:tc>
        <w:tc>
          <w:tcPr>
            <w:tcW w:w="900" w:type="dxa"/>
            <w:noWrap w:val="0"/>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楷体" w:hAnsi="楷体" w:eastAsia="楷体" w:cs="楷体"/>
              </w:rPr>
            </w:pPr>
            <w:r>
              <w:rPr>
                <w:rFonts w:hint="eastAsia" w:ascii="SimHei" w:hAnsi="SimHei" w:eastAsia="黑体" w:cs="楷体"/>
              </w:rPr>
              <w:t>6</w:t>
            </w:r>
          </w:p>
        </w:tc>
        <w:tc>
          <w:tcPr>
            <w:tcW w:w="900" w:type="dxa"/>
            <w:noWrap w:val="0"/>
            <w:vAlign w:val="center"/>
          </w:tcPr>
          <w:p>
            <w:pPr>
              <w:keepNext w:val="0"/>
              <w:keepLines w:val="0"/>
              <w:pageBreakBefore w:val="0"/>
              <w:widowControl w:val="0"/>
              <w:kinsoku/>
              <w:wordWrap/>
              <w:overflowPunct/>
              <w:topLinePunct w:val="0"/>
              <w:bidi w:val="0"/>
              <w:spacing w:line="360" w:lineRule="auto"/>
              <w:jc w:val="center"/>
              <w:textAlignment w:val="auto"/>
              <w:rPr>
                <w:rFonts w:hint="eastAsia" w:ascii="楷体" w:hAnsi="楷体" w:eastAsia="楷体" w:cs="楷体"/>
              </w:rPr>
            </w:pPr>
            <w:r>
              <w:rPr>
                <w:rFonts w:hint="eastAsia" w:ascii="SimHei" w:hAnsi="SimHei" w:eastAsia="黑体" w:cs="楷体"/>
              </w:rPr>
              <w:t>F</w:t>
            </w:r>
          </w:p>
        </w:tc>
        <w:tc>
          <w:tcPr>
            <w:tcW w:w="5894" w:type="dxa"/>
            <w:noWrap w:val="0"/>
            <w:vAlign w:val="center"/>
          </w:tcPr>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集团及各子公司承担某一具体工作事项的执行者</w:t>
            </w:r>
          </w:p>
        </w:tc>
      </w:tr>
    </w:tbl>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5.2  A、B、C岗位层级分别为八个级差（A1、A2、……A8），D、E岗位层级分为六个级差。具体薪级见：附件《</w:t>
      </w:r>
      <w:r>
        <w:rPr>
          <w:rFonts w:hint="eastAsia" w:ascii="SimHei" w:hAnsi="SimHei" w:eastAsia="黑体" w:cs="楷体"/>
          <w:lang w:val="en-US" w:eastAsia="zh-CN"/>
        </w:rPr>
        <w:t>**</w:t>
      </w:r>
      <w:r>
        <w:rPr>
          <w:rFonts w:hint="eastAsia" w:ascii="SimHei" w:hAnsi="SimHei" w:eastAsia="黑体" w:cs="楷体"/>
        </w:rPr>
        <w:t>职级薪级表》。</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b/>
        </w:rPr>
      </w:pPr>
      <w:r>
        <w:rPr>
          <w:rFonts w:hint="eastAsia" w:ascii="SimHei" w:hAnsi="SimHei" w:eastAsia="黑体" w:cs="楷体"/>
          <w:b/>
        </w:rPr>
        <w:t>6、薪酬组成</w:t>
      </w:r>
    </w:p>
    <w:p>
      <w:pPr>
        <w:keepNext w:val="0"/>
        <w:keepLines w:val="0"/>
        <w:pageBreakBefore w:val="0"/>
        <w:widowControl w:val="0"/>
        <w:kinsoku/>
        <w:wordWrap/>
        <w:overflowPunct/>
        <w:topLinePunct w:val="0"/>
        <w:bidi w:val="0"/>
        <w:spacing w:line="360" w:lineRule="auto"/>
        <w:ind w:firstLine="315" w:firstLineChars="150"/>
        <w:textAlignment w:val="auto"/>
        <w:rPr>
          <w:rFonts w:hint="eastAsia" w:ascii="楷体" w:hAnsi="楷体" w:eastAsia="楷体" w:cs="楷体"/>
        </w:rPr>
      </w:pPr>
      <w:r>
        <w:rPr>
          <w:rFonts w:hint="eastAsia" w:ascii="SimHei" w:hAnsi="SimHei" w:eastAsia="黑体" w:cs="楷体"/>
        </w:rPr>
        <w:t>基本工资+岗位津贴+绩效奖金+加班工资+各类补贴+个人相关扣款+业务提成+奖金</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6.1 基本工资：是薪酬的基本组成部分，根据相应的职级和职位予以核定。正常出勤即可享受，无出勤不享受。</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6.2 岗位津贴：是指对主管以上行使管理职能的岗位或基层岗位专业技能突出的员工予以的津贴。</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6.3 绩效奖金：绩效奖金是指员工完成岗位责任及工作，公司对该岗位所达成的业绩而予以支付的薪酬部分。绩效奖金的结算及支付方式详见《公司绩效考核管理规定》。</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6.4 加班工资：加班工资是指员工在双休日、国假、及8小时以外为了完成额外的工作任务而支付的工资部分。公司D职级（包含D级）以上岗位及实行提成制的相关岗位实行不定时工作制，工作时间以完成固定的工作职责与任务为主，所以不享受加班工资。</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6.5 各类补贴：</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6.5.1 特殊津贴：某集团对高级管理岗位人员基于他的特长或特殊贡献而协议确定的薪酬部分。</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6.5.2其他补贴：其他补贴包括手机补贴、出差补贴等。</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6.6 个人相关扣款：</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 xml:space="preserve">   扣款包括各种福利的个人必须承担的部分、个人所得税及因员工违反公司相关规章制度而被处的罚款。</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6.7 业务提成：公司相关业务人员享受业务提成，按公司业务提成管理规定执行。</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6.8 奖金：奖金是公司为了完成专项工作或对做出突出贡献的等员工的一种奖励，包括专项奖、突出贡献奖等。</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b/>
        </w:rPr>
      </w:pPr>
      <w:r>
        <w:rPr>
          <w:rFonts w:hint="eastAsia" w:ascii="SimHei" w:hAnsi="SimHei" w:eastAsia="黑体" w:cs="楷体"/>
          <w:b/>
        </w:rPr>
        <w:t>7、试用期薪酬</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7.1 试用期间的工资为（基本工资+岗位津贴）的80%。</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7.2 试用期间被证明不符合岗位要求而终止劳动关系的或试用期间员工自己离职的，不享受受试用期间的绩效奖金。</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7.3 试用期合格并转正的员工，正常享受试用期间的绩效奖金。</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b/>
        </w:rPr>
      </w:pPr>
      <w:r>
        <w:rPr>
          <w:rFonts w:hint="eastAsia" w:ascii="SimHei" w:hAnsi="SimHei" w:eastAsia="黑体" w:cs="楷体"/>
          <w:b/>
        </w:rPr>
        <w:t>8、见习期薪酬</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见习员工的薪酬详见公司关于见习期的相关规定。</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b/>
        </w:rPr>
      </w:pPr>
      <w:r>
        <w:rPr>
          <w:rFonts w:hint="eastAsia" w:ascii="SimHei" w:hAnsi="SimHei" w:eastAsia="黑体" w:cs="楷体"/>
          <w:b/>
        </w:rPr>
        <w:t>9、薪酬调整</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薪酬调整分为整体调整和个别调整。</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9.1 整体调整：指集团根据国家政策和物价水平等宏观因素的变化、行业及地区竞争状况、集团发展战略变化以及公司整体效益情况而进行的调整，包括薪酬水平调整和薪酬结构调整，调整幅度由董事会根据经营状况决定。</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9.2 个别调整：主要指薪酬级别的调整，分为定期调整与不定期调整。</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薪酬级别定期调整：指公司在年底根据年度绩效考核结果对员工岗位工资进行的调整。</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薪酬级别不定期调整：指公司在年中由于职务变动等原因对员工薪酬进行的调整。</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9.3 各岗位员工薪酬调整由薪酬管理委员会审批，审批通过的调整方案和各项薪酬发放方案由人力资源部执行。</w:t>
      </w:r>
      <w:bookmarkStart w:id="0" w:name="_Hlt48532502"/>
      <w:bookmarkEnd w:id="0"/>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b/>
        </w:rPr>
      </w:pPr>
      <w:r>
        <w:rPr>
          <w:rFonts w:hint="eastAsia" w:ascii="SimHei" w:hAnsi="SimHei" w:eastAsia="黑体" w:cs="楷体"/>
          <w:b/>
        </w:rPr>
        <w:t>10、薪酬的支付</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10.1 薪酬支付时间计算</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A、执行月薪制的员工，日工资标准统一按国家规定的当年月平均上班天数计算。</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color w:val="FF0000"/>
        </w:rPr>
      </w:pPr>
      <w:r>
        <w:rPr>
          <w:rFonts w:hint="eastAsia" w:ascii="SimHei" w:hAnsi="SimHei" w:eastAsia="黑体" w:cs="楷体"/>
        </w:rPr>
        <w:t>B、薪酬支付时间：当月工资为下月15日。遇到双休日及假期，</w:t>
      </w:r>
      <w:r>
        <w:rPr>
          <w:rFonts w:hint="eastAsia" w:ascii="SimHei" w:hAnsi="SimHei" w:eastAsia="黑体" w:cs="楷体"/>
          <w:color w:val="000000"/>
        </w:rPr>
        <w:t>提前至休息日的前一个工作日发放</w:t>
      </w:r>
      <w:r>
        <w:rPr>
          <w:rFonts w:hint="eastAsia" w:ascii="SimHei" w:hAnsi="SimHei" w:eastAsia="黑体" w:cs="楷体"/>
          <w:color w:val="FF0000"/>
        </w:rPr>
        <w:t xml:space="preserve">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10.2 下列各款项须直接从薪酬中扣除：</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A、员工工资个人所得税；</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B、应由员工个人缴纳的社会保险费用；</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C、与公司订有协议应从个人工资中扣除的款项；</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D、法律、法规规定的以及公司规章制度规定的应从工资中扣除的款项（如罚款）；</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E、司法、仲裁机构判决、裁定中要求代扣的款项。</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color w:val="000000"/>
        </w:rPr>
      </w:pPr>
      <w:r>
        <w:rPr>
          <w:rFonts w:hint="eastAsia" w:ascii="SimHei" w:hAnsi="SimHei" w:eastAsia="黑体" w:cs="楷体"/>
        </w:rPr>
      </w:r>
      <w:r>
        <w:rPr>
          <w:rFonts w:hint="eastAsia" w:ascii="SimHei" w:hAnsi="SimHei" w:eastAsia="黑体" w:cs="楷体"/>
        </w:rPr>
        <w:t>10.3 工资计算期间中途聘用或离职人员，当月工资的计算公式如下：</w:t>
      </w:r>
    </w:p>
    <w:p>
      <w:pPr>
        <w:pStyle w:val="2"/>
        <w:keepNext w:val="0"/>
        <w:keepLines w:val="0"/>
        <w:pageBreakBefore w:val="0"/>
        <w:widowControl w:val="0"/>
        <w:kinsoku/>
        <w:wordWrap/>
        <w:overflowPunct/>
        <w:topLinePunct w:val="0"/>
        <w:bidi w:val="0"/>
        <w:spacing w:line="360" w:lineRule="auto"/>
        <w:ind w:firstLine="539" w:firstLineChars="257"/>
        <w:textAlignment w:val="auto"/>
        <w:rPr>
          <w:rFonts w:hint="eastAsia" w:ascii="楷体" w:hAnsi="楷体" w:eastAsia="楷体" w:cs="楷体"/>
        </w:rPr>
      </w:pPr>
      <w:r>
        <w:rPr>
          <w:rFonts w:hint="eastAsia" w:ascii="SimHei" w:hAnsi="SimHei" w:eastAsia="黑体" w:cs="楷体"/>
        </w:rPr>
        <w:t xml:space="preserve">工资计算期间未全勤的在职人员工资计算如下：               </w:t>
      </w:r>
    </w:p>
    <w:p>
      <w:pPr>
        <w:pStyle w:val="2"/>
        <w:keepNext w:val="0"/>
        <w:keepLines w:val="0"/>
        <w:pageBreakBefore w:val="0"/>
        <w:widowControl w:val="0"/>
        <w:kinsoku/>
        <w:wordWrap/>
        <w:overflowPunct/>
        <w:topLinePunct w:val="0"/>
        <w:bidi w:val="0"/>
        <w:spacing w:line="360" w:lineRule="auto"/>
        <w:ind w:firstLine="0" w:firstLineChars="0"/>
        <w:textAlignment w:val="auto"/>
        <w:rPr>
          <w:rFonts w:hint="eastAsia" w:ascii="楷体" w:hAnsi="楷体" w:eastAsia="楷体" w:cs="楷体"/>
        </w:rPr>
      </w:pPr>
      <w:r>
        <w:rPr>
          <w:rFonts w:hint="eastAsia" w:ascii="SimHei" w:hAnsi="SimHei" w:eastAsia="黑体" w:cs="楷体"/>
        </w:rPr>
        <w:t>应发工资 =  （基本工资+岗位津贴）— （基本工资+岗位津贴）×缺勤天数/20.83</w:t>
      </w:r>
    </w:p>
    <w:p>
      <w:pPr>
        <w:pStyle w:val="2"/>
        <w:keepNext w:val="0"/>
        <w:keepLines w:val="0"/>
        <w:pageBreakBefore w:val="0"/>
        <w:widowControl w:val="0"/>
        <w:kinsoku/>
        <w:wordWrap/>
        <w:overflowPunct/>
        <w:topLinePunct w:val="0"/>
        <w:bidi w:val="0"/>
        <w:spacing w:line="360" w:lineRule="auto"/>
        <w:ind w:firstLine="0" w:firstLineChars="0"/>
        <w:textAlignment w:val="auto"/>
        <w:rPr>
          <w:rFonts w:hint="eastAsia" w:ascii="楷体" w:hAnsi="楷体" w:eastAsia="楷体" w:cs="楷体"/>
        </w:rPr>
      </w:pPr>
      <w:r>
        <w:rPr>
          <w:rFonts w:hint="eastAsia" w:ascii="SimHei" w:hAnsi="SimHei" w:eastAsia="黑体" w:cs="楷体"/>
        </w:rPr>
        <w:t>10.4  各类假别薪酬支付标准</w:t>
      </w:r>
    </w:p>
    <w:p>
      <w:pPr>
        <w:pStyle w:val="2"/>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A、产假：按国家相关规定执行。</w:t>
      </w:r>
    </w:p>
    <w:p>
      <w:pPr>
        <w:pStyle w:val="2"/>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B、婚假：按正常出勤结算工资。</w:t>
      </w:r>
    </w:p>
    <w:p>
      <w:pPr>
        <w:pStyle w:val="2"/>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C、护理假：（配偶分娩）不享受岗位技能津贴。</w:t>
      </w:r>
    </w:p>
    <w:p>
      <w:pPr>
        <w:pStyle w:val="2"/>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D、丧假：按正常出勤结算工资</w:t>
      </w:r>
    </w:p>
    <w:p>
      <w:pPr>
        <w:pStyle w:val="2"/>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r>
        <w:rPr>
          <w:rFonts w:hint="eastAsia" w:ascii="SimHei" w:hAnsi="SimHei" w:eastAsia="黑体" w:cs="楷体"/>
        </w:rPr>
        <w:t xml:space="preserve">E、公假：按正常出勤结算工资。　</w:t>
      </w:r>
    </w:p>
    <w:p>
      <w:pPr>
        <w:pStyle w:val="2"/>
        <w:keepNext w:val="0"/>
        <w:keepLines w:val="0"/>
        <w:pageBreakBefore w:val="0"/>
        <w:widowControl w:val="0"/>
        <w:kinsoku/>
        <w:wordWrap/>
        <w:overflowPunct/>
        <w:topLinePunct w:val="0"/>
        <w:bidi w:val="0"/>
        <w:spacing w:line="360" w:lineRule="auto"/>
        <w:ind w:firstLineChars="0"/>
        <w:textAlignment w:val="auto"/>
        <w:rPr>
          <w:rFonts w:hint="eastAsia" w:ascii="楷体" w:hAnsi="楷体" w:eastAsia="楷体" w:cs="楷体"/>
        </w:rPr>
      </w:pPr>
      <w:r>
        <w:rPr>
          <w:rFonts w:hint="eastAsia" w:ascii="SimHei" w:hAnsi="SimHei" w:eastAsia="黑体" w:cs="楷体"/>
        </w:rPr>
        <w:t>F、事假：员工事假期间不发放工资。</w:t>
      </w:r>
      <w:bookmarkStart w:id="1" w:name="_Hlt248658350"/>
      <w:bookmarkEnd w:id="1"/>
      <w:bookmarkStart w:id="2" w:name="_Hlt248658351"/>
      <w:bookmarkEnd w:id="2"/>
      <w:bookmarkStart w:id="3" w:name="_Hlt248720329"/>
      <w:bookmarkEnd w:id="3"/>
      <w:bookmarkStart w:id="4" w:name="_Hlt248720330"/>
      <w:bookmarkEnd w:id="4"/>
    </w:p>
    <w:p>
      <w:pPr>
        <w:pStyle w:val="2"/>
        <w:keepNext w:val="0"/>
        <w:keepLines w:val="0"/>
        <w:pageBreakBefore w:val="0"/>
        <w:widowControl w:val="0"/>
        <w:kinsoku/>
        <w:wordWrap/>
        <w:overflowPunct/>
        <w:topLinePunct w:val="0"/>
        <w:bidi w:val="0"/>
        <w:spacing w:line="360" w:lineRule="auto"/>
        <w:ind w:firstLineChars="0"/>
        <w:textAlignment w:val="auto"/>
        <w:rPr>
          <w:rFonts w:hint="eastAsia" w:ascii="楷体" w:hAnsi="楷体" w:eastAsia="楷体" w:cs="楷体"/>
        </w:rPr>
      </w:pPr>
      <w:r>
        <w:rPr>
          <w:rFonts w:hint="eastAsia" w:ascii="SimHei" w:hAnsi="SimHei" w:eastAsia="黑体" w:cs="楷体"/>
        </w:rPr>
        <w:t>H、其他假别：按照国家相关规定或公司相关制度执行。</w:t>
      </w:r>
    </w:p>
    <w:p>
      <w:pPr>
        <w:pStyle w:val="2"/>
        <w:keepNext w:val="0"/>
        <w:keepLines w:val="0"/>
        <w:pageBreakBefore w:val="0"/>
        <w:widowControl w:val="0"/>
        <w:kinsoku/>
        <w:wordWrap/>
        <w:overflowPunct/>
        <w:topLinePunct w:val="0"/>
        <w:bidi w:val="0"/>
        <w:spacing w:line="360" w:lineRule="auto"/>
        <w:ind w:firstLine="0" w:firstLineChars="0"/>
        <w:textAlignment w:val="auto"/>
        <w:rPr>
          <w:rFonts w:hint="eastAsia" w:ascii="楷体" w:hAnsi="楷体" w:eastAsia="楷体" w:cs="楷体"/>
          <w:b/>
        </w:rPr>
      </w:pPr>
      <w:r>
        <w:rPr>
          <w:rFonts w:hint="eastAsia" w:ascii="SimHei" w:hAnsi="SimHei" w:eastAsia="黑体" w:cs="楷体"/>
          <w:b/>
        </w:rPr>
        <w:t>11、社会保障及住房公积金</w:t>
      </w:r>
    </w:p>
    <w:p>
      <w:pPr>
        <w:pStyle w:val="2"/>
        <w:keepNext w:val="0"/>
        <w:keepLines w:val="0"/>
        <w:pageBreakBefore w:val="0"/>
        <w:widowControl w:val="0"/>
        <w:kinsoku/>
        <w:wordWrap/>
        <w:overflowPunct/>
        <w:topLinePunct w:val="0"/>
        <w:bidi w:val="0"/>
        <w:spacing w:line="360" w:lineRule="auto"/>
        <w:ind w:firstLine="0" w:firstLineChars="0"/>
        <w:textAlignment w:val="auto"/>
        <w:rPr>
          <w:rFonts w:hint="eastAsia" w:ascii="楷体" w:hAnsi="楷体" w:eastAsia="楷体" w:cs="楷体"/>
        </w:rPr>
      </w:pPr>
      <w:r>
        <w:rPr>
          <w:rFonts w:hint="eastAsia" w:ascii="SimHei" w:hAnsi="SimHei" w:eastAsia="黑体" w:cs="楷体"/>
        </w:rPr>
        <w:t>11.1上海户籍员工依照劳动合同约定的工资为基数缴纳养老保险金、失业保险金、医疗保险金、住房公积金。</w:t>
      </w:r>
    </w:p>
    <w:p>
      <w:pPr>
        <w:pStyle w:val="2"/>
        <w:keepNext w:val="0"/>
        <w:keepLines w:val="0"/>
        <w:pageBreakBefore w:val="0"/>
        <w:widowControl w:val="0"/>
        <w:kinsoku/>
        <w:wordWrap/>
        <w:overflowPunct/>
        <w:topLinePunct w:val="0"/>
        <w:bidi w:val="0"/>
        <w:spacing w:line="360" w:lineRule="auto"/>
        <w:ind w:firstLine="0" w:firstLineChars="0"/>
        <w:textAlignment w:val="auto"/>
        <w:rPr>
          <w:rFonts w:hint="eastAsia" w:ascii="楷体" w:hAnsi="楷体" w:eastAsia="楷体" w:cs="楷体"/>
        </w:rPr>
      </w:pPr>
      <w:r>
        <w:rPr>
          <w:rFonts w:hint="eastAsia" w:ascii="SimHei" w:hAnsi="SimHei" w:eastAsia="黑体" w:cs="楷体"/>
        </w:rPr>
        <w:t>11.2非上海户籍员工由本人提出申请，经公司审批后也可按上海户籍员工同等标准缴纳。</w:t>
      </w:r>
    </w:p>
    <w:p>
      <w:pPr>
        <w:pStyle w:val="2"/>
        <w:keepNext w:val="0"/>
        <w:keepLines w:val="0"/>
        <w:pageBreakBefore w:val="0"/>
        <w:widowControl w:val="0"/>
        <w:kinsoku/>
        <w:wordWrap/>
        <w:overflowPunct/>
        <w:topLinePunct w:val="0"/>
        <w:bidi w:val="0"/>
        <w:spacing w:line="360" w:lineRule="auto"/>
        <w:ind w:firstLine="0" w:firstLineChars="0"/>
        <w:textAlignment w:val="auto"/>
        <w:rPr>
          <w:rFonts w:hint="eastAsia" w:ascii="楷体" w:hAnsi="楷体" w:eastAsia="楷体" w:cs="楷体"/>
        </w:rPr>
      </w:pPr>
      <w:r>
        <w:rPr>
          <w:rFonts w:hint="eastAsia" w:ascii="SimHei" w:hAnsi="SimHei" w:eastAsia="黑体" w:cs="楷体"/>
        </w:rPr>
        <w:t>11.3其他非上海户籍员工一律缴纳上海综合保险。</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b/>
        </w:rPr>
      </w:pPr>
      <w:r>
        <w:rPr>
          <w:rFonts w:hint="eastAsia" w:ascii="SimHei" w:hAnsi="SimHei" w:eastAsia="黑体" w:cs="楷体"/>
          <w:b/>
        </w:rPr>
        <w:t>12、薪酬保密</w:t>
      </w:r>
    </w:p>
    <w:p>
      <w:pPr>
        <w:keepNext w:val="0"/>
        <w:keepLines w:val="0"/>
        <w:pageBreakBefore w:val="0"/>
        <w:widowControl w:val="0"/>
        <w:kinsoku/>
        <w:wordWrap/>
        <w:overflowPunct/>
        <w:topLinePunct w:val="0"/>
        <w:bidi w:val="0"/>
        <w:spacing w:line="360" w:lineRule="auto"/>
        <w:ind w:firstLine="420" w:firstLineChars="200"/>
        <w:textAlignment w:val="auto"/>
        <w:rPr>
          <w:rFonts w:hint="eastAsia" w:ascii="楷体" w:hAnsi="楷体" w:eastAsia="楷体" w:cs="楷体"/>
        </w:rPr>
      </w:pPr>
      <w:r>
        <w:rPr>
          <w:rFonts w:hint="eastAsia" w:ascii="SimHei" w:hAnsi="SimHei" w:eastAsia="黑体" w:cs="楷体"/>
        </w:rPr>
        <w:t>人力资源部、集团财务及财务所有经手工资信息的员工及管理人员必须保守薪酬秘密。非因工作需要，不得将员工的薪酬信息透漏给任何第三方或公司以外的任何人员。薪酬信息的传递必须通过正式渠道。 有关薪酬的书面材料（包括各种有关财务凭证）必须加锁管理。工作人员在离开办公区域时，不得将相关保密材料堆放在桌面或容易泄露的地方。有关薪酬方面的电子文档必须加密存储，密码不得转交给他人。员工需查核本人工资情况时，必须由人力资源部会同财务部门出纳进行核查。违反薪酬保密相关规定的一律视为严重违反公司劳动纪律的情形予以开除。</w:t>
      </w:r>
    </w:p>
    <w:p>
      <w:pPr>
        <w:keepNext w:val="0"/>
        <w:keepLines w:val="0"/>
        <w:pageBreakBefore w:val="0"/>
        <w:widowControl w:val="0"/>
        <w:kinsoku/>
        <w:wordWrap/>
        <w:overflowPunct/>
        <w:topLinePunct w:val="0"/>
        <w:bidi w:val="0"/>
        <w:spacing w:line="360" w:lineRule="auto"/>
        <w:ind w:firstLine="420" w:firstLineChars="200"/>
        <w:textAlignment w:val="auto"/>
        <w:rPr>
          <w:rFonts w:hint="eastAsia" w:ascii="楷体" w:hAnsi="楷体" w:eastAsia="楷体" w:cs="楷体"/>
        </w:rPr>
      </w:pPr>
      <w:r>
        <w:rPr>
          <w:rFonts w:hint="eastAsia" w:ascii="SimHei" w:hAnsi="SimHei" w:eastAsia="黑体" w:cs="楷体"/>
        </w:rPr>
        <w:t>公司执行国家规定发放的福利补贴的标准应不低于国家规定标准，并随国家政策性调整而相应调整。</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b/>
        </w:rPr>
      </w:pPr>
      <w:r>
        <w:rPr>
          <w:rFonts w:hint="eastAsia" w:ascii="SimHei" w:hAnsi="SimHei" w:eastAsia="黑体" w:cs="楷体"/>
          <w:b/>
        </w:rPr>
        <w:t>13、附件</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rPr>
        <w:t>《**职级薪级表》</w:t>
      </w:r>
      <w:r>
        <w:rPr>
          <w:rFonts w:hint="eastAsia" w:ascii="SimHei" w:hAnsi="SimHei" w:eastAsia="黑体" w:cs="楷体"/>
          <w:sz w:val="22"/>
        </w:rPr>
        <w:t>服务,讲的就是“诚信”——学习《</w:t>
      </w:r>
      <w:r>
        <w:rPr>
          <w:rFonts w:hint="eastAsia" w:ascii="SimHei" w:hAnsi="SimHei" w:eastAsia="黑体" w:cs="楷体"/>
          <w:sz w:val="22"/>
          <w:lang w:eastAsia="zh-CN"/>
        </w:rPr>
        <w:t>XXXX</w:t>
      </w:r>
      <w:r>
        <w:rPr>
          <w:rFonts w:hint="eastAsia" w:ascii="SimHei" w:hAnsi="SimHei" w:eastAsia="黑体" w:cs="楷体"/>
          <w:sz w:val="22"/>
        </w:rPr>
        <w:t xml:space="preserve">公司客户满意度研究》体会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sz w:val="22"/>
        </w:rPr>
        <w:t>--------------------------------------------------------------------------------</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sz w:val="22"/>
        </w:rPr>
        <w:t xml:space="preserve">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sz w:val="22"/>
        </w:rPr>
        <w:t xml:space="preserve">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sz w:val="22"/>
        </w:rPr>
        <w:t xml:space="preserve">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sz w:val="22"/>
        </w:rPr>
        <w:t xml:space="preserve">　　《</w:t>
      </w:r>
      <w:r>
        <w:rPr>
          <w:rFonts w:hint="eastAsia" w:ascii="SimHei" w:hAnsi="SimHei" w:eastAsia="黑体" w:cs="楷体"/>
          <w:sz w:val="22"/>
          <w:lang w:eastAsia="zh-CN"/>
        </w:rPr>
        <w:t>XXXX</w:t>
      </w:r>
      <w:r>
        <w:rPr>
          <w:rFonts w:hint="eastAsia" w:ascii="SimHei" w:hAnsi="SimHei" w:eastAsia="黑体" w:cs="楷体"/>
          <w:sz w:val="22"/>
        </w:rPr>
        <w:t xml:space="preserve">公司客户满意度研究》引起我们围绕新形式下的客户满意度问题展开了激烈讨论。所谓的新形式，具体到办事处，我们认为主要是“五高一大”：网上设备占有率高，新设备采用率高，设备组网复杂程度高，网上地位高，客户要求服务水平高，我们的客户和我们面对的压力大。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sz w:val="22"/>
        </w:rPr>
        <w:t xml:space="preserve">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sz w:val="22"/>
        </w:rPr>
        <w:t xml:space="preserve">　　新形式下客户最需要的是甚么﹖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sz w:val="22"/>
        </w:rPr>
        <w:t xml:space="preserve">　　 随着国内通信行业格局划定，不同运营商之间竞争日趋激烈，他们对市场和用户的争取已经涉及到了功能和服务质量的竞争。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sz w:val="22"/>
        </w:rPr>
        <w:t xml:space="preserve">　　 当通信运营商的压力多元化，其对设备供应商的要求也就开始多元化，不再是原有“快速和低价格供货”这样的单一需求，而更多地突出和强调了设备功能和服务保障，其中设备功能包括了基本业务和附加新业务，服务保障也包括很多内容，客户最关注的是以下几项：设备问题处理的及时性、资料的实用性、服务收费、新功能适应的反应速度。所有这些都和我们息息相关。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sz w:val="22"/>
        </w:rPr>
        <w:t xml:space="preserve">　　 通信行业运营商面对来自用户的压力越来越大，因此其对于设备供应商的要求就越来越高，尤其是设备运行中的服务保障方面。他们对我们的要求不再是简单的现场解决设备故障，而是进行网络分析，解决网络问题和协助培养其维护力量；他们关心的不是问题由谁处理，而关注的是设备的稳定性及问题处理的及时性。正如我们和Ｌ公司谈代维时，他们一位副总说的“我们不要求你们每年来我们这里多少次，也不希望你们来的次数太多，我们肯付出大笔维保费用的目的是求设备的稳定运行。如果你们对自己的设备有信心，一年都不来一次，设备也稳定运行，我们就满意。如果你们想来我们这里，我们可以一起交流交流、打打球。如果设备运行不稳定，你们天天在我们这里我们也不满意。”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sz w:val="22"/>
        </w:rPr>
        <w:t xml:space="preserve">　　面对新形式，我们的服务究竟应该如何去做﹖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sz w:val="22"/>
        </w:rPr>
        <w:t xml:space="preserve">　　几年前我们的服务停留在一种比较低的层面时，用户对我们服务评价很高，而当我们的服务上升了一个层次的时候，用户对我们的评价反而有所下降。当然这主要是因为新形势下运营商对我们要求的提高，抛开这些，从我们自身出发，可以将这个问题归结到“诚信”两个字上。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sz w:val="22"/>
        </w:rPr>
        <w:t xml:space="preserve">　　“诚信”包括了人和技术两个方面，下面我们分开来说。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sz w:val="22"/>
        </w:rPr>
        <w:t xml:space="preserve">　　1、人的诚信 我们服务是面向人，而不是面向设备的，因此在工作中永远不能抛开对人的因素的考虑。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sz w:val="22"/>
        </w:rPr>
        <w:t xml:space="preserve">　　首先，要以诚待人，和客户人员建立良好的工作关系。良好的工作关系和“诚信”的建立，是我们有效开展工作所必须的前提。因为工作的缘故，我们经常和客户维护人员接触，只要我们尽职尽责的工作，他们都会看在眼中记在心里的，时间长了他们会认同我们的工作态度，会觉得我们是可以信赖的人。除工作上的来往外，也可以在工作之外多交流。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sz w:val="22"/>
        </w:rPr>
        <w:t xml:space="preserve">　　其次，和客户交往，要信守承诺，无论事情本身的大小，承诺的事情一定要按时实现，如果因为特殊原因不能实现，一定要进行详细的解释。比如说，在协调会上说第二天8:00开始验收测试，结果我们迟到了5分钟，虽然仅仅迟到了几分钟，但在客户的眼中我们就成了不守信用的人。要从根本上重视承诺，不要随意承诺，承诺前仔细想一下，我们将要做的承诺的含义到底包括那些内容，是否办得到，这需要我们不断地进行自我提高。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sz w:val="22"/>
        </w:rPr>
        <w:t xml:space="preserve">　　最后，基层的工作必须强调务实，务实的含义就是所有的问题都要认真去做，所有问题解决后都要按流程给客户回复确认。一线的维护工程师直接面对的主要是客户基层，少量是中层。在日常的工作中，提高客户满意度也应该从他们入手，光靠双方高层的交流是远远不够的，因为客户高层可能会从各个方面入手，通过多种渠道来了解最基本的情况，其中很重要的途径是从基层员工来打听情况。举一个例子，有一次我们给Ｙ公司做升级，当天晚上升级过程中出现了一点小问题，我们处理完成以后没有很好地向客户随工人员解释清楚。不久以后我去该公司和他们的经理谈收费问题时，他们经理就谈到了升级那晚的事情，原来随工人员向他汇报情况的时候，没有很好地解释说明，导致和事实较大的出入，后来经过我们多次解释，他才明白事情真正情况。这件事给我很深的印象，我们做了工作，却因为没有将事情的经过向客户人员解释清楚，而导致客户的不满。同样的错误绝不能再犯，因为不能每次都等客户不满意了我们才采取相应的措施来解释，毕竟不能每次都有“亡羊补牢”的机会。试想如果客户高层听了下属的汇报以后，根本就不给我们解释的机会，问题就更无法挽回了，工作也无法正常开展下去。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sz w:val="22"/>
        </w:rPr>
        <w:t xml:space="preserve">　　2、技术上的“诚信”。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sz w:val="22"/>
        </w:rPr>
        <w:t xml:space="preserve">　　现场服务过程中，我们经常遇到这样的问题：处理故障后，如何向用户汇报故障原因？我们一定要让客户知道我们对此采取的措施和计划，一定要抱着“比用户还要着急”的态度，我们正在努力地做很多工作来解决这个问题，并且我们一定会解决这个问题。这是非常重要的，我们必须以此来取得更多技术上的“诚信”。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sz w:val="22"/>
        </w:rPr>
        <w:t xml:space="preserve">　　运营商对设备供应商要求的提高，具体到每一次现场维修、每一个工程中，就是对我们个人要求的提高。因此新形势下提高客户满意度，从我们个人角度来说，最主要的就是尽快提高自身的素质。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sz w:val="22"/>
        </w:rPr>
        <w:t xml:space="preserve">　　最后用一句话来结束： 团结所有可以团结的人，利用所有可以利用的资源，以务实为本，以“诚信”为目的，实现新形式下的客户满意。</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2"/>
        </w:rPr>
      </w:pPr>
      <w:r>
        <w:rPr>
          <w:rFonts w:hint="eastAsia" w:ascii="SimHei" w:hAnsi="SimHei" w:eastAsia="黑体" w:cs="楷体"/>
          <w:sz w:val="22"/>
        </w:rPr>
        <w:t xml:space="preserve">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sz w:val="20"/>
        </w:rPr>
      </w:pPr>
      <w:r>
        <w:rPr>
          <w:rFonts w:hint="eastAsia" w:ascii="SimHei" w:hAnsi="SimHei" w:eastAsia="黑体" w:cs="楷体"/>
          <w:sz w:val="22"/>
        </w:rPr>
        <w:t xml:space="preserve"> </w:t>
      </w:r>
    </w:p>
    <w:p>
      <w:pPr>
        <w:keepNext w:val="0"/>
        <w:keepLines w:val="0"/>
        <w:pageBreakBefore w:val="0"/>
        <w:widowControl w:val="0"/>
        <w:kinsoku/>
        <w:wordWrap/>
        <w:overflowPunct/>
        <w:topLinePunct w:val="0"/>
        <w:bidi w:val="0"/>
        <w:spacing w:line="360" w:lineRule="auto"/>
        <w:textAlignment w:val="auto"/>
        <w:rPr>
          <w:rFonts w:hint="eastAsia" w:ascii="楷体" w:hAnsi="楷体" w:eastAsia="楷体" w:cs="楷体"/>
        </w:rPr>
      </w:pPr>
    </w:p>
    <w:sectPr>
      <w:headerReference r:id="rId4" w:type="first"/>
      <w:headerReference r:id="rId3" w:type="default"/>
      <w:footerReference r:id="rId5" w:type="default"/>
      <w:footerReference r:id="rId6" w:type="even"/>
      <w:pgSz w:w="11906" w:h="16838"/>
      <w:pgMar w:top="850" w:right="1474" w:bottom="850" w:left="1474" w:header="227" w:footer="624" w:gutter="0"/>
      <w:pgBorders>
        <w:top w:val="none" w:sz="0" w:space="0"/>
        <w:left w:val="none" w:sz="0" w:space="0"/>
        <w:bottom w:val="none" w:sz="0" w:space="0"/>
        <w:right w:val="none" w:sz="0" w:space="0"/>
      </w:pgBorders>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180" w:wrap="around" w:vAnchor="text" w:hAnchor="page" w:x="5857" w:y="-14"/>
      <w:rPr>
        <w:rStyle w:val="7"/>
      </w:rPr>
    </w:pPr>
    <w:r>
      <w:fldChar w:fldCharType="begin"/>
    </w:r>
    <w:r>
      <w:rPr>
        <w:rStyle w:val="7"/>
      </w:rPr>
      <w:instrText xml:space="preserve">PAGE  </w:instrText>
    </w:r>
    <w:r>
      <w:fldChar w:fldCharType="separate"/>
    </w:r>
    <w:r>
      <w:rPr>
        <w:rStyle w:val="7"/>
      </w:rPr>
      <w:t>1</w:t>
    </w:r>
    <w: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7"/>
      </w:rPr>
    </w:pPr>
    <w:r>
      <w:fldChar w:fldCharType="begin"/>
    </w:r>
    <w:r>
      <w:rPr>
        <w:rStyle w:val="7"/>
      </w:rPr>
      <w:instrText xml:space="preserve">PAGE  </w:instrText>
    </w:r>
    <w:r>
      <w:fldChar w:fldCharType="end"/>
    </w:r>
  </w:p>
  <w:p>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hint="eastAsia" w:ascii="黑体" w:eastAsia="黑体"/>
        <w:sz w:val="28"/>
        <w:szCs w:val="28"/>
      </w:rPr>
    </w:pPr>
  </w:p>
  <w:p>
    <w:pPr>
      <w:pStyle w:val="4"/>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idowControl w:val="0"/>
      <w:pBdr>
        <w:top w:val="none" w:color="auto" w:sz="0" w:space="1"/>
        <w:left w:val="none" w:color="auto" w:sz="0" w:space="4"/>
        <w:bottom w:val="none" w:color="auto" w:sz="0" w:space="1"/>
        <w:right w:val="none" w:color="auto" w:sz="0" w:space="4"/>
        <w:between w:val="none" w:color="auto" w:sz="0" w:space="0"/>
      </w:pBdr>
      <w:snapToGrid w:val="0"/>
      <w:jc w:val="cente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94C"/>
    <w:rsid w:val="002A117F"/>
    <w:rsid w:val="00393EDF"/>
    <w:rsid w:val="0050601A"/>
    <w:rsid w:val="007719CB"/>
    <w:rsid w:val="0078594C"/>
    <w:rsid w:val="00D53C7E"/>
    <w:rsid w:val="0A3D52DF"/>
    <w:rsid w:val="54342355"/>
    <w:rsid w:val="7A1E5F0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styleId="8">
    <w:name w:val="FollowedHyperlink"/>
    <w:qFormat/>
    <w:uiPriority w:val="0"/>
    <w:rPr>
      <w:color w:val="800080"/>
      <w:u w:val="single"/>
    </w:rPr>
  </w:style>
  <w:style w:type="character" w:styleId="9">
    <w:name w:val="Hyperlink"/>
    <w:qFormat/>
    <w:uiPriority w:val="0"/>
    <w:rPr>
      <w:color w:val="0000FF"/>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番茄花园</Company>
  <Pages>8</Pages>
  <Words>804</Words>
  <Characters>4583</Characters>
  <Lines>38</Lines>
  <Paragraphs>10</Paragraphs>
  <TotalTime>6</TotalTime>
  <ScaleCrop>false</ScaleCrop>
  <LinksUpToDate>false</LinksUpToDate>
  <CharactersWithSpaces>5377</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2009-12-16T01:50:00Z</dcterms:created>
  <dc:creator>番茄花园</dc:creator>
  <cp:lastModifiedBy>Administrator</cp:lastModifiedBy>
  <cp:lastPrinted>2010-01-07T06:16:00Z</cp:lastPrinted>
  <dcterms:modified xsi:type="dcterms:W3CDTF">2019-10-18T01:57:40Z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