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E/>
        <w:autoSpaceDN/>
        <w:bidi w:val="0"/>
        <w:adjustRightInd w:val="0"/>
        <w:snapToGrid w:val="0"/>
        <w:spacing w:before="0" w:after="0" w:line="360" w:lineRule="auto"/>
        <w:ind w:left="0" w:leftChars="0" w:firstLine="0" w:firstLineChars="0"/>
        <w:jc w:val="center"/>
        <w:textAlignment w:val="auto"/>
        <w:rPr>
          <w:rFonts w:hint="eastAsia" w:ascii="楷体" w:hAnsi="楷体" w:eastAsia="楷体" w:cs="楷体"/>
          <w:sz w:val="36"/>
          <w:szCs w:val="36"/>
          <w:highlight w:val="yellow"/>
        </w:rPr>
      </w:pPr>
      <w:r>
        <w:rPr>
          <w:rFonts w:hint="eastAsia" w:ascii="SimHei" w:hAnsi="SimHei" w:eastAsia="黑体" w:cs="楷体"/>
          <w:sz w:val="36"/>
          <w:szCs w:val="36"/>
          <w:highlight w:val="yellow"/>
        </w:rPr>
        <w:t>等级薪</w:t>
      </w:r>
      <w:bookmarkStart w:id="0" w:name="_GoBack"/>
      <w:bookmarkEnd w:id="0"/>
      <w:r>
        <w:rPr>
          <w:rFonts w:hint="eastAsia" w:ascii="SimHei" w:hAnsi="SimHei" w:eastAsia="黑体" w:cs="楷体"/>
          <w:sz w:val="36"/>
          <w:szCs w:val="36"/>
          <w:highlight w:val="yellow"/>
        </w:rPr>
        <w:t>酬制度</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第一章、总则</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一、为形成稳定的工作团队，维护公司各级员工的利益，保证公司的长远发展，特定本制度。</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二、等级薪酬制度体系适用对象包括公司各级职能部门中以常规性工作为特征的员工（包括享受年薪制员工、销售人员，全日制及责任制员工以内的所有员工）。</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三、等级工资制的薪酬构成：</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1、基本工资（实发基本工资由行政部按员工考勤汇总）；</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2、绩效工资；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3、综合补贴；</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4、奖励工资；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5、福利与保险；</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6、单项奖励计划；</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7、总经理特别奖；</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8、其他。</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四、员工薪酬的等级评价</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薪酬等级的评定不是由某个人评定的，而是自己努力工作的结果。通过自己的工作表现和上司、同事、下属以及客户（公司内部不同部门的人员关系也是一种客户关系）的评价所得出的结果而评定的。而且给自己做评价的人员也是员工在这些关系范围内自己选择的（具体细则另行规定）。</w:t>
      </w:r>
    </w:p>
    <w:p>
      <w:pPr>
        <w:keepNext w:val="0"/>
        <w:keepLines w:val="0"/>
        <w:pageBreakBefore w:val="0"/>
        <w:widowControl/>
        <w:numPr>
          <w:ilvl w:val="0"/>
          <w:numId w:val="1"/>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新员工进入公司的试用期工资按照所属工作系列的最低等级工资标准执行，使用期限由所属工作性质、应聘岗位以及应聘谈判所决定。</w:t>
      </w:r>
    </w:p>
    <w:p>
      <w:pPr>
        <w:keepNext w:val="0"/>
        <w:keepLines w:val="0"/>
        <w:pageBreakBefore w:val="0"/>
        <w:widowControl/>
        <w:numPr>
          <w:ilvl w:val="0"/>
          <w:numId w:val="1"/>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新员工试用期过后进行工作评价考核，由人力资源会同上司、同事和公司内部客户组成评价小组进行考核。考核结果决定员工去留以及薪酬等级。</w:t>
      </w:r>
    </w:p>
    <w:p>
      <w:pPr>
        <w:keepNext w:val="0"/>
        <w:keepLines w:val="0"/>
        <w:pageBreakBefore w:val="0"/>
        <w:widowControl/>
        <w:numPr>
          <w:ilvl w:val="0"/>
          <w:numId w:val="1"/>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享受等级薪酬的员工每半年进行一次工作评价考核考核等级和公司整体业绩完成情况决定自己下半年绩效工资的发放标准。</w:t>
      </w:r>
    </w:p>
    <w:p>
      <w:pPr>
        <w:keepNext w:val="0"/>
        <w:keepLines w:val="0"/>
        <w:pageBreakBefore w:val="0"/>
        <w:widowControl/>
        <w:numPr>
          <w:ilvl w:val="0"/>
          <w:numId w:val="1"/>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享受等级薪酬的员工年终进行年终考核，年终考核的成绩由上下半年的考核成绩相加得出。年终考核的成绩决定员工薪酬等级的晋升和下降，以及下半年的绩效工资发放比例。</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第二章、等级薪酬管理办法</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一、等级薪酬制划分9等37级。相应等级工资见附表。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二、等级工资共7个系列，见附表。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三、每一岗位人员的薪酬等级划定根据工作评价结果进行评定。具体评价依据见“工作评价考核表”。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四、等级制各岗位人员的实得工资额根据考核等级的结果得出。他的计算方法为：实得工资额=绩效工资x工资调整系数+基本工资+综合补贴+福利与保险+其他</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五、工资调整系数的调整，主要根据主要劳动市场调查的数据和公司人力资源部门的战略需求确定，以保证公司内不同岗位薪资收入水平符合内部的公平和外部竞争的需要。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六、工资调整系数与考核等级的关系见附表。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七、基本工资：基本工资的数额额根据绩效等级得出，薪酬等级越低，基本工资比例越高；范围大体在30%…50%。</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八、基本工资的调整分为：调职、调等、调级、工资调整系数，具体调整方式为：</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1、调职：根据调整后的职等职级支付职位工资；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2、调等：根据考核结果，在所在职等系统内调整职等，并按调整后的职等支付职位工资；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3、调级：根据考核结果，在本职职等内调级，并按调整后的职级支付职位工资；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4、工资调整系数：根据员工工作考核等级调整（详细比例见附表）。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薪酬通知见附表。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九、绩效工资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1、绩效工资的总额根据薪酬等级得出，按月支付，即，绩效工资=绩效工资总额x工资调整系数；</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2、绩效工资的实际支付比例按上一季度公司整体业绩完成情况和员工上一季度的考核成绩挂钩，考核等级和相应的绩效工资分配比例见附表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十、奖励工资</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1、年度结束后，从当年经营产生的净利润中提取15%的比例，并根据员工的年度考核结果进行发放。具体计算方法为：</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2200" w:firstLineChars="1100"/>
        <w:jc w:val="both"/>
        <w:textAlignment w:val="auto"/>
        <w:rPr>
          <w:rFonts w:hint="eastAsia" w:ascii="楷体" w:hAnsi="楷体" w:eastAsia="楷体" w:cs="楷体"/>
          <w:sz w:val="20"/>
          <w:szCs w:val="20"/>
        </w:rPr>
      </w:pPr>
      <w:r>
        <w:rPr>
          <w:rFonts w:hint="eastAsia" w:ascii="SimHei" w:hAnsi="SimHei" w:eastAsia="黑体" w:cs="楷体"/>
          <w:sz w:val="20"/>
          <w:szCs w:val="20"/>
        </w:rPr>
        <w:t>该岗位薪酬等级标准x工资调整系数x年度考核系数</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00" w:firstLineChars="200"/>
        <w:jc w:val="both"/>
        <w:textAlignment w:val="auto"/>
        <w:rPr>
          <w:rFonts w:hint="eastAsia" w:ascii="楷体" w:hAnsi="楷体" w:eastAsia="楷体" w:cs="楷体"/>
          <w:sz w:val="20"/>
          <w:szCs w:val="20"/>
        </w:rPr>
      </w:pPr>
      <w:r>
        <w:rPr>
          <w:rFonts w:hint="eastAsia" w:ascii="SimHei" w:hAnsi="SimHei" w:eastAsia="黑体" w:cs="楷体"/>
          <w:sz w:val="20"/>
          <w:szCs w:val="20"/>
        </w:rPr>
        <w:t>某岗位人员奖励工资=</w:t>
      </w:r>
      <w:r>
        <w:rPr>
          <w:rFonts w:hint="eastAsia" w:ascii="SimHei" w:hAnsi="SimHei" w:eastAsia="黑体" w:cs="楷体"/>
          <w:sz w:val="20"/>
          <w:szCs w:val="20"/>
          <w:lang w:val="en-US" w:eastAsia="zh-CN"/>
        </w:rPr>
        <w:t xml:space="preserve">  </w:t>
      </w:r>
      <w:r>
        <w:rPr>
          <w:rFonts w:hint="eastAsia" w:ascii="SimHei" w:hAnsi="SimHei" w:eastAsia="黑体" w:cs="楷体"/>
          <w:sz w:val="20"/>
          <w:szCs w:val="20"/>
        </w:rPr>
        <w:t>————————————————————</w:t>
      </w:r>
      <w:r>
        <w:rPr>
          <w:rFonts w:hint="eastAsia" w:ascii="SimHei" w:hAnsi="SimHei" w:eastAsia="黑体" w:cs="楷体"/>
          <w:sz w:val="20"/>
          <w:szCs w:val="20"/>
          <w:lang w:val="en-US" w:eastAsia="zh-CN"/>
        </w:rPr>
        <w:t xml:space="preserve"> </w:t>
      </w:r>
      <w:r>
        <w:rPr>
          <w:rFonts w:hint="eastAsia" w:ascii="SimHei" w:hAnsi="SimHei" w:eastAsia="黑体" w:cs="楷体"/>
          <w:sz w:val="20"/>
          <w:szCs w:val="20"/>
        </w:rPr>
        <w:t>x奖励工资总额</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2200" w:firstLineChars="1100"/>
        <w:jc w:val="both"/>
        <w:textAlignment w:val="auto"/>
        <w:rPr>
          <w:rFonts w:hint="eastAsia" w:ascii="楷体" w:hAnsi="楷体" w:eastAsia="楷体" w:cs="楷体"/>
          <w:sz w:val="20"/>
          <w:szCs w:val="20"/>
        </w:rPr>
      </w:pPr>
      <w:r>
        <w:rPr>
          <w:rFonts w:hint="eastAsia" w:ascii="SimHei" w:hAnsi="SimHei" w:eastAsia="黑体" w:cs="楷体"/>
          <w:sz w:val="20"/>
          <w:szCs w:val="20"/>
        </w:rPr>
        <w:t>∑（岗位薪酬等级标准x工资调整系数x年度考核系数）</w:t>
      </w:r>
    </w:p>
    <w:p>
      <w:pPr>
        <w:keepNext w:val="0"/>
        <w:keepLines w:val="0"/>
        <w:pageBreakBefore w:val="0"/>
        <w:widowControl/>
        <w:tabs>
          <w:tab w:val="left" w:pos="93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ab/>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2、员工年度考核成绩为该员工两个半年考核成绩的综合平均分，年度考核分数等级见下表：</w:t>
      </w:r>
    </w:p>
    <w:tbl>
      <w:tblPr>
        <w:tblStyle w:val="6"/>
        <w:tblW w:w="102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42"/>
        <w:gridCol w:w="1537"/>
        <w:gridCol w:w="1337"/>
        <w:gridCol w:w="1237"/>
        <w:gridCol w:w="1275"/>
        <w:gridCol w:w="1843"/>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342"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考核等级</w:t>
            </w:r>
          </w:p>
        </w:tc>
        <w:tc>
          <w:tcPr>
            <w:tcW w:w="1537"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 xml:space="preserve"> A、卓越</w:t>
            </w:r>
          </w:p>
        </w:tc>
        <w:tc>
          <w:tcPr>
            <w:tcW w:w="1337"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B、优秀</w:t>
            </w:r>
          </w:p>
        </w:tc>
        <w:tc>
          <w:tcPr>
            <w:tcW w:w="1237"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C、良好</w:t>
            </w:r>
          </w:p>
        </w:tc>
        <w:tc>
          <w:tcPr>
            <w:tcW w:w="1275"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D、称职</w:t>
            </w:r>
          </w:p>
        </w:tc>
        <w:tc>
          <w:tcPr>
            <w:tcW w:w="1843"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E、基本称职</w:t>
            </w:r>
          </w:p>
        </w:tc>
        <w:tc>
          <w:tcPr>
            <w:tcW w:w="1701"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F、不称职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342"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年度考核分数</w:t>
            </w:r>
          </w:p>
        </w:tc>
        <w:tc>
          <w:tcPr>
            <w:tcW w:w="1537"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91---100</w:t>
            </w:r>
          </w:p>
        </w:tc>
        <w:tc>
          <w:tcPr>
            <w:tcW w:w="1337"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81---90</w:t>
            </w:r>
          </w:p>
        </w:tc>
        <w:tc>
          <w:tcPr>
            <w:tcW w:w="1237"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71---80</w:t>
            </w:r>
          </w:p>
        </w:tc>
        <w:tc>
          <w:tcPr>
            <w:tcW w:w="1275"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66---70</w:t>
            </w:r>
          </w:p>
        </w:tc>
        <w:tc>
          <w:tcPr>
            <w:tcW w:w="1843"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61---65</w:t>
            </w:r>
          </w:p>
        </w:tc>
        <w:tc>
          <w:tcPr>
            <w:tcW w:w="1701"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1"/>
                <w:szCs w:val="21"/>
              </w:rPr>
            </w:pPr>
            <w:r>
              <w:rPr>
                <w:rFonts w:hint="eastAsia" w:ascii="SimHei" w:hAnsi="SimHei" w:eastAsia="黑体" w:cs="楷体"/>
                <w:sz w:val="21"/>
                <w:szCs w:val="21"/>
              </w:rPr>
              <w:t>60分及以下</w:t>
            </w:r>
          </w:p>
        </w:tc>
      </w:tr>
    </w:tbl>
    <w:p>
      <w:pPr>
        <w:keepNext w:val="0"/>
        <w:keepLines w:val="0"/>
        <w:pageBreakBefore w:val="0"/>
        <w:widowControl/>
        <w:tabs>
          <w:tab w:val="left" w:pos="93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3、工资调整系数根据年度考核等级来确定，年度考核系数为员工本人的考核分数的百分比。</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奖金通知见附表。</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十一、员工的考核等级与晋级、晋等、晋职的关系</w:t>
      </w:r>
    </w:p>
    <w:p>
      <w:pPr>
        <w:pStyle w:val="9"/>
        <w:keepNext w:val="0"/>
        <w:keepLines w:val="0"/>
        <w:pageBreakBefore w:val="0"/>
        <w:widowControl/>
        <w:numPr>
          <w:ilvl w:val="0"/>
          <w:numId w:val="2"/>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同一职等内，每经过一次年度考核为A者，可以再本职等内晋升一个职级，当职级在本职等内为最高者不再晋级；</w:t>
      </w:r>
    </w:p>
    <w:p>
      <w:pPr>
        <w:pStyle w:val="9"/>
        <w:keepNext w:val="0"/>
        <w:keepLines w:val="0"/>
        <w:pageBreakBefore w:val="0"/>
        <w:widowControl/>
        <w:numPr>
          <w:ilvl w:val="0"/>
          <w:numId w:val="2"/>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等级制员工的晋等以存在晋等空间为前提，连续两年考核为A或连续三年考核为B者，且薪资等级在本职等为最高者可以晋升一个职等。</w:t>
      </w:r>
    </w:p>
    <w:p>
      <w:pPr>
        <w:pStyle w:val="9"/>
        <w:keepNext w:val="0"/>
        <w:keepLines w:val="0"/>
        <w:pageBreakBefore w:val="0"/>
        <w:widowControl/>
        <w:numPr>
          <w:ilvl w:val="0"/>
          <w:numId w:val="2"/>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等级制员工的降级：每经过一次年度考核为D者，降一级；同一职等内，级次最低者降一等，享受新等级内最高级次。</w:t>
      </w:r>
    </w:p>
    <w:p>
      <w:pPr>
        <w:pStyle w:val="9"/>
        <w:keepNext w:val="0"/>
        <w:keepLines w:val="0"/>
        <w:pageBreakBefore w:val="0"/>
        <w:widowControl/>
        <w:numPr>
          <w:ilvl w:val="0"/>
          <w:numId w:val="2"/>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等级制员工的降等：每经过一次年度考核为E者，降一等；年终考核为E和连续两年考核为D者降低工作职务，根据公司人力资源状况和个人意愿报总经理审批另行安排工作岗位，薪酬等级按照调整后的工作职级执行。</w:t>
      </w:r>
    </w:p>
    <w:p>
      <w:pPr>
        <w:pStyle w:val="9"/>
        <w:keepNext w:val="0"/>
        <w:keepLines w:val="0"/>
        <w:pageBreakBefore w:val="0"/>
        <w:widowControl/>
        <w:numPr>
          <w:ilvl w:val="0"/>
          <w:numId w:val="2"/>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等级制员工的解约：每经过一次年度考核为F者，公司将于他/她解除劳动关系。</w:t>
      </w:r>
    </w:p>
    <w:p>
      <w:pPr>
        <w:pStyle w:val="9"/>
        <w:keepNext w:val="0"/>
        <w:keepLines w:val="0"/>
        <w:pageBreakBefore w:val="0"/>
        <w:widowControl/>
        <w:numPr>
          <w:ilvl w:val="0"/>
          <w:numId w:val="2"/>
        </w:numPr>
        <w:tabs>
          <w:tab w:val="left" w:pos="880"/>
        </w:tabs>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根据考核结果和公司人力资源的需求状况，符合条件者可以晋职；具体由公司人力资源部根据实际情况拟定，呈报总经理审批后执行。</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十二、等级薪酬体系中个系列所对应的薪等空间是固定的（根据工作评价结果最终确定），不存在无限制的晋级和晋等空间。</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十三、建立不良事故考核机制，凡发生不良事故者，根据不良事故等级对责任人做出相应处罚（具体细则另行规定），并不得丧失评考核等级A、B、C的机会。</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十四、等级工资制D级及以上员工享有国家法定福利和保险，享受内容和标准按国家法律规定执行。</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十五、根据实际需要设立成本节约奖、不良事故预防奖和合理化建议奖等，这些奖项包含在单项奖励计划中（具体细节另行规定）。</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十六、对有特殊贡献的员工，办法总经理特别奖。</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十七、其他，因政策及地区差异所造成的其他特殊薪资项目，如销售员提成、外派补贴等。</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销售员提成的前提是完成业务的任务量，详细规则另行制定。</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十八、享受工资等级制度的员工，加班工资按国家规定执行。</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十九、有关病事假等薪资参照公司考勤制度执行，法定假日按基本工资核发。</w:t>
      </w:r>
    </w:p>
    <w:p>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sz w:val="28"/>
          <w:szCs w:val="28"/>
        </w:rPr>
        <w:t>第三章、附则</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一、本制度未尽事宜另行规定，或参照公司其他相关制度执行。</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二、本制度由总经理核准颁发。</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三、本制度自颁发之日起执行，修改亦同。</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附表一、</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sz w:val="24"/>
          <w:szCs w:val="24"/>
        </w:rPr>
      </w:pPr>
      <w:r>
        <w:rPr>
          <w:rStyle w:val="11"/>
          <w:rFonts w:hint="eastAsia" w:ascii="SimHei" w:hAnsi="SimHei" w:eastAsia="黑体" w:cs="楷体"/>
          <w:sz w:val="24"/>
          <w:szCs w:val="24"/>
        </w:rPr>
        <w:t>经理级员工考核表</w:t>
      </w:r>
    </w:p>
    <w:tbl>
      <w:tblPr>
        <w:tblStyle w:val="6"/>
        <w:tblW w:w="96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225"/>
        <w:gridCol w:w="342"/>
        <w:gridCol w:w="418"/>
        <w:gridCol w:w="93"/>
        <w:gridCol w:w="667"/>
        <w:gridCol w:w="760"/>
        <w:gridCol w:w="185"/>
        <w:gridCol w:w="575"/>
        <w:gridCol w:w="760"/>
        <w:gridCol w:w="266"/>
        <w:gridCol w:w="12"/>
        <w:gridCol w:w="482"/>
        <w:gridCol w:w="103"/>
        <w:gridCol w:w="657"/>
        <w:gridCol w:w="370"/>
        <w:gridCol w:w="390"/>
        <w:gridCol w:w="993"/>
        <w:gridCol w:w="229"/>
        <w:gridCol w:w="1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1101"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评价因素</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评分标准</w:t>
            </w:r>
          </w:p>
        </w:tc>
        <w:tc>
          <w:tcPr>
            <w:tcW w:w="993"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得分</w:t>
            </w:r>
          </w:p>
        </w:tc>
        <w:tc>
          <w:tcPr>
            <w:tcW w:w="1842"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业绩40分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工作质量15分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工作出色</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工作良好，有保证</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有小失误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有较大失误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工作数量15分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超额完成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按计划完成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完成91%以上</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完成81%以上</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工作方法5分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方法得当，效率高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方法稍好，效率尚可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方法一般，效率低</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方法失当，有违纪行为</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工作品质5分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行政事务管理堪称模范</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行政事务管理有小差错</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行政事务管理很差</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能力20分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统率力5分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合理安排工作，超额完成目标</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合理安排工作，基本完成目标</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工作安排一般，下属有意见</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分工不当，下属意见很大</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激励力5分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知人善任，下属工作积极、突出</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能识别人才，下属工作尚可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用人有小问题，下属工作能完成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用人不当，下属不满</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判断力5分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能把握问题关键，解决重大问题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基本抓住问题重点</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尚能解决一般问题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无法解决问题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表达力5分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工作指令条理清楚，有凝聚力</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工作指令能让人理解</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工作指令含糊，但能执行</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下属无所适从</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品性10分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协作性5分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能积极同他人合作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能积极配合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被动配合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威望度5分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深受爱戴，是榜样</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尚且能让部属信服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部属有意见</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难以让人信服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学识10分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管理常识5分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丰富、精通，并且能应用于工作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较丰富，部门秩序良好</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一般，管理有困难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缺乏，部门无管理</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行业常识5分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丰富、精通，并且能应用于工作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较丰富，肯钻研</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一般，工作慢</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缺乏，工作困难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影响20分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影响性20分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对公司的长期业绩和发展有重大意义</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对公司的整体业绩和总体发展有显著影响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影响业绩，对部门业绩发展有影响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影响职责范围内的工作和业务流程</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无大的影响，短期内即可被代替</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6839" w:type="dxa"/>
            <w:gridSpan w:val="1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合计</w:t>
            </w:r>
          </w:p>
        </w:tc>
        <w:tc>
          <w:tcPr>
            <w:tcW w:w="2835"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759"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事</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病</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婚</w:t>
            </w: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娩</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丧</w:t>
            </w: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w:t>
            </w:r>
          </w:p>
        </w:tc>
        <w:tc>
          <w:tcPr>
            <w:tcW w:w="760"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休</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迟</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旷</w:t>
            </w:r>
          </w:p>
        </w:tc>
        <w:tc>
          <w:tcPr>
            <w:tcW w:w="2835"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考核最终得分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759"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835" w:type="dxa"/>
            <w:gridSpan w:val="3"/>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6839" w:type="dxa"/>
            <w:gridSpan w:val="1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合计：            日            时</w:t>
            </w:r>
          </w:p>
        </w:tc>
        <w:tc>
          <w:tcPr>
            <w:tcW w:w="2835" w:type="dxa"/>
            <w:gridSpan w:val="3"/>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受奖加分</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分</w:t>
            </w:r>
          </w:p>
        </w:tc>
        <w:tc>
          <w:tcPr>
            <w:tcW w:w="1601"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受罚减分</w:t>
            </w:r>
          </w:p>
        </w:tc>
        <w:tc>
          <w:tcPr>
            <w:tcW w:w="2014" w:type="dxa"/>
            <w:gridSpan w:val="6"/>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分</w:t>
            </w:r>
          </w:p>
        </w:tc>
        <w:tc>
          <w:tcPr>
            <w:tcW w:w="2835" w:type="dxa"/>
            <w:gridSpan w:val="3"/>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425" w:hRule="exac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考核人</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c>
          <w:tcPr>
            <w:tcW w:w="1613"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被考核人</w:t>
            </w:r>
          </w:p>
        </w:tc>
        <w:tc>
          <w:tcPr>
            <w:tcW w:w="1612"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复核人</w:t>
            </w:r>
          </w:p>
        </w:tc>
        <w:tc>
          <w:tcPr>
            <w:tcW w:w="161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Height w:val="1265" w:hRule="atLeas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3"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附表二、</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主管组长级员工考核表</w:t>
      </w:r>
    </w:p>
    <w:tbl>
      <w:tblPr>
        <w:tblStyle w:val="6"/>
        <w:tblW w:w="96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225"/>
        <w:gridCol w:w="342"/>
        <w:gridCol w:w="418"/>
        <w:gridCol w:w="93"/>
        <w:gridCol w:w="667"/>
        <w:gridCol w:w="760"/>
        <w:gridCol w:w="185"/>
        <w:gridCol w:w="575"/>
        <w:gridCol w:w="760"/>
        <w:gridCol w:w="266"/>
        <w:gridCol w:w="12"/>
        <w:gridCol w:w="482"/>
        <w:gridCol w:w="103"/>
        <w:gridCol w:w="657"/>
        <w:gridCol w:w="370"/>
        <w:gridCol w:w="390"/>
        <w:gridCol w:w="993"/>
        <w:gridCol w:w="229"/>
        <w:gridCol w:w="1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425" w:hRule="exact"/>
          <w:jc w:val="center"/>
        </w:trPr>
        <w:tc>
          <w:tcPr>
            <w:tcW w:w="1101"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评价因素</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评分标准</w:t>
            </w:r>
          </w:p>
        </w:tc>
        <w:tc>
          <w:tcPr>
            <w:tcW w:w="993"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得分</w:t>
            </w:r>
          </w:p>
        </w:tc>
        <w:tc>
          <w:tcPr>
            <w:tcW w:w="1842"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业绩50分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工作质量10分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工作出色</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工作良好，有保证</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有小失误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有较大失误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工作数量10分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超额完成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按计划完成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完成91%以上</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完成81%以上</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工作方法10分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方法得当，效率高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方法稍好，效率尚可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方法一般，效率低</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方法失当，有违纪行为</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工作品质10分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行政事务管理堪称模范</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行政事务管理有小差错</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行政事务管理很差</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安全生产10分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落实到位，无事故</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措施尚可，无事故</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措施不全面，无事故</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措施混乱，有事故</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能力15分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领导力5分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合理安排工作，完成部门目标</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合理安排工作，但需协调下属关系</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工作安排一般，下属有意见</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分工不当，下属意见很大</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判断力5分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能把握问题关键，解决重大问题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基本抓住问题重点</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尚能解决一般问题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无法解决问题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表达力5分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工作指令条理清楚，有凝聚力</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工作指令能让人理解</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工作指令含糊，但能执行</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下属无所适从</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品性10分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协作性5分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能积极同他人合作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能积极配合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被动配合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进取心5分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工作积极负责，热情较高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工作负责，认真度尚可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被劝工作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消极怠工</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学识10分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管理常识5分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丰富、精通，并且能应用于工作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较丰富，部门秩序良好</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一般，管理有困难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缺乏，部门无管理</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行业常识5分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丰富、精通，并且能应用于工作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较丰富，肯钻研</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一般，工作慢</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缺乏，工作困难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影响15分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影响性15分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对公司的长期业绩和发展有重大意义</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对公司的整体业绩和总体发展有显著影响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影响业绩，对部门业绩发展有影响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影响职责范围内的工作和业务流程</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无大的影响，短期内即可被代替</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5422" w:type="dxa"/>
            <w:gridSpan w:val="1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上司系数</w:t>
            </w:r>
          </w:p>
        </w:tc>
        <w:tc>
          <w:tcPr>
            <w:tcW w:w="4252" w:type="dxa"/>
            <w:gridSpan w:val="6"/>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840" w:hRule="atLeast"/>
          <w:jc w:val="center"/>
        </w:trPr>
        <w:tc>
          <w:tcPr>
            <w:tcW w:w="6839" w:type="dxa"/>
            <w:gridSpan w:val="1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合计</w:t>
            </w:r>
          </w:p>
        </w:tc>
        <w:tc>
          <w:tcPr>
            <w:tcW w:w="2835"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759"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事</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病</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婚</w:t>
            </w: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娩</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丧</w:t>
            </w: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w:t>
            </w:r>
          </w:p>
        </w:tc>
        <w:tc>
          <w:tcPr>
            <w:tcW w:w="760"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休</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迟</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旷</w:t>
            </w:r>
          </w:p>
        </w:tc>
        <w:tc>
          <w:tcPr>
            <w:tcW w:w="2835"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考核最终得分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759"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835" w:type="dxa"/>
            <w:gridSpan w:val="3"/>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6839" w:type="dxa"/>
            <w:gridSpan w:val="1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合计：            日            时</w:t>
            </w:r>
          </w:p>
        </w:tc>
        <w:tc>
          <w:tcPr>
            <w:tcW w:w="2835" w:type="dxa"/>
            <w:gridSpan w:val="3"/>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受奖加分</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分</w:t>
            </w:r>
          </w:p>
        </w:tc>
        <w:tc>
          <w:tcPr>
            <w:tcW w:w="1601"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受罚减分</w:t>
            </w:r>
          </w:p>
        </w:tc>
        <w:tc>
          <w:tcPr>
            <w:tcW w:w="2014" w:type="dxa"/>
            <w:gridSpan w:val="6"/>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分</w:t>
            </w:r>
          </w:p>
        </w:tc>
        <w:tc>
          <w:tcPr>
            <w:tcW w:w="2835" w:type="dxa"/>
            <w:gridSpan w:val="3"/>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25" w:hRule="exac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考核人</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c>
          <w:tcPr>
            <w:tcW w:w="1613"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被考核人</w:t>
            </w:r>
          </w:p>
        </w:tc>
        <w:tc>
          <w:tcPr>
            <w:tcW w:w="1612"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复核人</w:t>
            </w:r>
          </w:p>
        </w:tc>
        <w:tc>
          <w:tcPr>
            <w:tcW w:w="161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985" w:hRule="atLeas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3"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附表三、</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普通员工考核表</w:t>
      </w:r>
    </w:p>
    <w:tbl>
      <w:tblPr>
        <w:tblStyle w:val="6"/>
        <w:tblW w:w="96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225"/>
        <w:gridCol w:w="342"/>
        <w:gridCol w:w="418"/>
        <w:gridCol w:w="93"/>
        <w:gridCol w:w="667"/>
        <w:gridCol w:w="760"/>
        <w:gridCol w:w="185"/>
        <w:gridCol w:w="575"/>
        <w:gridCol w:w="760"/>
        <w:gridCol w:w="266"/>
        <w:gridCol w:w="12"/>
        <w:gridCol w:w="482"/>
        <w:gridCol w:w="103"/>
        <w:gridCol w:w="657"/>
        <w:gridCol w:w="370"/>
        <w:gridCol w:w="390"/>
        <w:gridCol w:w="993"/>
        <w:gridCol w:w="229"/>
        <w:gridCol w:w="1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1101"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评价因素</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评分标准</w:t>
            </w:r>
          </w:p>
        </w:tc>
        <w:tc>
          <w:tcPr>
            <w:tcW w:w="993"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得分</w:t>
            </w:r>
          </w:p>
        </w:tc>
        <w:tc>
          <w:tcPr>
            <w:tcW w:w="1842"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业绩60分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工作质量12分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工作出色</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工作良好，有保证</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有小失误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有较大失误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工作数量12分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超额完成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按计划完成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完成91%以上</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完成81%以上</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工作方法12分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方法得当，效率高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方法稍好，效率尚可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方法一般，效率低</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方法失当，有违纪行为</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自我检查12分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自觉进行工作质量检查</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在领导督促下进行检查</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偶尔有自我检查</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无检查</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工作交期12分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提前完成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准时完成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有时准时</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有误期限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能力10分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执行力5分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出色完成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能自己完成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靠支持完成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有时不能完成</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理解力5分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工作能举一反三</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能理解工作意图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理解较慢</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不能理解</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品性10分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团队意识5分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能积极同他人合作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能积极配合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被动配合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不配合</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进取心5分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工作积极负责，热情较高</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工作负责，认真度尚可</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被劝工作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消极怠工</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学识10分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管理常识5分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丰富、精通，并且能应用于工作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较丰富，部门秩序良好</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一般，管理有困难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缺乏，部门无管理</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行业常识5分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丰富、精通，并且能应用于工作</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较丰富，肯钻研</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一般，工作慢</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缺乏，工作困难</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影响10分</w:t>
            </w:r>
          </w:p>
        </w:tc>
        <w:tc>
          <w:tcPr>
            <w:tcW w:w="567"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影响性10分</w:t>
            </w: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对公司的长期业绩和发展有重大意义</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993" w:type="dxa"/>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对公司的整体业绩和总体发展有显著影响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影响业绩，对部门业绩发展有影响</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影响职责范围内的工作和业务流程</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34"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567"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321" w:type="dxa"/>
            <w:gridSpan w:val="11"/>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无大的影响，短期内即可被代替</w:t>
            </w:r>
          </w:p>
        </w:tc>
        <w:tc>
          <w:tcPr>
            <w:tcW w:w="1417"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993" w:type="dxa"/>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842" w:type="dxa"/>
            <w:gridSpan w:val="2"/>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5422" w:type="dxa"/>
            <w:gridSpan w:val="1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上司系数</w:t>
            </w:r>
          </w:p>
        </w:tc>
        <w:tc>
          <w:tcPr>
            <w:tcW w:w="4252" w:type="dxa"/>
            <w:gridSpan w:val="6"/>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954" w:hRule="atLeast"/>
          <w:jc w:val="center"/>
        </w:trPr>
        <w:tc>
          <w:tcPr>
            <w:tcW w:w="6839" w:type="dxa"/>
            <w:gridSpan w:val="1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合计</w:t>
            </w:r>
          </w:p>
        </w:tc>
        <w:tc>
          <w:tcPr>
            <w:tcW w:w="2835"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759"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事</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病</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婚</w:t>
            </w: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娩</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丧</w:t>
            </w: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公</w:t>
            </w:r>
          </w:p>
        </w:tc>
        <w:tc>
          <w:tcPr>
            <w:tcW w:w="760"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休</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迟</w:t>
            </w: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旷</w:t>
            </w:r>
          </w:p>
        </w:tc>
        <w:tc>
          <w:tcPr>
            <w:tcW w:w="2835"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考核最终得分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759"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76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835" w:type="dxa"/>
            <w:gridSpan w:val="3"/>
            <w:vMerge w:val="restart"/>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6839" w:type="dxa"/>
            <w:gridSpan w:val="1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合计：            日            时</w:t>
            </w:r>
          </w:p>
        </w:tc>
        <w:tc>
          <w:tcPr>
            <w:tcW w:w="2835" w:type="dxa"/>
            <w:gridSpan w:val="3"/>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受奖加分</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分</w:t>
            </w:r>
          </w:p>
        </w:tc>
        <w:tc>
          <w:tcPr>
            <w:tcW w:w="1601"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受罚减分</w:t>
            </w:r>
          </w:p>
        </w:tc>
        <w:tc>
          <w:tcPr>
            <w:tcW w:w="2014" w:type="dxa"/>
            <w:gridSpan w:val="6"/>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分</w:t>
            </w:r>
          </w:p>
        </w:tc>
        <w:tc>
          <w:tcPr>
            <w:tcW w:w="2835" w:type="dxa"/>
            <w:gridSpan w:val="3"/>
            <w:vMerge w:val="continue"/>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2" w:hRule="exac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考核人</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c>
          <w:tcPr>
            <w:tcW w:w="1613"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被考核人</w:t>
            </w:r>
          </w:p>
        </w:tc>
        <w:tc>
          <w:tcPr>
            <w:tcW w:w="1612"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复核人</w:t>
            </w:r>
          </w:p>
        </w:tc>
        <w:tc>
          <w:tcPr>
            <w:tcW w:w="161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签字/日期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436" w:hRule="atLeast"/>
          <w:jc w:val="center"/>
        </w:trPr>
        <w:tc>
          <w:tcPr>
            <w:tcW w:w="1612" w:type="dxa"/>
            <w:gridSpan w:val="5"/>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3"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2"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61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附表四、</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等级薪酬工资构成</w:t>
      </w:r>
    </w:p>
    <w:tbl>
      <w:tblPr>
        <w:tblStyle w:val="6"/>
        <w:tblW w:w="91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8"/>
        <w:gridCol w:w="918"/>
        <w:gridCol w:w="918"/>
        <w:gridCol w:w="918"/>
        <w:gridCol w:w="918"/>
        <w:gridCol w:w="918"/>
        <w:gridCol w:w="918"/>
        <w:gridCol w:w="918"/>
        <w:gridCol w:w="918"/>
        <w:gridCol w:w="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基本工资</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绩效工资</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综合补贴</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福利与保险</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工资标准</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奖励工资</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单项奖励</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特别奖</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其他</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24000</w:t>
            </w: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面议</w:t>
            </w: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70C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44000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30250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3850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55000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9000</w:t>
            </w: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18000</w:t>
            </w: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2400</w:t>
            </w: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2100</w:t>
            </w: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30000</w:t>
            </w: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00B0F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5100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4500</w:t>
            </w: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7500</w:t>
            </w: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w:t>
            </w: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w:t>
            </w: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15000</w:t>
            </w: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w:t>
            </w: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w:t>
            </w: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w:t>
            </w: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w:t>
            </w: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5000</w:t>
            </w: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0000"/>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1440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420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420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1140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870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810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690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630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570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540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850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510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1600</w:t>
            </w: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shd w:val="clear" w:color="auto" w:fill="FFFFFF"/>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附表五、</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等级薪酬体系职等职级表</w:t>
      </w:r>
    </w:p>
    <w:tbl>
      <w:tblPr>
        <w:tblStyle w:val="6"/>
        <w:tblW w:w="91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8"/>
        <w:gridCol w:w="918"/>
        <w:gridCol w:w="918"/>
        <w:gridCol w:w="918"/>
        <w:gridCol w:w="918"/>
        <w:gridCol w:w="918"/>
        <w:gridCol w:w="918"/>
        <w:gridCol w:w="918"/>
        <w:gridCol w:w="918"/>
        <w:gridCol w:w="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面议</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55000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4800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4600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4200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3800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1600</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40" w:hRule="atLeast"/>
          <w:jc w:val="center"/>
        </w:trPr>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二职等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三职等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四职等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五职等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六职等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七职等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八职等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九职等</w:t>
            </w:r>
          </w:p>
        </w:tc>
        <w:tc>
          <w:tcPr>
            <w:tcW w:w="918" w:type="dxa"/>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w:t>
            </w: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附表六、</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职位等级薪酬体系一览表</w:t>
      </w:r>
    </w:p>
    <w:tbl>
      <w:tblPr>
        <w:tblStyle w:val="6"/>
        <w:tblW w:w="94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6"/>
        <w:gridCol w:w="600"/>
        <w:gridCol w:w="600"/>
        <w:gridCol w:w="600"/>
        <w:gridCol w:w="600"/>
        <w:gridCol w:w="600"/>
        <w:gridCol w:w="600"/>
        <w:gridCol w:w="601"/>
        <w:gridCol w:w="456"/>
        <w:gridCol w:w="456"/>
        <w:gridCol w:w="456"/>
        <w:gridCol w:w="456"/>
        <w:gridCol w:w="456"/>
        <w:gridCol w:w="456"/>
        <w:gridCol w:w="456"/>
        <w:gridCol w:w="456"/>
        <w:gridCol w:w="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693" w:hRule="atLeast"/>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lang/>
              </w:rPr>
            </w: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普工系列</w:t>
            </w: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技工系列</w:t>
            </w: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行政系列</w:t>
            </w: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销售系列</w:t>
            </w: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财务系列</w:t>
            </w: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技术系列</w:t>
            </w: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管理系列</w:t>
            </w:r>
          </w:p>
        </w:tc>
        <w:tc>
          <w:tcPr>
            <w:tcW w:w="4141" w:type="dxa"/>
            <w:gridSpan w:val="9"/>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37</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九职等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36</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35</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34</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33</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八职等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32</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31</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30</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29</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七职等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28</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27</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26</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六职等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24</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23</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五职等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四职等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w:t>
            </w: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70C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shd w:val="clear" w:color="auto" w:fill="7030A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三职等</w:t>
            </w: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二职等</w:t>
            </w: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shd w:val="clear" w:color="auto" w:fill="FFC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92D05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shd w:val="clear" w:color="auto" w:fill="00B0F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一职等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1116" w:type="dxa"/>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600" w:type="dxa"/>
            <w:shd w:val="clear" w:color="auto" w:fill="FF0000"/>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highlight w:val="green"/>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601"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93"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附表七、</w:t>
      </w:r>
    </w:p>
    <w:p>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楷体" w:hAnsi="楷体" w:eastAsia="楷体" w:cs="楷体"/>
          <w:b/>
          <w:sz w:val="24"/>
          <w:szCs w:val="24"/>
        </w:rPr>
      </w:pPr>
      <w:r>
        <w:rPr>
          <w:rFonts w:hint="eastAsia" w:ascii="SimHei" w:hAnsi="SimHei" w:eastAsia="黑体" w:cs="楷体"/>
          <w:b/>
          <w:sz w:val="24"/>
          <w:szCs w:val="24"/>
        </w:rPr>
        <w:t>薪酬通知单</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31"/>
        <w:gridCol w:w="707"/>
        <w:gridCol w:w="702"/>
        <w:gridCol w:w="1431"/>
        <w:gridCol w:w="1408"/>
        <w:gridCol w:w="720"/>
        <w:gridCol w:w="712"/>
        <w:gridCol w:w="14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姓名</w:t>
            </w:r>
          </w:p>
        </w:tc>
        <w:tc>
          <w:tcPr>
            <w:tcW w:w="153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部门</w:t>
            </w:r>
          </w:p>
        </w:tc>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53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4590"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调整事由</w:t>
            </w:r>
          </w:p>
        </w:tc>
        <w:tc>
          <w:tcPr>
            <w:tcW w:w="4590" w:type="dxa"/>
            <w:gridSpan w:val="4"/>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9180" w:type="dxa"/>
            <w:gridSpan w:val="8"/>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原执行状况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510" w:hRule="atLeast"/>
          <w:jc w:val="center"/>
        </w:trPr>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职务名称</w:t>
            </w: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薪资等级</w:t>
            </w: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执行日期</w:t>
            </w: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停止日期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9180" w:type="dxa"/>
            <w:gridSpan w:val="8"/>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调整后执行状况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职务名称</w:t>
            </w: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薪资等级</w:t>
            </w: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执行日期</w:t>
            </w: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29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2439" w:hRule="atLeast"/>
          <w:jc w:val="center"/>
        </w:trPr>
        <w:tc>
          <w:tcPr>
            <w:tcW w:w="3060"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u w:val="single"/>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u w:val="single"/>
              </w:rPr>
              <w:t xml:space="preserve">          </w:t>
            </w:r>
            <w:r>
              <w:rPr>
                <w:rFonts w:hint="eastAsia" w:ascii="SimHei" w:hAnsi="SimHei" w:eastAsia="黑体" w:cs="楷体"/>
                <w:sz w:val="24"/>
                <w:szCs w:val="24"/>
              </w:rPr>
              <w:t>部门意见：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签章：</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c>
          <w:tcPr>
            <w:tcW w:w="3060" w:type="dxa"/>
            <w:gridSpan w:val="2"/>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人力资源部意见：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签章：</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c>
          <w:tcPr>
            <w:tcW w:w="3060"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总经理核定意见：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签章：</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注：本通知单一式三份，人力资源部、财务部和个人各一份。</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附表八、</w:t>
      </w:r>
    </w:p>
    <w:p>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楷体" w:hAnsi="楷体" w:eastAsia="楷体" w:cs="楷体"/>
          <w:b/>
          <w:sz w:val="24"/>
          <w:szCs w:val="24"/>
        </w:rPr>
      </w:pPr>
      <w:r>
        <w:rPr>
          <w:rFonts w:hint="eastAsia" w:ascii="SimHei" w:hAnsi="SimHei" w:eastAsia="黑体" w:cs="楷体"/>
          <w:b/>
          <w:sz w:val="24"/>
          <w:szCs w:val="24"/>
        </w:rPr>
        <w:t>奖金通知单</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31"/>
        <w:gridCol w:w="652"/>
        <w:gridCol w:w="757"/>
        <w:gridCol w:w="1431"/>
        <w:gridCol w:w="50"/>
        <w:gridCol w:w="1359"/>
        <w:gridCol w:w="1432"/>
        <w:gridCol w:w="14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部门</w:t>
            </w:r>
          </w:p>
        </w:tc>
        <w:tc>
          <w:tcPr>
            <w:tcW w:w="153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半/年度</w:t>
            </w:r>
          </w:p>
        </w:tc>
        <w:tc>
          <w:tcPr>
            <w:tcW w:w="153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wBefore w:w="0" w:type="dxa"/>
          <w:wAfter w:w="0" w:type="dxa"/>
          <w:trHeight w:val="510" w:hRule="atLeast"/>
          <w:jc w:val="center"/>
        </w:trPr>
        <w:tc>
          <w:tcPr>
            <w:tcW w:w="153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奖金事由</w:t>
            </w:r>
          </w:p>
        </w:tc>
        <w:tc>
          <w:tcPr>
            <w:tcW w:w="7650" w:type="dxa"/>
            <w:gridSpan w:val="7"/>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223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姓名</w:t>
            </w:r>
          </w:p>
        </w:tc>
        <w:tc>
          <w:tcPr>
            <w:tcW w:w="2409"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考核分数</w:t>
            </w:r>
          </w:p>
        </w:tc>
        <w:tc>
          <w:tcPr>
            <w:tcW w:w="4536"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本人月基本工资标准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510" w:hRule="atLeast"/>
          <w:jc w:val="center"/>
        </w:trPr>
        <w:tc>
          <w:tcPr>
            <w:tcW w:w="2235"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2409"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c>
          <w:tcPr>
            <w:tcW w:w="4536" w:type="dxa"/>
            <w:gridSpan w:val="3"/>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643" w:hRule="atLeast"/>
          <w:jc w:val="center"/>
        </w:trPr>
        <w:tc>
          <w:tcPr>
            <w:tcW w:w="3060"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u w:val="single"/>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u w:val="single"/>
              </w:rPr>
              <w:t xml:space="preserve">          </w:t>
            </w:r>
            <w:r>
              <w:rPr>
                <w:rFonts w:hint="eastAsia" w:ascii="SimHei" w:hAnsi="SimHei" w:eastAsia="黑体" w:cs="楷体"/>
                <w:sz w:val="24"/>
                <w:szCs w:val="24"/>
              </w:rPr>
              <w:t>部门意见：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签章：</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c>
          <w:tcPr>
            <w:tcW w:w="3060" w:type="dxa"/>
            <w:gridSpan w:val="3"/>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人力资源部意见：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签章：</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c>
          <w:tcPr>
            <w:tcW w:w="3060" w:type="dxa"/>
            <w:gridSpan w:val="2"/>
            <w:noWrap w:val="0"/>
            <w:vAlign w:val="top"/>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总经理核定意见：</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签章：</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日期：</w:t>
            </w:r>
          </w:p>
        </w:tc>
      </w:tr>
    </w:tbl>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注：本通知单一式三份，人力资源部、财务部和个人各一份。</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r>
      <w:r>
        <w:rPr>
          <w:rFonts w:hint="eastAsia" w:ascii="SimHei" w:hAnsi="SimHei" w:eastAsia="黑体" w:cs="楷体"/>
          <w:sz w:val="24"/>
          <w:szCs w:val="24"/>
        </w:rPr>
        <w:t>附表九、</w:t>
      </w:r>
    </w:p>
    <w:p>
      <w:pPr>
        <w:keepNext w:val="0"/>
        <w:keepLines w:val="0"/>
        <w:pageBreakBefore w:val="0"/>
        <w:widowControl/>
        <w:kinsoku/>
        <w:wordWrap/>
        <w:overflowPunct/>
        <w:topLinePunct w:val="0"/>
        <w:autoSpaceDE/>
        <w:autoSpaceDN/>
        <w:bidi w:val="0"/>
        <w:adjustRightInd w:val="0"/>
        <w:snapToGrid w:val="0"/>
        <w:spacing w:after="0" w:line="360" w:lineRule="auto"/>
        <w:ind w:left="0" w:firstLine="482" w:firstLineChars="200"/>
        <w:jc w:val="both"/>
        <w:textAlignment w:val="auto"/>
        <w:rPr>
          <w:rFonts w:hint="eastAsia" w:ascii="楷体" w:hAnsi="楷体" w:eastAsia="楷体" w:cs="楷体"/>
          <w:b/>
          <w:sz w:val="24"/>
          <w:szCs w:val="24"/>
        </w:rPr>
      </w:pPr>
      <w:r>
        <w:rPr>
          <w:rFonts w:hint="eastAsia" w:ascii="SimHei" w:hAnsi="SimHei" w:eastAsia="黑体" w:cs="楷体"/>
          <w:b/>
          <w:sz w:val="24"/>
          <w:szCs w:val="24"/>
        </w:rPr>
        <w:t>员工工资调整系数表</w:t>
      </w:r>
    </w:p>
    <w:tbl>
      <w:tblPr>
        <w:tblStyle w:val="6"/>
        <w:tblpPr w:leftFromText="180" w:rightFromText="180" w:vertAnchor="page" w:horzAnchor="page" w:tblpXSpec="center" w:tblpY="5161"/>
        <w:tblW w:w="91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60"/>
        <w:gridCol w:w="1159"/>
        <w:gridCol w:w="1276"/>
        <w:gridCol w:w="1276"/>
        <w:gridCol w:w="1275"/>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7"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91%以上</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81%-90%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71%-80%</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61%-70%</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F、不称职</w:t>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E、基本称职</w:t>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D、称职</w:t>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95%</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85%</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75%</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65%</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0"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C、良好</w:t>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B、优秀</w:t>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95%</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85%</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3060"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A、卓越</w:t>
            </w:r>
          </w:p>
        </w:tc>
        <w:tc>
          <w:tcPr>
            <w:tcW w:w="1159"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276"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275"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134" w:type="dxa"/>
            <w:noWrap w:val="0"/>
            <w:vAlign w:val="center"/>
          </w:tcPr>
          <w:p>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w:t>
            </w:r>
          </w:p>
        </w:tc>
      </w:tr>
    </w:tbl>
    <w:p>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楷体" w:hAnsi="楷体" w:eastAsia="楷体" w:cs="楷体"/>
          <w:sz w:val="24"/>
          <w:szCs w:val="24"/>
        </w:rPr>
      </w:pPr>
    </w:p>
    <w:sectPr>
      <w:pgSz w:w="11906" w:h="16838"/>
      <w:pgMar w:top="1440" w:right="1800" w:bottom="1440" w:left="1800" w:header="709" w:footer="709"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4CA4"/>
    <w:multiLevelType w:val="multilevel"/>
    <w:tmpl w:val="0A6B4CA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5294D07"/>
    <w:multiLevelType w:val="multilevel"/>
    <w:tmpl w:val="25294D0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hyphenationZone w:val="36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048C"/>
    <w:rsid w:val="000243E3"/>
    <w:rsid w:val="000A0B12"/>
    <w:rsid w:val="000A6E6E"/>
    <w:rsid w:val="000C0E90"/>
    <w:rsid w:val="000D342A"/>
    <w:rsid w:val="000E0E41"/>
    <w:rsid w:val="001E55F7"/>
    <w:rsid w:val="00201088"/>
    <w:rsid w:val="00216F40"/>
    <w:rsid w:val="00303200"/>
    <w:rsid w:val="00315D12"/>
    <w:rsid w:val="0032222A"/>
    <w:rsid w:val="00323B43"/>
    <w:rsid w:val="0033438C"/>
    <w:rsid w:val="003445B2"/>
    <w:rsid w:val="0034793D"/>
    <w:rsid w:val="0036742F"/>
    <w:rsid w:val="0037117C"/>
    <w:rsid w:val="003B1DD8"/>
    <w:rsid w:val="003C7252"/>
    <w:rsid w:val="003D37D8"/>
    <w:rsid w:val="003D5AFE"/>
    <w:rsid w:val="003F4F57"/>
    <w:rsid w:val="00432E6C"/>
    <w:rsid w:val="004358AB"/>
    <w:rsid w:val="0043632A"/>
    <w:rsid w:val="004519D8"/>
    <w:rsid w:val="00455BF4"/>
    <w:rsid w:val="004B1FFC"/>
    <w:rsid w:val="004B636D"/>
    <w:rsid w:val="004E6419"/>
    <w:rsid w:val="0050048C"/>
    <w:rsid w:val="0052726B"/>
    <w:rsid w:val="00534FB2"/>
    <w:rsid w:val="00586FAC"/>
    <w:rsid w:val="00600E07"/>
    <w:rsid w:val="00682671"/>
    <w:rsid w:val="006B11BB"/>
    <w:rsid w:val="00715495"/>
    <w:rsid w:val="007235FE"/>
    <w:rsid w:val="007702E0"/>
    <w:rsid w:val="00815232"/>
    <w:rsid w:val="0087321C"/>
    <w:rsid w:val="008B3778"/>
    <w:rsid w:val="008B7726"/>
    <w:rsid w:val="008C2F4B"/>
    <w:rsid w:val="00924D02"/>
    <w:rsid w:val="009412AF"/>
    <w:rsid w:val="009577E6"/>
    <w:rsid w:val="00961929"/>
    <w:rsid w:val="009F24C0"/>
    <w:rsid w:val="009F45D9"/>
    <w:rsid w:val="00A06389"/>
    <w:rsid w:val="00A32AB8"/>
    <w:rsid w:val="00A82397"/>
    <w:rsid w:val="00AA5944"/>
    <w:rsid w:val="00B131DB"/>
    <w:rsid w:val="00B65C54"/>
    <w:rsid w:val="00BA61AC"/>
    <w:rsid w:val="00BB2764"/>
    <w:rsid w:val="00C057E4"/>
    <w:rsid w:val="00C06B77"/>
    <w:rsid w:val="00C1579D"/>
    <w:rsid w:val="00C5510E"/>
    <w:rsid w:val="00C700F7"/>
    <w:rsid w:val="00C70F76"/>
    <w:rsid w:val="00CB19E6"/>
    <w:rsid w:val="00CD16B6"/>
    <w:rsid w:val="00CF032A"/>
    <w:rsid w:val="00D20BB2"/>
    <w:rsid w:val="00D26D56"/>
    <w:rsid w:val="00D60DAC"/>
    <w:rsid w:val="00D90C2F"/>
    <w:rsid w:val="00D95033"/>
    <w:rsid w:val="00E2776B"/>
    <w:rsid w:val="00E93F36"/>
    <w:rsid w:val="00EF2F4F"/>
    <w:rsid w:val="00F23265"/>
    <w:rsid w:val="00F4708F"/>
    <w:rsid w:val="00F64798"/>
    <w:rsid w:val="00F82780"/>
    <w:rsid w:val="00F86819"/>
    <w:rsid w:val="00FE7640"/>
    <w:rsid w:val="00FF0BED"/>
    <w:rsid w:val="00FF2990"/>
    <w:rsid w:val="00FF509B"/>
    <w:rsid w:val="224178B6"/>
    <w:rsid w:val="3B1B6F7A"/>
    <w:rsid w:val="5B526C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adjustRightInd w:val="0"/>
      <w:snapToGrid w:val="0"/>
      <w:spacing w:after="200"/>
    </w:pPr>
    <w:rPr>
      <w:rFonts w:ascii="Tahoma" w:hAnsi="Tahoma"/>
      <w:sz w:val="22"/>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Style w:val="6"/>
      <w:tblCellMar>
        <w:top w:w="0" w:type="dxa"/>
        <w:left w:w="108" w:type="dxa"/>
        <w:bottom w:w="0" w:type="dxa"/>
        <w:right w:w="108" w:type="dxa"/>
      </w:tblCellMar>
    </w:tblPr>
    <w:trPr>
      <w:wBefore w:w="0" w:type="dxa"/>
    </w:trPr>
  </w:style>
  <w:style w:type="paragraph" w:styleId="2">
    <w:name w:val="footer"/>
    <w:basedOn w:val="1"/>
    <w:link w:val="13"/>
    <w:unhideWhenUsed/>
    <w:uiPriority w:val="99"/>
    <w:pPr>
      <w:tabs>
        <w:tab w:val="center" w:pos="4153"/>
        <w:tab w:val="right" w:pos="8306"/>
      </w:tabs>
    </w:pPr>
    <w:rPr>
      <w:sz w:val="18"/>
      <w:szCs w:val="18"/>
    </w:rPr>
  </w:style>
  <w:style w:type="paragraph" w:styleId="3">
    <w:name w:val="header"/>
    <w:basedOn w:val="1"/>
    <w:link w:val="12"/>
    <w:unhideWhenUsed/>
    <w:uiPriority w:val="99"/>
    <w:pPr>
      <w:pBdr>
        <w:bottom w:val="single" w:color="auto" w:sz="6" w:space="1"/>
      </w:pBdr>
      <w:tabs>
        <w:tab w:val="center" w:pos="4153"/>
        <w:tab w:val="right" w:pos="8306"/>
      </w:tabs>
      <w:jc w:val="center"/>
    </w:pPr>
    <w:rPr>
      <w:sz w:val="18"/>
      <w:szCs w:val="18"/>
    </w:rPr>
  </w:style>
  <w:style w:type="paragraph" w:styleId="4">
    <w:name w:val="Subtitle"/>
    <w:basedOn w:val="1"/>
    <w:next w:val="1"/>
    <w:link w:val="11"/>
    <w:qFormat/>
    <w:uiPriority w:val="11"/>
    <w:pPr>
      <w:spacing w:before="240" w:after="60" w:line="312" w:lineRule="auto"/>
      <w:jc w:val="center"/>
      <w:outlineLvl w:val="1"/>
    </w:pPr>
    <w:rPr>
      <w:rFonts w:ascii="Cambria" w:hAnsi="Cambria" w:eastAsia="宋体" w:cs="Times New Roman"/>
      <w:b/>
      <w:bCs/>
      <w:kern w:val="28"/>
      <w:sz w:val="32"/>
      <w:szCs w:val="32"/>
    </w:rPr>
  </w:style>
  <w:style w:type="paragraph" w:styleId="5">
    <w:name w:val="Title"/>
    <w:basedOn w:val="1"/>
    <w:next w:val="1"/>
    <w:link w:val="10"/>
    <w:qFormat/>
    <w:uiPriority w:val="10"/>
    <w:pPr>
      <w:spacing w:before="240" w:after="60"/>
      <w:jc w:val="center"/>
      <w:outlineLvl w:val="0"/>
    </w:pPr>
    <w:rPr>
      <w:rFonts w:ascii="Cambria" w:hAnsi="Cambria" w:eastAsia="宋体" w:cs="Times New Roman"/>
      <w:b/>
      <w:bCs/>
      <w:sz w:val="32"/>
      <w:szCs w:val="32"/>
    </w:rPr>
  </w:style>
  <w:style w:type="table" w:styleId="7">
    <w:name w:val="Table Grid"/>
    <w:basedOn w:val="6"/>
    <w:uiPriority w:val="59"/>
    <w:pPr>
      <w:spacing w:after="0" w:line="240" w:lineRule="auto"/>
    </w:pPr>
    <w:tblPr>
      <w:tblStyle w:val="6"/>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
    <w:name w:val="List Paragraph"/>
    <w:basedOn w:val="1"/>
    <w:qFormat/>
    <w:uiPriority w:val="34"/>
    <w:pPr>
      <w:ind w:firstLine="420" w:firstLineChars="200"/>
    </w:pPr>
  </w:style>
  <w:style w:type="character" w:customStyle="1" w:styleId="10">
    <w:name w:val="标题 Char"/>
    <w:link w:val="5"/>
    <w:uiPriority w:val="10"/>
    <w:rPr>
      <w:rFonts w:ascii="Cambria" w:hAnsi="Cambria" w:eastAsia="宋体" w:cs="Times New Roman"/>
      <w:b/>
      <w:bCs/>
      <w:sz w:val="32"/>
      <w:szCs w:val="32"/>
    </w:rPr>
  </w:style>
  <w:style w:type="character" w:customStyle="1" w:styleId="11">
    <w:name w:val="副标题 Char"/>
    <w:link w:val="4"/>
    <w:uiPriority w:val="11"/>
    <w:rPr>
      <w:rFonts w:ascii="Cambria" w:hAnsi="Cambria" w:eastAsia="宋体" w:cs="Times New Roman"/>
      <w:b/>
      <w:bCs/>
      <w:kern w:val="28"/>
      <w:sz w:val="32"/>
      <w:szCs w:val="32"/>
    </w:rPr>
  </w:style>
  <w:style w:type="character" w:customStyle="1" w:styleId="12">
    <w:name w:val="页眉 Char"/>
    <w:link w:val="3"/>
    <w:uiPriority w:val="99"/>
    <w:rPr>
      <w:rFonts w:ascii="Tahoma" w:hAnsi="Tahoma"/>
      <w:sz w:val="18"/>
      <w:szCs w:val="18"/>
    </w:rPr>
  </w:style>
  <w:style w:type="character" w:customStyle="1" w:styleId="13">
    <w:name w:val="页脚 Char"/>
    <w:link w:val="2"/>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155"/>
    <customShpInfo spid="_x0000_s1156"/>
    <customShpInfo spid="_x0000_s1157"/>
    <customShpInfo spid="_x0000_s1158"/>
    <customShpInfo spid="_x0000_s1159"/>
    <customShpInfo spid="_x0000_s1154"/>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39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1382</Words>
  <Characters>7883</Characters>
  <Lines>65</Lines>
  <Paragraphs>18</Paragraphs>
  <TotalTime>2</TotalTime>
  <ScaleCrop>false</ScaleCrop>
  <LinksUpToDate>false</LinksUpToDate>
  <CharactersWithSpaces>9247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2011-01-11T02:56:00Z</dcterms:created>
  <dc:creator>Administrator</dc:creator>
  <cp:lastModifiedBy>91方案网～齐志锁</cp:lastModifiedBy>
  <dcterms:modified xsi:type="dcterms:W3CDTF">2020-10-12T06:57:45Z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