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beforeAutospacing="0" w:afterAutospacing="0" w:line="360" w:lineRule="auto"/>
        <w:ind w:left="0" w:leftChars="0" w:right="0" w:firstLine="883" w:firstLineChars="200"/>
        <w:jc w:val="both"/>
        <w:rPr>
          <w:rFonts w:hint="eastAsia" w:ascii="楷体" w:hAnsi="楷体" w:eastAsia="楷体" w:cs="楷体"/>
          <w:b/>
          <w:sz w:val="44"/>
          <w:szCs w:val="44"/>
        </w:rPr>
      </w:pPr>
    </w:p>
    <w:p>
      <w:pPr>
        <w:pageBreakBefore w:val="0"/>
        <w:kinsoku/>
        <w:wordWrap/>
        <w:overflowPunct/>
        <w:topLinePunct w:val="0"/>
        <w:autoSpaceDE/>
        <w:autoSpaceDN/>
        <w:bidi w:val="0"/>
        <w:adjustRightInd/>
        <w:snapToGrid/>
        <w:spacing w:beforeAutospacing="0" w:afterAutospacing="0" w:line="360" w:lineRule="auto"/>
        <w:ind w:left="0" w:leftChars="0" w:right="0" w:firstLine="883" w:firstLineChars="200"/>
        <w:jc w:val="both"/>
        <w:rPr>
          <w:rFonts w:hint="eastAsia" w:ascii="楷体" w:hAnsi="楷体" w:eastAsia="楷体" w:cs="楷体"/>
          <w:b/>
          <w:sz w:val="44"/>
          <w:szCs w:val="44"/>
        </w:rPr>
      </w:pPr>
    </w:p>
    <w:p>
      <w:pPr>
        <w:pageBreakBefore w:val="0"/>
        <w:kinsoku/>
        <w:wordWrap/>
        <w:overflowPunct/>
        <w:topLinePunct w:val="0"/>
        <w:autoSpaceDE/>
        <w:autoSpaceDN/>
        <w:bidi w:val="0"/>
        <w:adjustRightInd/>
        <w:snapToGrid/>
        <w:spacing w:beforeAutospacing="0" w:afterAutospacing="0" w:line="360" w:lineRule="auto"/>
        <w:ind w:left="0" w:leftChars="0" w:right="0" w:firstLine="883" w:firstLineChars="200"/>
        <w:jc w:val="both"/>
        <w:rPr>
          <w:rFonts w:hint="eastAsia" w:ascii="楷体" w:hAnsi="楷体" w:eastAsia="楷体" w:cs="楷体"/>
          <w:b/>
          <w:sz w:val="44"/>
          <w:szCs w:val="44"/>
        </w:rPr>
      </w:pPr>
    </w:p>
    <w:p>
      <w:pPr>
        <w:pageBreakBefore w:val="0"/>
        <w:kinsoku/>
        <w:wordWrap/>
        <w:overflowPunct/>
        <w:topLinePunct w:val="0"/>
        <w:autoSpaceDE/>
        <w:autoSpaceDN/>
        <w:bidi w:val="0"/>
        <w:adjustRightInd/>
        <w:snapToGrid/>
        <w:spacing w:beforeAutospacing="0" w:afterAutospacing="0" w:line="360" w:lineRule="auto"/>
        <w:ind w:left="0" w:leftChars="0" w:right="0" w:firstLine="883" w:firstLineChars="200"/>
        <w:jc w:val="both"/>
        <w:rPr>
          <w:rFonts w:hint="eastAsia" w:ascii="楷体" w:hAnsi="楷体" w:eastAsia="楷体" w:cs="楷体"/>
          <w:b/>
          <w:sz w:val="44"/>
          <w:szCs w:val="44"/>
        </w:rPr>
      </w:pPr>
    </w:p>
    <w:p>
      <w:pPr>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center"/>
        <w:rPr>
          <w:rFonts w:hint="eastAsia" w:ascii="楷体" w:hAnsi="楷体" w:eastAsia="楷体" w:cs="楷体"/>
          <w:b/>
          <w:sz w:val="36"/>
          <w:szCs w:val="36"/>
        </w:rPr>
      </w:pPr>
      <w:r>
        <w:rPr>
          <w:rFonts w:hint="eastAsia" w:ascii="SimHei" w:hAnsi="SimHei" w:eastAsia="黑体" w:cs="楷体"/>
          <w:b/>
          <w:sz w:val="36"/>
          <w:szCs w:val="36"/>
          <w:lang w:val="en-US" w:eastAsia="zh-CN"/>
        </w:rPr>
        <w:t>XX</w:t>
      </w:r>
      <w:r>
        <w:rPr>
          <w:rFonts w:hint="eastAsia" w:ascii="SimHei" w:hAnsi="SimHei" w:eastAsia="黑体" w:cs="楷体"/>
          <w:b/>
          <w:sz w:val="36"/>
          <w:szCs w:val="36"/>
        </w:rPr>
        <w:t>公司</w:t>
      </w:r>
    </w:p>
    <w:p>
      <w:pPr>
        <w:pageBreakBefore w:val="0"/>
        <w:kinsoku/>
        <w:wordWrap/>
        <w:overflowPunct/>
        <w:topLinePunct w:val="0"/>
        <w:autoSpaceDE/>
        <w:autoSpaceDN/>
        <w:bidi w:val="0"/>
        <w:adjustRightInd/>
        <w:snapToGrid/>
        <w:spacing w:beforeAutospacing="0" w:afterAutospacing="0" w:line="360" w:lineRule="auto"/>
        <w:ind w:left="0" w:leftChars="0" w:right="0" w:firstLine="883" w:firstLineChars="200"/>
        <w:jc w:val="both"/>
        <w:rPr>
          <w:rFonts w:hint="eastAsia" w:ascii="楷体" w:hAnsi="楷体" w:eastAsia="楷体" w:cs="楷体"/>
          <w:b/>
          <w:sz w:val="44"/>
          <w:szCs w:val="44"/>
        </w:rPr>
      </w:pPr>
    </w:p>
    <w:p>
      <w:pPr>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center"/>
        <w:rPr>
          <w:rFonts w:hint="eastAsia" w:ascii="楷体" w:hAnsi="楷体" w:eastAsia="楷体" w:cs="楷体"/>
          <w:b/>
          <w:sz w:val="44"/>
          <w:szCs w:val="44"/>
        </w:rPr>
      </w:pPr>
      <w:r>
        <w:rPr>
          <w:rFonts w:hint="eastAsia" w:ascii="SimHei" w:hAnsi="SimHei" w:eastAsia="黑体" w:cs="楷体"/>
          <w:b/>
          <w:sz w:val="44"/>
          <w:szCs w:val="44"/>
        </w:rPr>
        <w:t>薪酬管理制度</w:t>
      </w: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center"/>
        <w:rPr>
          <w:rFonts w:hint="eastAsia" w:ascii="楷体" w:hAnsi="楷体" w:eastAsia="楷体" w:cs="楷体"/>
          <w:sz w:val="30"/>
          <w:szCs w:val="30"/>
        </w:rPr>
      </w:pPr>
      <w:r>
        <w:rPr>
          <w:rFonts w:hint="eastAsia" w:ascii="SimHei" w:hAnsi="SimHei" w:eastAsia="黑体" w:cs="楷体"/>
          <w:sz w:val="24"/>
        </w:rPr>
        <w:t>20</w:t>
      </w:r>
      <w:r>
        <w:rPr>
          <w:rFonts w:hint="eastAsia" w:ascii="SimHei" w:hAnsi="SimHei" w:eastAsia="黑体" w:cs="楷体"/>
          <w:sz w:val="24"/>
          <w:lang w:val="en-US" w:eastAsia="zh-CN"/>
        </w:rPr>
        <w:t>XX</w:t>
      </w:r>
      <w:r>
        <w:rPr>
          <w:rFonts w:hint="eastAsia" w:ascii="SimHei" w:hAnsi="SimHei" w:eastAsia="黑体" w:cs="楷体"/>
          <w:sz w:val="24"/>
        </w:rPr>
        <w:t>年12月</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600" w:firstLineChars="200"/>
        <w:jc w:val="both"/>
        <w:rPr>
          <w:rFonts w:hint="eastAsia" w:ascii="楷体" w:hAnsi="楷体" w:eastAsia="楷体" w:cs="楷体"/>
          <w:sz w:val="30"/>
          <w:szCs w:val="30"/>
        </w:rPr>
      </w:pPr>
      <w:r>
        <w:rPr>
          <w:rFonts w:hint="eastAsia" w:ascii="SimHei" w:hAnsi="SimHei" w:eastAsia="黑体" w:cs="楷体"/>
          <w:sz w:val="30"/>
          <w:szCs w:val="30"/>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pStyle w:val="16"/>
        <w:pageBreakBefore w:val="0"/>
        <w:kinsoku/>
        <w:wordWrap/>
        <w:overflowPunct/>
        <w:topLinePunct w:val="0"/>
        <w:autoSpaceDE/>
        <w:autoSpaceDN/>
        <w:bidi w:val="0"/>
        <w:adjustRightInd/>
        <w:snapToGrid/>
        <w:spacing w:beforeAutospacing="0" w:afterAutospacing="0" w:line="360" w:lineRule="auto"/>
        <w:ind w:left="0" w:leftChars="0" w:right="0" w:firstLine="400" w:firstLineChars="200"/>
        <w:jc w:val="both"/>
        <w:rPr>
          <w:rFonts w:hint="eastAsia" w:ascii="楷体" w:hAnsi="楷体" w:eastAsia="楷体" w:cs="楷体"/>
          <w:sz w:val="20"/>
          <w:szCs w:val="16"/>
        </w:rPr>
      </w:pPr>
      <w:r>
        <w:rPr>
          <w:rFonts w:hint="eastAsia" w:ascii="SimHei" w:hAnsi="SimHei" w:eastAsia="黑体" w:cs="楷体"/>
          <w:sz w:val="20"/>
          <w:szCs w:val="16"/>
        </w:rPr>
      </w:r>
      <w:r>
        <w:rPr>
          <w:rFonts w:hint="eastAsia" w:ascii="SimHei" w:hAnsi="SimHei" w:eastAsia="黑体" w:cs="楷体"/>
          <w:sz w:val="20"/>
          <w:szCs w:val="16"/>
        </w:rPr>
      </w:r>
      <w:r>
        <w:rPr>
          <w:rFonts w:hint="eastAsia" w:ascii="SimHei" w:hAnsi="SimHei" w:eastAsia="黑体" w:cs="楷体"/>
          <w:sz w:val="20"/>
          <w:szCs w:val="16"/>
        </w:rPr>
      </w:r>
    </w:p>
    <w:sdt>
      <w:sdtPr>
        <w:rPr>
          <w:rFonts w:ascii="宋体" w:hAnsi="宋体" w:eastAsia="宋体" w:cs="Times New Roman"/>
          <w:kern w:val="2"/>
          <w:sz w:val="28"/>
          <w:szCs w:val="36"/>
          <w:lang w:val="en-US" w:eastAsia="zh-CN" w:bidi="ar-SA"/>
        </w:rPr>
        <w:id w:val="147461266"/>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楷体" w:hAnsi="楷体" w:eastAsia="楷体" w:cs="楷体"/>
              <w:sz w:val="28"/>
              <w:szCs w:val="36"/>
            </w:rPr>
          </w:pPr>
          <w:r>
            <w:rPr>
              <w:rFonts w:hint="eastAsia" w:ascii="楷体" w:hAnsi="楷体" w:eastAsia="楷体" w:cs="楷体"/>
              <w:sz w:val="28"/>
              <w:szCs w:val="36"/>
            </w:rPr>
            <w:t>目录</w:t>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TOC \o "1-1" \h \u </w:instrText>
          </w:r>
          <w:r>
            <w:rPr>
              <w:rFonts w:hint="eastAsia" w:ascii="楷体" w:hAnsi="楷体" w:eastAsia="楷体" w:cs="楷体"/>
            </w:rPr>
            <w:fldChar w:fldCharType="separate"/>
          </w:r>
          <w:r>
            <w:rPr>
              <w:rFonts w:hint="eastAsia" w:ascii="楷体" w:hAnsi="楷体" w:eastAsia="楷体" w:cs="楷体"/>
            </w:rPr>
            <w:fldChar w:fldCharType="begin"/>
          </w:r>
          <w:r>
            <w:rPr>
              <w:rFonts w:hint="eastAsia" w:ascii="楷体" w:hAnsi="楷体" w:eastAsia="楷体" w:cs="楷体"/>
            </w:rPr>
            <w:instrText xml:space="preserve"> HYPERLINK \l _Toc10141 </w:instrText>
          </w:r>
          <w:r>
            <w:rPr>
              <w:rFonts w:hint="eastAsia" w:ascii="楷体" w:hAnsi="楷体" w:eastAsia="楷体" w:cs="楷体"/>
            </w:rPr>
            <w:fldChar w:fldCharType="separate"/>
          </w:r>
          <w:r>
            <w:rPr>
              <w:rFonts w:hint="eastAsia" w:ascii="楷体" w:hAnsi="楷体" w:eastAsia="楷体" w:cs="楷体"/>
              <w:szCs w:val="24"/>
            </w:rPr>
            <w:t>第一章</w:t>
          </w:r>
          <w:r>
            <w:rPr>
              <w:rFonts w:hint="eastAsia" w:ascii="楷体" w:hAnsi="楷体" w:eastAsia="楷体" w:cs="楷体"/>
              <w:szCs w:val="24"/>
              <w:lang w:val="en-US" w:eastAsia="zh-CN"/>
            </w:rPr>
            <w:t xml:space="preserve">  </w:t>
          </w:r>
          <w:r>
            <w:rPr>
              <w:rFonts w:hint="eastAsia" w:ascii="楷体" w:hAnsi="楷体" w:eastAsia="楷体" w:cs="楷体"/>
              <w:szCs w:val="24"/>
            </w:rPr>
            <w:t>总则</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_Toc10141 </w:instrText>
          </w:r>
          <w:r>
            <w:rPr>
              <w:rFonts w:hint="eastAsia" w:ascii="楷体" w:hAnsi="楷体" w:eastAsia="楷体" w:cs="楷体"/>
            </w:rPr>
            <w:fldChar w:fldCharType="separate"/>
          </w:r>
          <w:r>
            <w:rPr>
              <w:rFonts w:hint="eastAsia" w:ascii="楷体" w:hAnsi="楷体" w:eastAsia="楷体" w:cs="楷体"/>
            </w:rPr>
            <w:t>3</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_Toc30658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第二章  薪酬结构及定义</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_Toc30658 </w:instrText>
          </w:r>
          <w:r>
            <w:rPr>
              <w:rFonts w:hint="eastAsia" w:ascii="楷体" w:hAnsi="楷体" w:eastAsia="楷体" w:cs="楷体"/>
            </w:rPr>
            <w:fldChar w:fldCharType="separate"/>
          </w:r>
          <w:r>
            <w:rPr>
              <w:rFonts w:hint="eastAsia" w:ascii="楷体" w:hAnsi="楷体" w:eastAsia="楷体" w:cs="楷体"/>
            </w:rPr>
            <w:t>4</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_Toc18010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第三章  薪酬的确定与调整</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_Toc18010 </w:instrText>
          </w:r>
          <w:r>
            <w:rPr>
              <w:rFonts w:hint="eastAsia" w:ascii="楷体" w:hAnsi="楷体" w:eastAsia="楷体" w:cs="楷体"/>
            </w:rPr>
            <w:fldChar w:fldCharType="separate"/>
          </w:r>
          <w:r>
            <w:rPr>
              <w:rFonts w:hint="eastAsia" w:ascii="楷体" w:hAnsi="楷体" w:eastAsia="楷体" w:cs="楷体"/>
            </w:rPr>
            <w:t>5</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_Toc7721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第四章  津补贴</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_Toc7721 </w:instrText>
          </w:r>
          <w:r>
            <w:rPr>
              <w:rFonts w:hint="eastAsia" w:ascii="楷体" w:hAnsi="楷体" w:eastAsia="楷体" w:cs="楷体"/>
            </w:rPr>
            <w:fldChar w:fldCharType="separate"/>
          </w:r>
          <w:r>
            <w:rPr>
              <w:rFonts w:hint="eastAsia" w:ascii="楷体" w:hAnsi="楷体" w:eastAsia="楷体" w:cs="楷体"/>
            </w:rPr>
            <w:t>7</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_Toc2537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第五章  福利</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_Toc2537 </w:instrText>
          </w:r>
          <w:r>
            <w:rPr>
              <w:rFonts w:hint="eastAsia" w:ascii="楷体" w:hAnsi="楷体" w:eastAsia="楷体" w:cs="楷体"/>
            </w:rPr>
            <w:fldChar w:fldCharType="separate"/>
          </w:r>
          <w:r>
            <w:rPr>
              <w:rFonts w:hint="eastAsia" w:ascii="楷体" w:hAnsi="楷体" w:eastAsia="楷体" w:cs="楷体"/>
            </w:rPr>
            <w:t>7</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_Toc29524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第六章  薪酬的支付</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_Toc29524 </w:instrText>
          </w:r>
          <w:r>
            <w:rPr>
              <w:rFonts w:hint="eastAsia" w:ascii="楷体" w:hAnsi="楷体" w:eastAsia="楷体" w:cs="楷体"/>
            </w:rPr>
            <w:fldChar w:fldCharType="separate"/>
          </w:r>
          <w:r>
            <w:rPr>
              <w:rFonts w:hint="eastAsia" w:ascii="楷体" w:hAnsi="楷体" w:eastAsia="楷体" w:cs="楷体"/>
            </w:rPr>
            <w:t>8</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_Toc24190 </w:instrText>
          </w:r>
          <w:r>
            <w:rPr>
              <w:rFonts w:hint="eastAsia" w:ascii="楷体" w:hAnsi="楷体" w:eastAsia="楷体" w:cs="楷体"/>
            </w:rPr>
            <w:fldChar w:fldCharType="separate"/>
          </w:r>
          <w:r>
            <w:rPr>
              <w:rFonts w:hint="eastAsia" w:ascii="楷体" w:hAnsi="楷体" w:eastAsia="楷体" w:cs="楷体"/>
              <w:bCs w:val="0"/>
              <w:kern w:val="2"/>
              <w:szCs w:val="24"/>
              <w:lang w:val="en-US" w:eastAsia="zh-CN" w:bidi="ar-SA"/>
            </w:rPr>
            <w:t>第七章  附 则</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_Toc24190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_Toc24177 </w:instrText>
          </w:r>
          <w:r>
            <w:rPr>
              <w:rFonts w:hint="eastAsia" w:ascii="楷体" w:hAnsi="楷体" w:eastAsia="楷体" w:cs="楷体"/>
            </w:rPr>
            <w:fldChar w:fldCharType="separate"/>
          </w:r>
          <w:r>
            <w:rPr>
              <w:rFonts w:hint="eastAsia" w:ascii="楷体" w:hAnsi="楷体" w:eastAsia="楷体" w:cs="楷体"/>
              <w:szCs w:val="21"/>
            </w:rPr>
            <w:t>附件1：岗位序列职级表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_Toc24177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_Toc13109 </w:instrText>
          </w:r>
          <w:r>
            <w:rPr>
              <w:rFonts w:hint="eastAsia" w:ascii="楷体" w:hAnsi="楷体" w:eastAsia="楷体" w:cs="楷体"/>
            </w:rPr>
            <w:fldChar w:fldCharType="separate"/>
          </w:r>
          <w:r>
            <w:rPr>
              <w:rFonts w:hint="eastAsia" w:ascii="楷体" w:hAnsi="楷体" w:eastAsia="楷体" w:cs="楷体"/>
              <w:szCs w:val="21"/>
            </w:rPr>
            <w:t>附件2：薪酬构成表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_Toc13109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_Toc11334 </w:instrText>
          </w:r>
          <w:r>
            <w:rPr>
              <w:rFonts w:hint="eastAsia" w:ascii="楷体" w:hAnsi="楷体" w:eastAsia="楷体" w:cs="楷体"/>
            </w:rPr>
            <w:fldChar w:fldCharType="separate"/>
          </w:r>
          <w:r>
            <w:rPr>
              <w:rFonts w:hint="eastAsia" w:ascii="楷体" w:hAnsi="楷体" w:eastAsia="楷体" w:cs="楷体"/>
              <w:szCs w:val="21"/>
            </w:rPr>
            <w:t>附件3：各岗位序列员工的薪酬结构表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_Toc11334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_Toc15211 </w:instrText>
          </w:r>
          <w:r>
            <w:rPr>
              <w:rFonts w:hint="eastAsia" w:ascii="楷体" w:hAnsi="楷体" w:eastAsia="楷体" w:cs="楷体"/>
            </w:rPr>
            <w:fldChar w:fldCharType="separate"/>
          </w:r>
          <w:r>
            <w:rPr>
              <w:rFonts w:hint="eastAsia" w:ascii="楷体" w:hAnsi="楷体" w:eastAsia="楷体" w:cs="楷体"/>
              <w:szCs w:val="21"/>
            </w:rPr>
            <w:t>附件4：职务津贴表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_Toc15211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_Toc15780 </w:instrText>
          </w:r>
          <w:r>
            <w:rPr>
              <w:rFonts w:hint="eastAsia" w:ascii="楷体" w:hAnsi="楷体" w:eastAsia="楷体" w:cs="楷体"/>
            </w:rPr>
            <w:fldChar w:fldCharType="separate"/>
          </w:r>
          <w:r>
            <w:rPr>
              <w:rFonts w:hint="eastAsia" w:ascii="楷体" w:hAnsi="楷体" w:eastAsia="楷体" w:cs="楷体"/>
              <w:szCs w:val="21"/>
            </w:rPr>
            <w:t>附件5：福利发放标准</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_Toc15780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_Toc3055 </w:instrText>
          </w:r>
          <w:r>
            <w:rPr>
              <w:rFonts w:hint="eastAsia" w:ascii="楷体" w:hAnsi="楷体" w:eastAsia="楷体" w:cs="楷体"/>
            </w:rPr>
            <w:fldChar w:fldCharType="separate"/>
          </w:r>
          <w:r>
            <w:rPr>
              <w:rFonts w:hint="eastAsia" w:ascii="楷体" w:hAnsi="楷体" w:eastAsia="楷体" w:cs="楷体"/>
              <w:szCs w:val="21"/>
            </w:rPr>
            <w:t>附件6：调薪申请流程</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_Toc3055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_Toc13912 </w:instrText>
          </w:r>
          <w:r>
            <w:rPr>
              <w:rFonts w:hint="eastAsia" w:ascii="楷体" w:hAnsi="楷体" w:eastAsia="楷体" w:cs="楷体"/>
            </w:rPr>
            <w:fldChar w:fldCharType="separate"/>
          </w:r>
          <w:r>
            <w:rPr>
              <w:rFonts w:hint="eastAsia" w:ascii="楷体" w:hAnsi="楷体" w:eastAsia="楷体" w:cs="楷体"/>
              <w:szCs w:val="21"/>
            </w:rPr>
            <w:t>附件7：薪酬调整审批表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_Toc13912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_Toc31408 </w:instrText>
          </w:r>
          <w:r>
            <w:rPr>
              <w:rFonts w:hint="eastAsia" w:ascii="楷体" w:hAnsi="楷体" w:eastAsia="楷体" w:cs="楷体"/>
            </w:rPr>
            <w:fldChar w:fldCharType="separate"/>
          </w:r>
          <w:r>
            <w:rPr>
              <w:rFonts w:hint="eastAsia" w:ascii="楷体" w:hAnsi="楷体" w:eastAsia="楷体" w:cs="楷体"/>
              <w:szCs w:val="21"/>
            </w:rPr>
            <w:t>附件8：薪酬等级表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_Toc31408 </w:instrText>
          </w:r>
          <w:r>
            <w:rPr>
              <w:rFonts w:hint="eastAsia" w:ascii="楷体" w:hAnsi="楷体" w:eastAsia="楷体" w:cs="楷体"/>
            </w:rPr>
            <w:fldChar w:fldCharType="separate"/>
          </w:r>
          <w:r>
            <w:rPr>
              <w:rFonts w:hint="eastAsia" w:ascii="楷体" w:hAnsi="楷体" w:eastAsia="楷体" w:cs="楷体"/>
            </w:rPr>
            <w:t>9</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_Toc6306 </w:instrText>
          </w:r>
          <w:r>
            <w:rPr>
              <w:rFonts w:hint="eastAsia" w:ascii="楷体" w:hAnsi="楷体" w:eastAsia="楷体" w:cs="楷体"/>
            </w:rPr>
            <w:fldChar w:fldCharType="separate"/>
          </w:r>
          <w:r>
            <w:rPr>
              <w:rFonts w:hint="eastAsia" w:ascii="楷体" w:hAnsi="楷体" w:eastAsia="楷体" w:cs="楷体"/>
              <w:bCs/>
            </w:rPr>
            <w:t>附件1：岗位序列职级表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_Toc6306 </w:instrText>
          </w:r>
          <w:r>
            <w:rPr>
              <w:rFonts w:hint="eastAsia" w:ascii="楷体" w:hAnsi="楷体" w:eastAsia="楷体" w:cs="楷体"/>
            </w:rPr>
            <w:fldChar w:fldCharType="separate"/>
          </w:r>
          <w:r>
            <w:rPr>
              <w:rFonts w:hint="eastAsia" w:ascii="楷体" w:hAnsi="楷体" w:eastAsia="楷体" w:cs="楷体"/>
            </w:rPr>
            <w:t>10</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_Toc7370 </w:instrText>
          </w:r>
          <w:r>
            <w:rPr>
              <w:rFonts w:hint="eastAsia" w:ascii="楷体" w:hAnsi="楷体" w:eastAsia="楷体" w:cs="楷体"/>
            </w:rPr>
            <w:fldChar w:fldCharType="separate"/>
          </w:r>
          <w:r>
            <w:rPr>
              <w:rFonts w:hint="eastAsia" w:ascii="楷体" w:hAnsi="楷体" w:eastAsia="楷体" w:cs="楷体"/>
              <w:bCs/>
            </w:rPr>
            <w:t>附件2：薪酬构成表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_Toc7370 </w:instrText>
          </w:r>
          <w:r>
            <w:rPr>
              <w:rFonts w:hint="eastAsia" w:ascii="楷体" w:hAnsi="楷体" w:eastAsia="楷体" w:cs="楷体"/>
            </w:rPr>
            <w:fldChar w:fldCharType="separate"/>
          </w:r>
          <w:r>
            <w:rPr>
              <w:rFonts w:hint="eastAsia" w:ascii="楷体" w:hAnsi="楷体" w:eastAsia="楷体" w:cs="楷体"/>
            </w:rPr>
            <w:t>10</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_Toc22918 </w:instrText>
          </w:r>
          <w:r>
            <w:rPr>
              <w:rFonts w:hint="eastAsia" w:ascii="楷体" w:hAnsi="楷体" w:eastAsia="楷体" w:cs="楷体"/>
            </w:rPr>
            <w:fldChar w:fldCharType="separate"/>
          </w:r>
          <w:r>
            <w:rPr>
              <w:rFonts w:hint="eastAsia" w:ascii="楷体" w:hAnsi="楷体" w:eastAsia="楷体" w:cs="楷体"/>
              <w:bCs/>
            </w:rPr>
            <w:t>附件3：各岗位序列员工的薪酬结构表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_Toc22918 </w:instrText>
          </w:r>
          <w:r>
            <w:rPr>
              <w:rFonts w:hint="eastAsia" w:ascii="楷体" w:hAnsi="楷体" w:eastAsia="楷体" w:cs="楷体"/>
            </w:rPr>
            <w:fldChar w:fldCharType="separate"/>
          </w:r>
          <w:r>
            <w:rPr>
              <w:rFonts w:hint="eastAsia" w:ascii="楷体" w:hAnsi="楷体" w:eastAsia="楷体" w:cs="楷体"/>
            </w:rPr>
            <w:t>11</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_Toc24105 </w:instrText>
          </w:r>
          <w:r>
            <w:rPr>
              <w:rFonts w:hint="eastAsia" w:ascii="楷体" w:hAnsi="楷体" w:eastAsia="楷体" w:cs="楷体"/>
            </w:rPr>
            <w:fldChar w:fldCharType="separate"/>
          </w:r>
          <w:r>
            <w:rPr>
              <w:rFonts w:hint="eastAsia" w:ascii="楷体" w:hAnsi="楷体" w:eastAsia="楷体" w:cs="楷体"/>
              <w:bCs/>
            </w:rPr>
            <w:t>附件4：职务津贴表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_Toc24105 </w:instrText>
          </w:r>
          <w:r>
            <w:rPr>
              <w:rFonts w:hint="eastAsia" w:ascii="楷体" w:hAnsi="楷体" w:eastAsia="楷体" w:cs="楷体"/>
            </w:rPr>
            <w:fldChar w:fldCharType="separate"/>
          </w:r>
          <w:r>
            <w:rPr>
              <w:rFonts w:hint="eastAsia" w:ascii="楷体" w:hAnsi="楷体" w:eastAsia="楷体" w:cs="楷体"/>
            </w:rPr>
            <w:t>11</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_Toc7273 </w:instrText>
          </w:r>
          <w:r>
            <w:rPr>
              <w:rFonts w:hint="eastAsia" w:ascii="楷体" w:hAnsi="楷体" w:eastAsia="楷体" w:cs="楷体"/>
            </w:rPr>
            <w:fldChar w:fldCharType="separate"/>
          </w:r>
          <w:r>
            <w:rPr>
              <w:rFonts w:hint="eastAsia" w:ascii="楷体" w:hAnsi="楷体" w:eastAsia="楷体" w:cs="楷体"/>
              <w:bCs/>
            </w:rPr>
            <w:t>附件5：福利发放标准</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_Toc7273 </w:instrText>
          </w:r>
          <w:r>
            <w:rPr>
              <w:rFonts w:hint="eastAsia" w:ascii="楷体" w:hAnsi="楷体" w:eastAsia="楷体" w:cs="楷体"/>
            </w:rPr>
            <w:fldChar w:fldCharType="separate"/>
          </w:r>
          <w:r>
            <w:rPr>
              <w:rFonts w:hint="eastAsia" w:ascii="楷体" w:hAnsi="楷体" w:eastAsia="楷体" w:cs="楷体"/>
            </w:rPr>
            <w:t>11</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_Toc18203 </w:instrText>
          </w:r>
          <w:r>
            <w:rPr>
              <w:rFonts w:hint="eastAsia" w:ascii="楷体" w:hAnsi="楷体" w:eastAsia="楷体" w:cs="楷体"/>
            </w:rPr>
            <w:fldChar w:fldCharType="separate"/>
          </w:r>
          <w:r>
            <w:rPr>
              <w:rFonts w:hint="eastAsia" w:ascii="楷体" w:hAnsi="楷体" w:eastAsia="楷体" w:cs="楷体"/>
              <w:bCs/>
            </w:rPr>
            <w:t>附件6：调薪申请流程</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_Toc18203 </w:instrText>
          </w:r>
          <w:r>
            <w:rPr>
              <w:rFonts w:hint="eastAsia" w:ascii="楷体" w:hAnsi="楷体" w:eastAsia="楷体" w:cs="楷体"/>
            </w:rPr>
            <w:fldChar w:fldCharType="separate"/>
          </w:r>
          <w:r>
            <w:rPr>
              <w:rFonts w:hint="eastAsia" w:ascii="楷体" w:hAnsi="楷体" w:eastAsia="楷体" w:cs="楷体"/>
            </w:rPr>
            <w:t>11</w:t>
          </w:r>
          <w:r>
            <w:rPr>
              <w:rFonts w:hint="eastAsia" w:ascii="楷体" w:hAnsi="楷体" w:eastAsia="楷体" w:cs="楷体"/>
            </w:rPr>
            <w:fldChar w:fldCharType="end"/>
          </w:r>
          <w:r>
            <w:rPr>
              <w:rFonts w:hint="eastAsia" w:ascii="楷体" w:hAnsi="楷体" w:eastAsia="楷体" w:cs="楷体"/>
            </w:rPr>
            <w:fldChar w:fldCharType="end"/>
          </w:r>
          <w:bookmarkStart w:id="34" w:name="_GoBack"/>
          <w:bookmarkEnd w:id="34"/>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_Toc30941 </w:instrText>
          </w:r>
          <w:r>
            <w:rPr>
              <w:rFonts w:hint="eastAsia" w:ascii="楷体" w:hAnsi="楷体" w:eastAsia="楷体" w:cs="楷体"/>
            </w:rPr>
            <w:fldChar w:fldCharType="separate"/>
          </w:r>
          <w:r>
            <w:rPr>
              <w:rFonts w:hint="eastAsia" w:ascii="楷体" w:hAnsi="楷体" w:eastAsia="楷体" w:cs="楷体"/>
              <w:bCs/>
            </w:rPr>
            <w:t>附件7：员工薪酬调整审批表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_Toc30941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rPr>
            <w:fldChar w:fldCharType="end"/>
          </w:r>
        </w:p>
        <w:p>
          <w:pPr>
            <w:pStyle w:val="43"/>
            <w:tabs>
              <w:tab w:val="right" w:leader="dot" w:pos="8306"/>
            </w:tabs>
            <w:rPr>
              <w:rFonts w:hint="eastAsia" w:ascii="楷体" w:hAnsi="楷体" w:eastAsia="楷体" w:cs="楷体"/>
            </w:rPr>
          </w:pPr>
          <w:r>
            <w:rPr>
              <w:rFonts w:hint="eastAsia" w:ascii="楷体" w:hAnsi="楷体" w:eastAsia="楷体" w:cs="楷体"/>
            </w:rPr>
            <w:fldChar w:fldCharType="begin"/>
          </w:r>
          <w:r>
            <w:rPr>
              <w:rFonts w:hint="eastAsia" w:ascii="楷体" w:hAnsi="楷体" w:eastAsia="楷体" w:cs="楷体"/>
            </w:rPr>
            <w:instrText xml:space="preserve"> HYPERLINK \l _Toc26497 </w:instrText>
          </w:r>
          <w:r>
            <w:rPr>
              <w:rFonts w:hint="eastAsia" w:ascii="楷体" w:hAnsi="楷体" w:eastAsia="楷体" w:cs="楷体"/>
            </w:rPr>
            <w:fldChar w:fldCharType="separate"/>
          </w:r>
          <w:r>
            <w:rPr>
              <w:rFonts w:hint="eastAsia" w:ascii="楷体" w:hAnsi="楷体" w:eastAsia="楷体" w:cs="楷体"/>
              <w:bCs/>
            </w:rPr>
            <w:t>附件8：薪酬等级表</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_Toc26497 </w:instrText>
          </w:r>
          <w:r>
            <w:rPr>
              <w:rFonts w:hint="eastAsia" w:ascii="楷体" w:hAnsi="楷体" w:eastAsia="楷体" w:cs="楷体"/>
            </w:rPr>
            <w:fldChar w:fldCharType="separate"/>
          </w:r>
          <w:r>
            <w:rPr>
              <w:rFonts w:hint="eastAsia" w:ascii="楷体" w:hAnsi="楷体" w:eastAsia="楷体" w:cs="楷体"/>
            </w:rPr>
            <w:t>13</w:t>
          </w:r>
          <w:r>
            <w:rPr>
              <w:rFonts w:hint="eastAsia" w:ascii="楷体" w:hAnsi="楷体" w:eastAsia="楷体" w:cs="楷体"/>
            </w:rPr>
            <w:fldChar w:fldCharType="end"/>
          </w:r>
          <w:r>
            <w:rPr>
              <w:rFonts w:hint="eastAsia" w:ascii="楷体" w:hAnsi="楷体" w:eastAsia="楷体" w:cs="楷体"/>
            </w:rPr>
            <w:fldChar w:fldCharType="end"/>
          </w:r>
        </w:p>
        <w:p>
          <w:pPr>
            <w:rPr>
              <w:rFonts w:hint="eastAsia"/>
            </w:rPr>
          </w:pPr>
          <w:r>
            <w:rPr>
              <w:rFonts w:hint="eastAsia" w:ascii="楷体" w:hAnsi="楷体" w:eastAsia="楷体" w:cs="楷体"/>
            </w:rPr>
            <w:fldChar w:fldCharType="end"/>
          </w:r>
        </w:p>
      </w:sdtContent>
    </w:sdt>
    <w:p>
      <w:pPr>
        <w:pageBreakBefore w:val="0"/>
        <w:widowControl/>
        <w:kinsoku/>
        <w:wordWrap/>
        <w:overflowPunct/>
        <w:topLinePunct w:val="0"/>
        <w:autoSpaceDE/>
        <w:autoSpaceDN/>
        <w:bidi w:val="0"/>
        <w:adjustRightInd/>
        <w:snapToGrid/>
        <w:spacing w:beforeAutospacing="0" w:afterAutospacing="0" w:line="360" w:lineRule="auto"/>
        <w:ind w:left="0" w:leftChars="0" w:right="0" w:firstLine="400" w:firstLineChars="200"/>
        <w:jc w:val="both"/>
        <w:rPr>
          <w:rFonts w:hint="eastAsia" w:ascii="楷体" w:hAnsi="楷体" w:eastAsia="楷体" w:cs="楷体"/>
          <w:sz w:val="30"/>
          <w:szCs w:val="30"/>
        </w:rPr>
      </w:pPr>
      <w:r>
        <w:rPr>
          <w:rFonts w:hint="eastAsia" w:ascii="SimHei" w:hAnsi="SimHei" w:eastAsia="黑体" w:cs="楷体"/>
          <w:sz w:val="20"/>
          <w:szCs w:val="20"/>
        </w:rPr>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center"/>
        <w:outlineLvl w:val="0"/>
        <w:rPr>
          <w:rFonts w:hint="eastAsia" w:ascii="楷体" w:hAnsi="楷体" w:eastAsia="楷体" w:cs="楷体"/>
          <w:b/>
          <w:szCs w:val="21"/>
        </w:rPr>
      </w:pPr>
      <w:r>
        <w:rPr>
          <w:rFonts w:hint="eastAsia" w:ascii="SimHei" w:hAnsi="SimHei" w:eastAsia="黑体" w:cs="楷体"/>
          <w:szCs w:val="21"/>
        </w:rPr>
      </w:r>
      <w:bookmarkStart w:id="0" w:name="_Toc10141"/>
      <w:bookmarkStart w:id="1" w:name="_Toc312918086"/>
      <w:r>
        <w:rPr>
          <w:rFonts w:hint="eastAsia" w:ascii="SimHei" w:hAnsi="SimHei" w:eastAsia="黑体" w:cs="楷体"/>
          <w:b/>
          <w:sz w:val="24"/>
          <w:szCs w:val="24"/>
        </w:rPr>
        <w:t>第一章</w:t>
      </w:r>
      <w:r>
        <w:rPr>
          <w:rFonts w:hint="eastAsia" w:ascii="SimHei" w:hAnsi="SimHei" w:eastAsia="黑体" w:cs="楷体"/>
          <w:b/>
          <w:sz w:val="24"/>
          <w:szCs w:val="24"/>
          <w:lang w:val="en-US" w:eastAsia="zh-CN"/>
        </w:rPr>
        <w:t xml:space="preserve">  </w:t>
      </w:r>
      <w:r>
        <w:rPr>
          <w:rFonts w:hint="eastAsia" w:ascii="SimHei" w:hAnsi="SimHei" w:eastAsia="黑体" w:cs="楷体"/>
          <w:b/>
          <w:sz w:val="24"/>
          <w:szCs w:val="24"/>
        </w:rPr>
        <w:t>总则</w:t>
      </w:r>
      <w:bookmarkEnd w:id="0"/>
      <w:bookmarkEnd w:id="1"/>
    </w:p>
    <w:p>
      <w:pPr>
        <w:pStyle w:val="29"/>
        <w:pageBreakBefore w:val="0"/>
        <w:numPr>
          <w:ilvl w:val="0"/>
          <w:numId w:val="2"/>
        </w:numPr>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薪酬管理的基本目标</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1、通过建立对外具有竞争力，对内相对公平的薪酬体系，吸引和留住人才，从而保证企业稳步发展；</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2、通过建立合理的薪酬结构，激发员工的工作积极性，提升工作业绩；</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 xml:space="preserve"> 3、通过采取市场跟随策略和成本导向策略，合理控制人力成本。</w:t>
      </w:r>
    </w:p>
    <w:p>
      <w:pPr>
        <w:pStyle w:val="29"/>
        <w:pageBreakBefore w:val="0"/>
        <w:numPr>
          <w:ilvl w:val="0"/>
          <w:numId w:val="2"/>
        </w:numPr>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薪酬管理的基本原则</w:t>
      </w:r>
    </w:p>
    <w:p>
      <w:pPr>
        <w:pStyle w:val="29"/>
        <w:pageBreakBefore w:val="0"/>
        <w:tabs>
          <w:tab w:val="left" w:pos="851"/>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1、公平性原则：体现职责、风险和业绩与收入相匹配；</w:t>
      </w:r>
    </w:p>
    <w:p>
      <w:pPr>
        <w:pStyle w:val="29"/>
        <w:pageBreakBefore w:val="0"/>
        <w:tabs>
          <w:tab w:val="left" w:pos="851"/>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2、竞争性原则：在相关的人才市场上，核心人才和关键人才保持一定的竞争力；</w:t>
      </w:r>
    </w:p>
    <w:p>
      <w:pPr>
        <w:pStyle w:val="29"/>
        <w:pageBreakBefore w:val="0"/>
        <w:tabs>
          <w:tab w:val="left" w:pos="851"/>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3、激励性原则：充分鼓励并认可员工不断提高工作效率、能力和业绩；；</w:t>
      </w:r>
    </w:p>
    <w:p>
      <w:pPr>
        <w:pStyle w:val="29"/>
        <w:pageBreakBefore w:val="0"/>
        <w:tabs>
          <w:tab w:val="left" w:pos="851"/>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4、发展性原则：对表现好的员工，留有薪酬上升的空间；</w:t>
      </w:r>
    </w:p>
    <w:p>
      <w:pPr>
        <w:pStyle w:val="29"/>
        <w:pageBreakBefore w:val="0"/>
        <w:tabs>
          <w:tab w:val="left" w:pos="851"/>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5、经济性原则：确保公司整体薪酬成本控制在合理水平上，合理降低公司用工成本。</w:t>
      </w:r>
    </w:p>
    <w:p>
      <w:pPr>
        <w:pStyle w:val="29"/>
        <w:pageBreakBefore w:val="0"/>
        <w:numPr>
          <w:ilvl w:val="0"/>
          <w:numId w:val="2"/>
        </w:numPr>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适用对象</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本制度适用于</w:t>
      </w:r>
      <w:r>
        <w:rPr>
          <w:rFonts w:hint="eastAsia" w:ascii="SimHei" w:hAnsi="SimHei" w:eastAsia="黑体" w:cs="楷体"/>
          <w:szCs w:val="21"/>
          <w:lang w:eastAsia="zh-CN"/>
        </w:rPr>
        <w:t>XXXX</w:t>
      </w:r>
      <w:r>
        <w:rPr>
          <w:rFonts w:hint="eastAsia" w:ascii="SimHei" w:hAnsi="SimHei" w:eastAsia="黑体" w:cs="楷体"/>
          <w:szCs w:val="21"/>
        </w:rPr>
        <w:t>公司所有员工。</w:t>
      </w:r>
    </w:p>
    <w:p>
      <w:pPr>
        <w:pStyle w:val="29"/>
        <w:pageBreakBefore w:val="0"/>
        <w:numPr>
          <w:ilvl w:val="0"/>
          <w:numId w:val="2"/>
        </w:numPr>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薪酬管理的职责</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1、总经理</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（1）负责对公司的薪酬管理体系进行审核并批准实施；</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（2）负责对员工薪酬的异动进行审核和批准。</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2、行政人事部</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（1）负责制定和完善薪酬管理制度及相关管理细则；</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（2）负责薪酬调整工作的组织、建议、审核工作；</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（3）商议并确定新进员工的薪酬；</w:t>
      </w:r>
    </w:p>
    <w:p>
      <w:pPr>
        <w:pStyle w:val="29"/>
        <w:pageBreakBefore w:val="0"/>
        <w:tabs>
          <w:tab w:val="left" w:pos="993"/>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（4）负责薪酬管理制度的宣贯及培训。</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 xml:space="preserve"> 3、财务部</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（1）按照行政人事部提交的薪酬表完成薪酬核算并支付；</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（2）按照国家规定代扣代缴员工个人所得税和各种保险个人缴纳部分。</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4、各部门</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（1）与行政人事部共同评定新进员工薪酬，提出员工薪酬调整建议；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w:t>
      </w:r>
      <w:r>
        <w:rPr>
          <w:rFonts w:hint="eastAsia" w:ascii="SimHei" w:hAnsi="SimHei" w:eastAsia="黑体" w:cs="楷体"/>
          <w:spacing w:val="-2"/>
          <w:szCs w:val="21"/>
        </w:rPr>
        <w:t>客观公正地评价下属的工作绩效，为发放绩效奖金和调整员工薪酬提供依据。</w:t>
      </w: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2" w:name="_Toc310926916"/>
      <w:bookmarkStart w:id="3" w:name="_Toc312918088"/>
      <w:bookmarkStart w:id="4" w:name="_Toc30658"/>
      <w:r>
        <w:rPr>
          <w:rFonts w:hint="eastAsia" w:ascii="SimHei" w:hAnsi="SimHei" w:eastAsia="黑体" w:cs="楷体"/>
          <w:b/>
          <w:bCs w:val="0"/>
          <w:kern w:val="2"/>
          <w:sz w:val="24"/>
          <w:szCs w:val="24"/>
          <w:lang w:val="en-US" w:eastAsia="zh-CN" w:bidi="ar-SA"/>
        </w:rPr>
        <w:t>第二章  薪酬结构</w:t>
      </w:r>
      <w:bookmarkEnd w:id="2"/>
      <w:bookmarkEnd w:id="3"/>
      <w:r>
        <w:rPr>
          <w:rFonts w:hint="eastAsia" w:ascii="SimHei" w:hAnsi="SimHei" w:eastAsia="黑体" w:cs="楷体"/>
          <w:b/>
          <w:bCs w:val="0"/>
          <w:kern w:val="2"/>
          <w:sz w:val="24"/>
          <w:szCs w:val="24"/>
          <w:lang w:val="en-US" w:eastAsia="zh-CN" w:bidi="ar-SA"/>
        </w:rPr>
        <w:t>及定义</w:t>
      </w:r>
      <w:bookmarkEnd w:id="4"/>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第五条 薪酬结构分类</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根据岗位工作性质、职责和承担的风险不同，所有岗位分为三个序列，具体划分详见附件1《岗位序列职级表》。</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第六条 薪酬结构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1、薪酬构成如下：</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（1）基本工资；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（2）岗位工资；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（3）绩效工资；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（4）工龄工资；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（5）职务津贴；</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（6）福利与保险；</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详见《附件2薪酬构成表》。</w:t>
      </w:r>
    </w:p>
    <w:p>
      <w:pPr>
        <w:pStyle w:val="17"/>
        <w:pageBreakBefore w:val="0"/>
        <w:numPr>
          <w:ilvl w:val="0"/>
          <w:numId w:val="3"/>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 w:val="21"/>
          <w:szCs w:val="21"/>
        </w:rPr>
      </w:pPr>
      <w:r>
        <w:rPr>
          <w:rFonts w:hint="eastAsia" w:ascii="SimHei" w:hAnsi="SimHei" w:eastAsia="黑体" w:cs="楷体"/>
          <w:color w:val="auto"/>
          <w:sz w:val="21"/>
          <w:szCs w:val="21"/>
        </w:rPr>
        <w:t>根据各序列员工的实际情况有不同的组合，详见附件3《</w:t>
      </w:r>
      <w:r>
        <w:rPr>
          <w:rFonts w:hint="eastAsia" w:ascii="SimHei" w:hAnsi="SimHei" w:eastAsia="黑体" w:cs="楷体"/>
          <w:sz w:val="21"/>
          <w:szCs w:val="21"/>
        </w:rPr>
        <w:t>各岗位序列员工的薪酬结构</w:t>
      </w:r>
      <w:r>
        <w:rPr>
          <w:rFonts w:hint="eastAsia" w:ascii="SimHei" w:hAnsi="SimHei" w:eastAsia="黑体" w:cs="楷体"/>
          <w:color w:val="auto"/>
          <w:sz w:val="21"/>
          <w:szCs w:val="21"/>
        </w:rPr>
        <w:t>表》。</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第七条 工资</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1、月度基本工资</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定义：参考杭州市城镇职工平均生活水平、最低工资标准、生活费用等确定。</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2、月度岗位工资</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定义：岗位工资主要体现员工所从事的岗位的职责和要求，根据职务高低、岗位重要性、工作条件等要素确定。</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计算方式：技术序列和操作序列员工月度岗位工资=月度等级薪酬×70%-月度基本工资；</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管理序列月度岗位工资=月度等级薪酬×60%-月度基本工资；</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销售类员工月度岗位工资=月度等级薪酬×60%-月度基本工资；</w:t>
      </w:r>
    </w:p>
    <w:p>
      <w:pPr>
        <w:pStyle w:val="29"/>
        <w:pageBreakBefore w:val="0"/>
        <w:numPr>
          <w:ilvl w:val="0"/>
          <w:numId w:val="3"/>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绩效工资</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（1）、月度绩效工资的定义：是指员工完成岗位责任和工作，公司对该岗位所达成的业绩而予以支付的薪酬部分；</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计算方式：技术序列和操作序列月度绩效工资=月度等级薪酬×30%×绩效得分／月绩效标准分；</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管理序列月度绩效工资=月度等级薪酬×40%×绩效得分／月绩效标准分+职务津贴；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销售类员工月绩效工资=月度等级薪酬×40%×绩效得分／月绩效标准分；月度绩效工资于每月随同月工资发放；</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szCs w:val="21"/>
        </w:rPr>
        <w:t>4、年度绩效奖金为浮动奖金，依据公司年度效益和个人年度绩效考核结果发放。</w:t>
      </w:r>
      <w:r>
        <w:rPr>
          <w:rFonts w:hint="eastAsia" w:ascii="SimHei" w:hAnsi="SimHei" w:eastAsia="黑体" w:cs="楷体"/>
          <w:bCs/>
          <w:szCs w:val="21"/>
        </w:rPr>
        <w:t xml:space="preserve"> </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5、上述绩效工资须结合员工实际出勤情况发放（详见《考勤管理制度》）。</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第八条职务津贴</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 w:val="21"/>
          <w:szCs w:val="21"/>
        </w:rPr>
      </w:pPr>
      <w:r>
        <w:rPr>
          <w:rFonts w:hint="eastAsia" w:ascii="SimHei" w:hAnsi="SimHei" w:eastAsia="黑体" w:cs="楷体"/>
          <w:color w:val="auto"/>
          <w:sz w:val="21"/>
          <w:szCs w:val="21"/>
        </w:rPr>
        <w:t>职务津贴的对象为管理序列人员，参考员工的实际管理技能来确定，纳入绩效考核。（详见</w:t>
      </w:r>
      <w:r>
        <w:rPr>
          <w:rFonts w:hint="eastAsia" w:ascii="SimHei" w:hAnsi="SimHei" w:eastAsia="黑体" w:cs="楷体"/>
          <w:sz w:val="21"/>
          <w:szCs w:val="21"/>
        </w:rPr>
        <w:t>附件4 《职务津贴表》）。</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第九条福利与保险</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公司按照国家规定为员工缴纳五险；同时，公司员工还享有：员工培训、假期、生日礼金等福利；此外，公司对做出特殊贡献的员工以及优秀人才给予一定的奖励福利，包括商务考察、在职教育等。（详见第五章《福利》）</w:t>
      </w: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5" w:name="_Toc310926917"/>
      <w:bookmarkStart w:id="6" w:name="_Toc312918089"/>
      <w:bookmarkStart w:id="7" w:name="_Toc18010"/>
      <w:r>
        <w:rPr>
          <w:rFonts w:hint="eastAsia" w:ascii="SimHei" w:hAnsi="SimHei" w:eastAsia="黑体" w:cs="楷体"/>
          <w:b/>
          <w:bCs w:val="0"/>
          <w:kern w:val="2"/>
          <w:sz w:val="24"/>
          <w:szCs w:val="24"/>
          <w:lang w:val="en-US" w:eastAsia="zh-CN" w:bidi="ar-SA"/>
        </w:rPr>
        <w:t>第三章  薪酬的确定</w:t>
      </w:r>
      <w:bookmarkEnd w:id="5"/>
      <w:r>
        <w:rPr>
          <w:rFonts w:hint="eastAsia" w:ascii="SimHei" w:hAnsi="SimHei" w:eastAsia="黑体" w:cs="楷体"/>
          <w:b/>
          <w:bCs w:val="0"/>
          <w:kern w:val="2"/>
          <w:sz w:val="24"/>
          <w:szCs w:val="24"/>
          <w:lang w:val="en-US" w:eastAsia="zh-CN" w:bidi="ar-SA"/>
        </w:rPr>
        <w:t>与调整</w:t>
      </w:r>
      <w:bookmarkEnd w:id="6"/>
      <w:bookmarkEnd w:id="7"/>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第十条薪酬的确定</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公司各岗位的薪酬范围由行政人事部拟定方案，总经理批准后实施。</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新进员工具体薪酬的确定，根据员工个人的学历、毕业院校、工龄、工作背景、职业素养和专业技能等因素，在行政人事部制定的薪酬范围内，由用人部门负责人和行政人事部共同评定。</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第十一条试用期月度薪酬的确定</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到公司应聘有明确岗位的，按公司确定的转正后等级薪酬（即月度基本工资、月度岗位工资与月度绩效工资之和）的80％发放试用期工资。试用期员工不参加月度考核，按照试用期考核办法评价。每月15日之前转正的员工当月转正之日起参加绩效考核。</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第十二条薪酬的调整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薪酬调整分为年度薪酬异动、转正薪酬异动、职务/岗位异动调薪、特殊调薪四类。</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1、年度薪酬异动：每年年底根据公司生产经营发展状况做相应的薪酬异动；</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2、转正薪酬异动：对试用期考核合格员工给予转正薪酬调整；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3、职务/岗位异动调薪：针对员工所任职务/岗位变化（包括职位晋升/下降、岗位平调），于新职务/岗位任职时间满三个月后，依据行政人事部出具的市场薪酬调查数据、岗位薪酬区间以及新岗位工作绩效情况进行薪酬调整。异动调整不受时间限制，每月都可以进行。</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Cs/>
          <w:szCs w:val="21"/>
        </w:rPr>
      </w:pPr>
      <w:r>
        <w:rPr>
          <w:rFonts w:hint="eastAsia" w:ascii="SimHei" w:hAnsi="SimHei" w:eastAsia="黑体" w:cs="楷体"/>
          <w:b/>
          <w:szCs w:val="21"/>
        </w:rPr>
        <w:t>职务/岗位变动调薪的基本条件</w:t>
      </w:r>
    </w:p>
    <w:tbl>
      <w:tblPr>
        <w:tblStyle w:val="20"/>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84"/>
        <w:gridCol w:w="57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编号</w:t>
            </w:r>
          </w:p>
        </w:tc>
        <w:tc>
          <w:tcPr>
            <w:tcW w:w="1984"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要素</w:t>
            </w:r>
          </w:p>
        </w:tc>
        <w:tc>
          <w:tcPr>
            <w:tcW w:w="5722"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基本条件描述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1</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职岗异动时间</w:t>
            </w:r>
          </w:p>
        </w:tc>
        <w:tc>
          <w:tcPr>
            <w:tcW w:w="572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三个月以上</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（即新岗位任职时间满三个月后视情考虑是否调薪）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2</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市场薪酬水平</w:t>
            </w:r>
          </w:p>
        </w:tc>
        <w:tc>
          <w:tcPr>
            <w:tcW w:w="572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现有薪酬明显低于新岗位的市场薪酬水平</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（以行政人事部出具的市场薪酬调查数据为准）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16"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3</w:t>
            </w:r>
          </w:p>
        </w:tc>
        <w:tc>
          <w:tcPr>
            <w:tcW w:w="198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绩效考核成绩</w:t>
            </w:r>
          </w:p>
        </w:tc>
        <w:tc>
          <w:tcPr>
            <w:tcW w:w="5722"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Cs/>
                <w:szCs w:val="21"/>
              </w:rPr>
            </w:pPr>
            <w:r>
              <w:rPr>
                <w:rFonts w:hint="eastAsia" w:ascii="SimHei" w:hAnsi="SimHei" w:eastAsia="黑体" w:cs="楷体"/>
                <w:bCs/>
                <w:szCs w:val="21"/>
              </w:rPr>
              <w:t>新岗位任职期间近三个月绩效考核成绩为80分及以上</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4、特殊调薪：是指员工具有突出绩效、或为公司做出重大贡献的员工，由部门负责人提出申请，经行政人事部审核，总经理特批进行薪酬调整。特别调薪不受时间限制，每月都可以进行。</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 xml:space="preserve"> 重大贡献事项具体如下:</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（1）在技术上有重要的创新，在</w:t>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bCs/>
          <w:szCs w:val="21"/>
        </w:rPr>
        <w:t>新产品开发</w:t>
      </w:r>
      <w:r>
        <w:rPr>
          <w:rFonts w:hint="eastAsia" w:ascii="SimHei" w:hAnsi="SimHei" w:eastAsia="黑体" w:cs="楷体"/>
          <w:bCs/>
          <w:szCs w:val="21"/>
        </w:rPr>
      </w:r>
      <w:r>
        <w:rPr>
          <w:rFonts w:hint="eastAsia" w:ascii="SimHei" w:hAnsi="SimHei" w:eastAsia="黑体" w:cs="楷体"/>
          <w:bCs/>
          <w:szCs w:val="21"/>
        </w:rPr>
        <w:t>、工艺等重点领域进行</w:t>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bCs/>
          <w:szCs w:val="21"/>
        </w:rPr>
        <w:t>自主创新</w:t>
      </w:r>
      <w:r>
        <w:rPr>
          <w:rFonts w:hint="eastAsia" w:ascii="SimHei" w:hAnsi="SimHei" w:eastAsia="黑体" w:cs="楷体"/>
          <w:bCs/>
          <w:szCs w:val="21"/>
        </w:rPr>
      </w:r>
      <w:r>
        <w:rPr>
          <w:rFonts w:hint="eastAsia" w:ascii="SimHei" w:hAnsi="SimHei" w:eastAsia="黑体" w:cs="楷体"/>
          <w:bCs/>
          <w:szCs w:val="21"/>
        </w:rPr>
        <w:t>，给公司节约成本或对公司品牌有明显提升；</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（2）开发一级大客户（销售额不低于400万），对公司品牌有明显影响力；</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（3）推行相当先进的管理方法，凝聚员工的向心力，能很好的提高大家的工作效率；</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（4）因本人的严重失职行为所造成的公司重大经济损失、企业名誉损失、安全事故、质量事故等；</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（5）总经理裁定的其他重大贡献事项。</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5、调薪的幅度：</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（1）年度薪酬异动调整幅度为（加减）一级/次，越级调薪须总经理特批；</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（2）职务/岗位调薪，前三个月按照现有薪酬等级，待新岗位任职时间满三个月后，依据行政人事部出具的市场薪酬调查数据及岗位薪酬区间，以及新岗位工作绩效情况进行薪酬调整；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（3）特殊调薪幅度（加减）不超过三级/次，须总经理特批；</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第十三条定薪程序</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 新聘员工：</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（1）行政人事部提出岗位薪酬范围的建议；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（2）所属部门负责人在行政人事部提出的岗位薪酬范围内提出薪酬建议；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（3）行政人事部审核；</w:t>
      </w:r>
    </w:p>
    <w:p>
      <w:pPr>
        <w:pageBreakBefore w:val="0"/>
        <w:tabs>
          <w:tab w:val="left" w:pos="1440"/>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（4）总经理审批。</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2、在职员工：</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（1）所属部门负责人根据员工岗位、任职能力情况，在岗位薪酬范围内提出薪酬调整建议；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（2）行政人事部门审核；</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（3）总经理审批。</w:t>
      </w:r>
      <w:bookmarkStart w:id="8" w:name="_Toc312918091"/>
      <w:bookmarkStart w:id="9" w:name="_Toc310926920"/>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10" w:name="_Toc7721"/>
      <w:r>
        <w:rPr>
          <w:rFonts w:hint="eastAsia" w:ascii="SimHei" w:hAnsi="SimHei" w:eastAsia="黑体" w:cs="楷体"/>
          <w:b/>
          <w:bCs w:val="0"/>
          <w:kern w:val="2"/>
          <w:sz w:val="24"/>
          <w:szCs w:val="24"/>
          <w:lang w:val="en-US" w:eastAsia="zh-CN" w:bidi="ar-SA"/>
        </w:rPr>
        <w:t>第四章  津补贴</w:t>
      </w:r>
      <w:bookmarkEnd w:id="10"/>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津补贴包括午餐补贴、通讯补贴、工龄津贴、高温补贴。</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第十四条午餐补贴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公司对因公外勤的员工，根据实际情况发放午餐补贴。具体补贴标准由行政人事部每年根据当地物价标准进行制订。2015年午餐补贴为10元/工作日。</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第十五条通讯补贴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公司为管理序列及技术序列的部分员工发放通讯补贴，标准如下：</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8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
                <w:kern w:val="0"/>
                <w:sz w:val="24"/>
              </w:rPr>
            </w:pPr>
            <w:r>
              <w:rPr>
                <w:rFonts w:hint="eastAsia" w:ascii="SimHei" w:hAnsi="SimHei" w:eastAsia="黑体" w:cs="楷体"/>
                <w:b/>
                <w:kern w:val="0"/>
                <w:sz w:val="24"/>
              </w:rPr>
              <w:t>岗位</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b/>
                <w:kern w:val="0"/>
                <w:sz w:val="24"/>
              </w:rPr>
            </w:pPr>
            <w:r>
              <w:rPr>
                <w:rFonts w:hint="eastAsia" w:ascii="SimHei" w:hAnsi="SimHei" w:eastAsia="黑体" w:cs="楷体"/>
                <w:b/>
                <w:kern w:val="0"/>
                <w:sz w:val="24"/>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总经理</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500元/月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销售部（副）经理</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200元/月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销售经理</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150元/月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各部门经理（除销售部经理）、经公司批准享受补贴的其他岗位</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contextualSpacing/>
              <w:jc w:val="both"/>
              <w:textAlignment w:val="auto"/>
              <w:rPr>
                <w:rFonts w:hint="eastAsia" w:ascii="楷体" w:hAnsi="楷体" w:eastAsia="楷体" w:cs="楷体"/>
                <w:kern w:val="0"/>
                <w:sz w:val="21"/>
                <w:szCs w:val="21"/>
              </w:rPr>
            </w:pPr>
            <w:r>
              <w:rPr>
                <w:rFonts w:hint="eastAsia" w:ascii="SimHei" w:hAnsi="SimHei" w:eastAsia="黑体" w:cs="楷体"/>
                <w:kern w:val="0"/>
                <w:sz w:val="21"/>
                <w:szCs w:val="21"/>
              </w:rPr>
              <w:t>50元/月</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第十六条工龄津贴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公司对入职满一年以上的员工每年工龄补贴 50元，累计六年封顶。每年末核算，于次年1月起随当月月薪发放。</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第十七条高温补贴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参照国家有关政策及公司规定发放。</w:t>
      </w: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11" w:name="_Toc2537"/>
      <w:r>
        <w:rPr>
          <w:rFonts w:hint="eastAsia" w:ascii="SimHei" w:hAnsi="SimHei" w:eastAsia="黑体" w:cs="楷体"/>
          <w:b/>
          <w:bCs w:val="0"/>
          <w:kern w:val="2"/>
          <w:sz w:val="24"/>
          <w:szCs w:val="24"/>
          <w:lang w:val="en-US" w:eastAsia="zh-CN" w:bidi="ar-SA"/>
        </w:rPr>
        <w:t>第五章  福利</w:t>
      </w:r>
      <w:bookmarkEnd w:id="8"/>
      <w:bookmarkEnd w:id="9"/>
      <w:bookmarkEnd w:id="11"/>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员工福利分为两大类：基本福利和奖励福利。</w:t>
      </w:r>
    </w:p>
    <w:p>
      <w:pPr>
        <w:pStyle w:val="29"/>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szCs w:val="21"/>
        </w:rPr>
      </w:pPr>
      <w:r>
        <w:rPr>
          <w:rFonts w:hint="eastAsia" w:ascii="SimHei" w:hAnsi="SimHei" w:eastAsia="黑体" w:cs="楷体"/>
          <w:b/>
          <w:szCs w:val="21"/>
        </w:rPr>
        <w:t>第十八条基本福利</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基本福利指国家规定的五大社会保险：基本养老保险、失业保险、工伤保险、医疗保险、生育保险，以及假期、生日礼券、过节费等。</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color w:val="auto"/>
          <w:sz w:val="21"/>
          <w:szCs w:val="21"/>
        </w:rPr>
      </w:pPr>
      <w:r>
        <w:rPr>
          <w:rFonts w:hint="eastAsia" w:ascii="SimHei" w:hAnsi="SimHei" w:eastAsia="黑体" w:cs="楷体"/>
          <w:color w:val="auto"/>
          <w:sz w:val="21"/>
          <w:szCs w:val="21"/>
        </w:rPr>
        <w:t>1、社会保险：公司按国家法律法规及相关政策为员工办理基本养老保险、失业保险、工伤保险、医疗保险及生育保险，其中，员工个人缴纳部分由财务部在员工的薪酬中代扣。员工基本养老保险金终止、转移等事宜由行政人事部负责办理。</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2、假期：员工依法享有各类假期，除公休日与法定节假日外，还享有工伤假、婚丧假、产假、哺乳假等假期。假期的审批及假期内待遇参照《员工考勤管理制度》及相关规定执行。</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3、住房公积金：根据浙江省住房公积金管理中心的政策，公司为服务满一年、表现优秀的业务骨干、管理层建立住房公积金账户，用于员工购房或按揭购房。</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4、生日礼券：公司根据员工证件上的出生日期，于员工生日当月发放生日礼券，发放标准详见附件5《福利发放标准》。</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5、过节费：公司在端午节、中秋节等为正式员工发放过节费，同时，三八节为女员工发放福利费，发放标准详见附件5《福利发放标准》。</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szCs w:val="21"/>
        </w:rPr>
      </w:pPr>
      <w:r>
        <w:rPr>
          <w:rFonts w:hint="eastAsia" w:ascii="SimHei" w:hAnsi="SimHei" w:eastAsia="黑体" w:cs="楷体"/>
          <w:b/>
          <w:szCs w:val="21"/>
        </w:rPr>
        <w:t>第十九条奖励福利</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r>
        <w:rPr>
          <w:rFonts w:hint="eastAsia" w:ascii="SimHei" w:hAnsi="SimHei" w:eastAsia="黑体" w:cs="楷体"/>
          <w:szCs w:val="21"/>
        </w:rPr>
        <w:t>奖励福利是公司对做出特殊贡献的员工以及优秀人才的一种奖励，如在职教育等。由行政人事部根据公司员工的需求，设置具体福利项目，获奖员工根据个人需求进行选择。奖励对象由总经理办公会根据员工的年度考核结果、对公司贡献大小确定。</w:t>
      </w:r>
      <w:bookmarkStart w:id="12" w:name="_Toc312918092"/>
      <w:bookmarkStart w:id="13" w:name="_Toc310926921"/>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14" w:name="_Toc29524"/>
      <w:r>
        <w:rPr>
          <w:rFonts w:hint="eastAsia" w:ascii="SimHei" w:hAnsi="SimHei" w:eastAsia="黑体" w:cs="楷体"/>
          <w:b/>
          <w:bCs w:val="0"/>
          <w:kern w:val="2"/>
          <w:sz w:val="24"/>
          <w:szCs w:val="24"/>
          <w:lang w:val="en-US" w:eastAsia="zh-CN" w:bidi="ar-SA"/>
        </w:rPr>
        <w:t>第六章  薪酬的支付</w:t>
      </w:r>
      <w:bookmarkEnd w:id="12"/>
      <w:bookmarkEnd w:id="13"/>
      <w:bookmarkEnd w:id="14"/>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第二十条</w:t>
      </w:r>
      <w:r>
        <w:rPr>
          <w:rFonts w:hint="eastAsia" w:ascii="SimHei" w:hAnsi="SimHei" w:eastAsia="黑体" w:cs="楷体"/>
          <w:b/>
          <w:bCs/>
          <w:szCs w:val="21"/>
        </w:rPr>
        <w:t>薪酬</w:t>
      </w:r>
      <w:r>
        <w:rPr>
          <w:rFonts w:hint="eastAsia" w:ascii="SimHei" w:hAnsi="SimHei" w:eastAsia="黑体" w:cs="楷体"/>
          <w:b/>
          <w:szCs w:val="21"/>
        </w:rPr>
        <w:t>核算</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1、行政人事部依据员工考勤管理和绩效考核管理等书面信息进行薪酬核算，总经理审核、审批后，作为薪酬发放依据。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2、下列各类款项从员工薪酬中直接扣除：</w:t>
      </w:r>
    </w:p>
    <w:p>
      <w:pPr>
        <w:pageBreakBefore w:val="0"/>
        <w:tabs>
          <w:tab w:val="left" w:pos="1134"/>
          <w:tab w:val="left" w:pos="1425"/>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（1）、按国家规定缴纳的个人所得税，由公司代扣代缴；</w:t>
      </w:r>
    </w:p>
    <w:p>
      <w:pPr>
        <w:pageBreakBefore w:val="0"/>
        <w:tabs>
          <w:tab w:val="left" w:pos="1134"/>
          <w:tab w:val="left" w:pos="1425"/>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（2）、社会保险中按规定由个人承担的部分，由公司代扣代缴；</w:t>
      </w:r>
    </w:p>
    <w:p>
      <w:pPr>
        <w:pageBreakBefore w:val="0"/>
        <w:tabs>
          <w:tab w:val="left" w:pos="1134"/>
          <w:tab w:val="left" w:pos="1425"/>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（3）、应偿还的借贷款项、预支工资及代垫款项；</w:t>
      </w:r>
    </w:p>
    <w:p>
      <w:pPr>
        <w:pageBreakBefore w:val="0"/>
        <w:tabs>
          <w:tab w:val="left" w:pos="1134"/>
          <w:tab w:val="left" w:pos="1425"/>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（4）、请假期间应扣发的薪酬，具体按照《公司考勤管理制度》执行；</w:t>
      </w:r>
    </w:p>
    <w:p>
      <w:pPr>
        <w:pageBreakBefore w:val="0"/>
        <w:tabs>
          <w:tab w:val="left" w:pos="1134"/>
          <w:tab w:val="left" w:pos="1425"/>
        </w:tabs>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（5）、其他应予扣除的款项或罚款。</w:t>
      </w:r>
    </w:p>
    <w:p>
      <w:pPr>
        <w:pStyle w:val="29"/>
        <w:pageBreakBefore w:val="0"/>
        <w:tabs>
          <w:tab w:val="left" w:pos="1418"/>
        </w:tabs>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szCs w:val="21"/>
        </w:rPr>
      </w:pPr>
      <w:r>
        <w:rPr>
          <w:rFonts w:hint="eastAsia" w:ascii="SimHei" w:hAnsi="SimHei" w:eastAsia="黑体" w:cs="楷体"/>
          <w:b/>
          <w:szCs w:val="21"/>
        </w:rPr>
        <w:t>第二十一条薪酬支付</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1、月度薪酬的时间范围为每月1日至月末最后一日。</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2、月度薪酬按月发放，法定福利按规定按月支付，其他福利不定期发放。</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3、每月21日发放上月月薪，因不可抗力而无法按期发放时，须及时通知全体员工，并告知变更后的发放时间。</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4、年终绩效奖金于下年年初时一次性发放。</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bCs/>
          <w:szCs w:val="21"/>
        </w:rPr>
      </w:pPr>
      <w:r>
        <w:rPr>
          <w:rFonts w:hint="eastAsia" w:ascii="SimHei" w:hAnsi="SimHei" w:eastAsia="黑体" w:cs="楷体"/>
          <w:bCs/>
          <w:szCs w:val="21"/>
        </w:rPr>
        <w:t>5、员工薪酬支付渠道必须为公司指定的银行，初次申领工资的员工需要提前10个工作日办理好手续并将银行帐号及时告之财务部备案。</w:t>
      </w:r>
      <w:bookmarkStart w:id="15" w:name="_Toc312918093"/>
      <w:bookmarkStart w:id="16" w:name="_Toc310926922"/>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firstLine="0" w:firstLineChars="0"/>
        <w:contextualSpacing/>
        <w:jc w:val="center"/>
        <w:rPr>
          <w:rFonts w:hint="eastAsia" w:ascii="楷体" w:hAnsi="楷体" w:eastAsia="楷体" w:cs="楷体"/>
          <w:b/>
          <w:bCs w:val="0"/>
          <w:kern w:val="2"/>
          <w:sz w:val="24"/>
          <w:szCs w:val="24"/>
          <w:lang w:val="en-US" w:eastAsia="zh-CN" w:bidi="ar-SA"/>
        </w:rPr>
      </w:pPr>
      <w:bookmarkStart w:id="17" w:name="_Toc24190"/>
      <w:r>
        <w:rPr>
          <w:rFonts w:hint="eastAsia" w:ascii="SimHei" w:hAnsi="SimHei" w:eastAsia="黑体" w:cs="楷体"/>
          <w:b/>
          <w:bCs w:val="0"/>
          <w:kern w:val="2"/>
          <w:sz w:val="24"/>
          <w:szCs w:val="24"/>
          <w:lang w:val="en-US" w:eastAsia="zh-CN" w:bidi="ar-SA"/>
        </w:rPr>
        <w:t>第七章  附 则</w:t>
      </w:r>
      <w:bookmarkEnd w:id="15"/>
      <w:bookmarkEnd w:id="16"/>
      <w:bookmarkEnd w:id="17"/>
    </w:p>
    <w:p>
      <w:pPr>
        <w:pStyle w:val="29"/>
        <w:pageBreakBefore w:val="0"/>
        <w:tabs>
          <w:tab w:val="left" w:pos="1418"/>
        </w:tabs>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bCs/>
          <w:szCs w:val="21"/>
        </w:rPr>
      </w:pPr>
      <w:r>
        <w:rPr>
          <w:rFonts w:hint="eastAsia" w:ascii="SimHei" w:hAnsi="SimHei" w:eastAsia="黑体" w:cs="楷体"/>
          <w:b/>
          <w:bCs/>
          <w:szCs w:val="21"/>
        </w:rPr>
        <w:t>第二十二条本制度自发布之日起实施，原有关薪酬制度同时废止。</w:t>
      </w:r>
    </w:p>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contextualSpacing/>
        <w:jc w:val="both"/>
        <w:rPr>
          <w:rFonts w:hint="eastAsia" w:ascii="楷体" w:hAnsi="楷体" w:eastAsia="楷体" w:cs="楷体"/>
          <w:b/>
          <w:bCs/>
          <w:szCs w:val="21"/>
        </w:rPr>
      </w:pPr>
      <w:r>
        <w:rPr>
          <w:rFonts w:hint="eastAsia" w:ascii="SimHei" w:hAnsi="SimHei" w:eastAsia="黑体" w:cs="楷体"/>
          <w:b/>
          <w:bCs/>
          <w:szCs w:val="21"/>
        </w:rPr>
        <w:t>第二十三条本制度的解释权归行政人事部，修订权、废止权归总经理办公会议。</w:t>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rPr>
          <w:rFonts w:hint="eastAsia" w:ascii="楷体" w:hAnsi="楷体" w:eastAsia="楷体" w:cs="楷体"/>
          <w:szCs w:val="21"/>
        </w:rPr>
      </w:pP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18" w:name="_Toc24177"/>
      <w:r>
        <w:rPr>
          <w:rFonts w:hint="eastAsia" w:ascii="SimHei" w:hAnsi="SimHei" w:eastAsia="黑体" w:cs="楷体"/>
          <w:szCs w:val="21"/>
        </w:rPr>
        <w:t>附件1：岗位序列职级表</w:t>
      </w:r>
      <w:bookmarkEnd w:id="18"/>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19" w:name="_Toc13109"/>
      <w:r>
        <w:rPr>
          <w:rFonts w:hint="eastAsia" w:ascii="SimHei" w:hAnsi="SimHei" w:eastAsia="黑体" w:cs="楷体"/>
          <w:szCs w:val="21"/>
        </w:rPr>
        <w:t>附件2：薪酬构成表</w:t>
      </w:r>
      <w:bookmarkEnd w:id="19"/>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20" w:name="_Toc11334"/>
      <w:r>
        <w:rPr>
          <w:rFonts w:hint="eastAsia" w:ascii="SimHei" w:hAnsi="SimHei" w:eastAsia="黑体" w:cs="楷体"/>
          <w:szCs w:val="21"/>
        </w:rPr>
        <w:t>附件3：各岗位序列员工的薪酬结构表</w:t>
      </w:r>
      <w:bookmarkEnd w:id="20"/>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21" w:name="_Toc15211"/>
      <w:r>
        <w:rPr>
          <w:rFonts w:hint="eastAsia" w:ascii="SimHei" w:hAnsi="SimHei" w:eastAsia="黑体" w:cs="楷体"/>
          <w:szCs w:val="21"/>
        </w:rPr>
        <w:t>附件4：职务津贴表</w:t>
      </w:r>
      <w:bookmarkEnd w:id="21"/>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22" w:name="_Toc15780"/>
      <w:r>
        <w:rPr>
          <w:rFonts w:hint="eastAsia" w:ascii="SimHei" w:hAnsi="SimHei" w:eastAsia="黑体" w:cs="楷体"/>
          <w:szCs w:val="21"/>
        </w:rPr>
        <w:t>附件5：福利发放标准</w:t>
      </w:r>
      <w:bookmarkEnd w:id="22"/>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pPr>
      <w:bookmarkStart w:id="23" w:name="_Toc3055"/>
      <w:r>
        <w:rPr>
          <w:rFonts w:hint="eastAsia" w:ascii="SimHei" w:hAnsi="SimHei" w:eastAsia="黑体" w:cs="楷体"/>
          <w:szCs w:val="21"/>
        </w:rPr>
        <w:t>附件6：调薪申请流程</w:t>
      </w:r>
      <w:bookmarkEnd w:id="23"/>
    </w:p>
    <w:p>
      <w:pPr>
        <w:pStyle w:val="31"/>
        <w:pageBreakBefore w:val="0"/>
        <w:kinsoku/>
        <w:wordWrap/>
        <w:overflowPunct/>
        <w:topLinePunct w:val="0"/>
        <w:autoSpaceDE/>
        <w:autoSpaceDN/>
        <w:bidi w:val="0"/>
        <w:adjustRightInd/>
        <w:snapToGrid/>
        <w:spacing w:before="0" w:beforeAutospacing="0" w:afterAutospacing="0" w:line="360" w:lineRule="auto"/>
        <w:ind w:left="0" w:leftChars="0" w:right="0" w:firstLine="420" w:firstLineChars="200"/>
        <w:contextualSpacing/>
        <w:jc w:val="both"/>
        <w:outlineLvl w:val="0"/>
        <w:rPr>
          <w:rFonts w:hint="eastAsia" w:ascii="楷体" w:hAnsi="楷体" w:eastAsia="楷体" w:cs="楷体"/>
          <w:sz w:val="21"/>
          <w:szCs w:val="21"/>
        </w:rPr>
      </w:pPr>
      <w:bookmarkStart w:id="24" w:name="_Toc13912"/>
      <w:r>
        <w:rPr>
          <w:rFonts w:hint="eastAsia" w:ascii="SimHei" w:hAnsi="SimHei" w:eastAsia="黑体" w:cs="楷体"/>
          <w:sz w:val="21"/>
          <w:szCs w:val="21"/>
        </w:rPr>
        <w:t>附件7：薪酬调整审批表</w:t>
      </w:r>
      <w:bookmarkEnd w:id="24"/>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contextualSpacing/>
        <w:jc w:val="both"/>
        <w:outlineLvl w:val="0"/>
        <w:rPr>
          <w:rFonts w:hint="eastAsia" w:ascii="楷体" w:hAnsi="楷体" w:eastAsia="楷体" w:cs="楷体"/>
          <w:szCs w:val="21"/>
        </w:rPr>
        <w:sectPr>
          <w:headerReference r:id="rId3" w:type="default"/>
          <w:footerReference r:id="rId4" w:type="default"/>
          <w:pgSz w:w="11906" w:h="16838"/>
          <w:pgMar w:top="1440" w:right="1800" w:bottom="1440" w:left="1800" w:header="851" w:footer="992" w:gutter="0"/>
          <w:cols w:space="720" w:num="1"/>
          <w:docGrid w:type="lines" w:linePitch="312" w:charSpace="0"/>
        </w:sectPr>
      </w:pPr>
      <w:bookmarkStart w:id="25" w:name="_Toc31408"/>
      <w:r>
        <w:rPr>
          <w:rFonts w:hint="eastAsia" w:ascii="SimHei" w:hAnsi="SimHei" w:eastAsia="黑体" w:cs="楷体"/>
          <w:szCs w:val="21"/>
        </w:rPr>
        <w:t>附件8：薪酬等级表</w:t>
      </w:r>
      <w:bookmarkEnd w:id="25"/>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26" w:name="_Toc6306"/>
      <w:r>
        <w:rPr>
          <w:rFonts w:hint="eastAsia" w:ascii="SimHei" w:hAnsi="SimHei" w:eastAsia="黑体" w:cs="楷体"/>
          <w:b/>
          <w:bCs/>
          <w:sz w:val="24"/>
        </w:rPr>
        <w:t>附件1：岗位序列职级表</w:t>
      </w:r>
      <w:bookmarkEnd w:id="26"/>
    </w:p>
    <w:tbl>
      <w:tblPr>
        <w:tblStyle w:val="20"/>
        <w:tblpPr w:leftFromText="180" w:rightFromText="180" w:vertAnchor="page" w:horzAnchor="margin" w:tblpXSpec="center" w:tblpY="2491"/>
        <w:tblW w:w="120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7"/>
        <w:gridCol w:w="816"/>
        <w:gridCol w:w="816"/>
        <w:gridCol w:w="816"/>
        <w:gridCol w:w="816"/>
        <w:gridCol w:w="816"/>
        <w:gridCol w:w="816"/>
        <w:gridCol w:w="816"/>
        <w:gridCol w:w="816"/>
        <w:gridCol w:w="816"/>
        <w:gridCol w:w="816"/>
        <w:gridCol w:w="816"/>
        <w:gridCol w:w="816"/>
        <w:gridCol w:w="816"/>
        <w:gridCol w:w="816"/>
        <w:gridCol w:w="816"/>
        <w:gridCol w:w="816"/>
        <w:gridCol w:w="816"/>
        <w:gridCol w:w="816"/>
        <w:gridCol w:w="816"/>
        <w:gridCol w:w="816"/>
        <w:gridCol w:w="816"/>
        <w:gridCol w:w="816"/>
        <w:gridCol w:w="792"/>
        <w:gridCol w:w="24"/>
        <w:gridCol w:w="805"/>
        <w:gridCol w:w="11"/>
        <w:gridCol w:w="16"/>
        <w:gridCol w:w="800"/>
        <w:gridCol w:w="816"/>
        <w:gridCol w:w="816"/>
        <w:gridCol w:w="8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497" w:type="dxa"/>
            <w:vMerge w:val="restart"/>
            <w:tcBorders>
              <w:top w:val="single" w:color="auto" w:sz="12" w:space="0"/>
              <w:tl2br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序</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列</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岗</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等</w:t>
            </w:r>
          </w:p>
        </w:tc>
        <w:tc>
          <w:tcPr>
            <w:tcW w:w="4188" w:type="dxa"/>
            <w:gridSpan w:val="10"/>
            <w:vMerge w:val="restart"/>
            <w:tcBorders>
              <w:top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管理序列</w:t>
            </w:r>
          </w:p>
        </w:tc>
        <w:tc>
          <w:tcPr>
            <w:tcW w:w="6095" w:type="dxa"/>
            <w:gridSpan w:val="18"/>
            <w:tcBorders>
              <w:top w:val="single" w:color="auto" w:sz="12" w:space="0"/>
              <w:bottom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技术序列</w:t>
            </w:r>
          </w:p>
        </w:tc>
        <w:tc>
          <w:tcPr>
            <w:tcW w:w="1235" w:type="dxa"/>
            <w:gridSpan w:val="3"/>
            <w:tcBorders>
              <w:top w:val="single" w:color="auto" w:sz="12"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1" w:firstLineChars="200"/>
              <w:jc w:val="both"/>
              <w:rPr>
                <w:rFonts w:hint="eastAsia" w:ascii="楷体" w:hAnsi="楷体" w:eastAsia="楷体" w:cs="楷体"/>
                <w:b/>
                <w:bCs/>
                <w:kern w:val="0"/>
                <w:sz w:val="15"/>
                <w:szCs w:val="15"/>
              </w:rPr>
            </w:pPr>
            <w:r>
              <w:rPr>
                <w:rFonts w:hint="eastAsia" w:ascii="SimHei" w:hAnsi="SimHei" w:eastAsia="黑体" w:cs="楷体"/>
                <w:b/>
                <w:bCs/>
                <w:kern w:val="0"/>
                <w:sz w:val="15"/>
                <w:szCs w:val="15"/>
              </w:rPr>
              <w:t>操作序列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 w:hRule="atLeast"/>
        </w:trPr>
        <w:tc>
          <w:tcPr>
            <w:tcW w:w="497" w:type="dxa"/>
            <w:vMerge w:val="continue"/>
            <w:tcBorders>
              <w:tl2br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88" w:type="dxa"/>
            <w:gridSpan w:val="10"/>
            <w:vMerge w:val="continue"/>
            <w:shd w:val="clear" w:color="auto" w:fill="A6A6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1677" w:type="dxa"/>
            <w:gridSpan w:val="4"/>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r>
              <w:rPr>
                <w:rFonts w:hint="eastAsia" w:ascii="SimHei" w:hAnsi="SimHei" w:eastAsia="黑体" w:cs="楷体"/>
                <w:kern w:val="0"/>
                <w:sz w:val="15"/>
                <w:szCs w:val="15"/>
              </w:rPr>
              <w:t>专业类</w:t>
            </w:r>
          </w:p>
        </w:tc>
        <w:tc>
          <w:tcPr>
            <w:tcW w:w="839"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r>
              <w:rPr>
                <w:rFonts w:hint="eastAsia" w:ascii="SimHei" w:hAnsi="SimHei" w:eastAsia="黑体" w:cs="楷体"/>
                <w:kern w:val="0"/>
                <w:sz w:val="15"/>
                <w:szCs w:val="15"/>
              </w:rPr>
              <w:t>销售类</w:t>
            </w:r>
          </w:p>
        </w:tc>
        <w:tc>
          <w:tcPr>
            <w:tcW w:w="3579" w:type="dxa"/>
            <w:gridSpan w:val="1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r>
              <w:rPr>
                <w:rFonts w:hint="eastAsia" w:ascii="SimHei" w:hAnsi="SimHei" w:eastAsia="黑体" w:cs="楷体"/>
                <w:kern w:val="0"/>
                <w:sz w:val="15"/>
                <w:szCs w:val="15"/>
              </w:rPr>
              <w:t>科员类</w:t>
            </w:r>
          </w:p>
        </w:tc>
        <w:tc>
          <w:tcPr>
            <w:tcW w:w="810"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r>
              <w:rPr>
                <w:rFonts w:hint="eastAsia" w:ascii="SimHei" w:hAnsi="SimHei" w:eastAsia="黑体" w:cs="楷体"/>
                <w:kern w:val="0"/>
                <w:sz w:val="15"/>
                <w:szCs w:val="15"/>
              </w:rPr>
              <w:t>技工类</w:t>
            </w:r>
          </w:p>
        </w:tc>
        <w:tc>
          <w:tcPr>
            <w:tcW w:w="425"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r>
              <w:rPr>
                <w:rFonts w:hint="eastAsia" w:ascii="SimHei" w:hAnsi="SimHei" w:eastAsia="黑体" w:cs="楷体"/>
                <w:kern w:val="0"/>
                <w:sz w:val="15"/>
                <w:szCs w:val="15"/>
              </w:rPr>
              <w:t>普工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97"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9</w:t>
            </w:r>
          </w:p>
        </w:tc>
        <w:tc>
          <w:tcPr>
            <w:tcW w:w="417" w:type="dxa"/>
            <w:vMerge w:val="restart"/>
            <w:tcBorders>
              <w:top w:val="single" w:color="auto" w:sz="4" w:space="0"/>
            </w:tcBorders>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总经理</w:t>
            </w:r>
          </w:p>
        </w:tc>
        <w:tc>
          <w:tcPr>
            <w:tcW w:w="418"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p>
        </w:tc>
        <w:tc>
          <w:tcPr>
            <w:tcW w:w="419" w:type="dxa"/>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 xml:space="preserve"> </w:t>
            </w:r>
          </w:p>
        </w:tc>
        <w:tc>
          <w:tcPr>
            <w:tcW w:w="419" w:type="dxa"/>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tcBorders>
              <w:top w:val="single" w:color="auto" w:sz="4" w:space="0"/>
              <w:righ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p>
        </w:tc>
        <w:tc>
          <w:tcPr>
            <w:tcW w:w="419"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p>
        </w:tc>
        <w:tc>
          <w:tcPr>
            <w:tcW w:w="419" w:type="dxa"/>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38"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1"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8</w:t>
            </w:r>
          </w:p>
        </w:tc>
        <w:tc>
          <w:tcPr>
            <w:tcW w:w="417"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vMerge w:val="restart"/>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销售部经理</w:t>
            </w:r>
          </w:p>
        </w:tc>
        <w:tc>
          <w:tcPr>
            <w:tcW w:w="418" w:type="dxa"/>
            <w:tcBorders>
              <w:top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p>
        </w:tc>
        <w:tc>
          <w:tcPr>
            <w:tcW w:w="419" w:type="dxa"/>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 xml:space="preserve"> </w:t>
            </w:r>
          </w:p>
        </w:tc>
        <w:tc>
          <w:tcPr>
            <w:tcW w:w="401"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r>
              <w:rPr>
                <w:rFonts w:hint="eastAsia" w:ascii="SimHei" w:hAnsi="SimHei" w:eastAsia="黑体" w:cs="楷体"/>
                <w:kern w:val="0"/>
                <w:sz w:val="18"/>
                <w:szCs w:val="18"/>
              </w:rPr>
              <w:t xml:space="preserve"> </w:t>
            </w:r>
          </w:p>
        </w:tc>
        <w:tc>
          <w:tcPr>
            <w:tcW w:w="438" w:type="dxa"/>
            <w:tcBorders>
              <w:top w:val="single" w:color="auto" w:sz="4" w:space="0"/>
              <w:left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396" w:type="dxa"/>
            <w:tcBorders>
              <w:top w:val="single" w:color="auto" w:sz="4" w:space="0"/>
              <w:left w:val="single" w:color="auto" w:sz="4"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01"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01"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7</w:t>
            </w:r>
          </w:p>
        </w:tc>
        <w:tc>
          <w:tcPr>
            <w:tcW w:w="417"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vMerge w:val="restart"/>
            <w:shd w:val="clear" w:color="auto" w:fill="A6A6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销售部副经理</w:t>
            </w:r>
          </w:p>
        </w:tc>
        <w:tc>
          <w:tcPr>
            <w:tcW w:w="420" w:type="dxa"/>
            <w:vMerge w:val="restart"/>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产品一部经理</w:t>
            </w:r>
          </w:p>
        </w:tc>
        <w:tc>
          <w:tcPr>
            <w:tcW w:w="419" w:type="dxa"/>
            <w:vMerge w:val="restart"/>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r>
              <w:rPr>
                <w:rFonts w:hint="eastAsia" w:ascii="SimHei" w:hAnsi="SimHei" w:eastAsia="黑体" w:cs="楷体"/>
                <w:kern w:val="0"/>
                <w:sz w:val="18"/>
                <w:szCs w:val="18"/>
              </w:rPr>
              <w:t>产品二部经理</w:t>
            </w:r>
          </w:p>
        </w:tc>
        <w:tc>
          <w:tcPr>
            <w:tcW w:w="419" w:type="dxa"/>
            <w:vMerge w:val="restart"/>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sz w:val="18"/>
                <w:szCs w:val="18"/>
              </w:rPr>
              <w:t>质量管理部经理</w:t>
            </w:r>
          </w:p>
        </w:tc>
        <w:tc>
          <w:tcPr>
            <w:tcW w:w="419" w:type="dxa"/>
            <w:vMerge w:val="restart"/>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财务部经理</w:t>
            </w:r>
          </w:p>
        </w:tc>
        <w:tc>
          <w:tcPr>
            <w:tcW w:w="420" w:type="dxa"/>
            <w:vMerge w:val="restart"/>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sz w:val="18"/>
                <w:szCs w:val="18"/>
              </w:rPr>
              <w:t>采购物流部经理</w:t>
            </w:r>
          </w:p>
        </w:tc>
        <w:tc>
          <w:tcPr>
            <w:tcW w:w="419"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r>
              <w:rPr>
                <w:rFonts w:hint="eastAsia" w:ascii="SimHei" w:hAnsi="SimHei" w:eastAsia="黑体" w:cs="楷体"/>
                <w:kern w:val="0"/>
                <w:sz w:val="18"/>
                <w:szCs w:val="18"/>
              </w:rPr>
              <w:t>行政人事部经理</w:t>
            </w:r>
          </w:p>
        </w:tc>
        <w:tc>
          <w:tcPr>
            <w:tcW w:w="419"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38"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tcBorders>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6</w:t>
            </w:r>
          </w:p>
        </w:tc>
        <w:tc>
          <w:tcPr>
            <w:tcW w:w="417"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8"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vMerge w:val="continue"/>
            <w:shd w:val="clear" w:color="auto" w:fill="A6A6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vMerge w:val="continue"/>
            <w:shd w:val="clear" w:color="auto" w:fill="A6A6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highlight w:val="darkGray"/>
              </w:rPr>
            </w:pPr>
          </w:p>
        </w:tc>
        <w:tc>
          <w:tcPr>
            <w:tcW w:w="419" w:type="dxa"/>
            <w:vMerge w:val="continue"/>
            <w:shd w:val="clear" w:color="auto" w:fill="A6A6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vMerge w:val="continue"/>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vMerge w:val="continue"/>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19" w:type="dxa"/>
            <w:vMerge w:val="restart"/>
            <w:tcBorders>
              <w:top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生产主管</w:t>
            </w:r>
          </w:p>
        </w:tc>
        <w:tc>
          <w:tcPr>
            <w:tcW w:w="419" w:type="dxa"/>
            <w:vMerge w:val="restart"/>
            <w:tcBorders>
              <w:top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体系工程师</w:t>
            </w:r>
          </w:p>
        </w:tc>
        <w:tc>
          <w:tcPr>
            <w:tcW w:w="420" w:type="dxa"/>
            <w:vMerge w:val="restart"/>
            <w:tcBorders>
              <w:top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产品工程师</w:t>
            </w:r>
          </w:p>
        </w:tc>
        <w:tc>
          <w:tcPr>
            <w:tcW w:w="419" w:type="dxa"/>
            <w:vMerge w:val="restart"/>
            <w:tcBorders>
              <w:top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质量工程师</w:t>
            </w:r>
          </w:p>
        </w:tc>
        <w:tc>
          <w:tcPr>
            <w:tcW w:w="419" w:type="dxa"/>
            <w:vMerge w:val="restart"/>
            <w:tcBorders>
              <w:top w:val="single" w:color="auto" w:sz="4" w:space="0"/>
              <w:left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主办会计</w:t>
            </w:r>
          </w:p>
        </w:tc>
        <w:tc>
          <w:tcPr>
            <w:tcW w:w="401" w:type="dxa"/>
            <w:tcBorders>
              <w:top w:val="single" w:color="auto" w:sz="4" w:space="0"/>
              <w:left w:val="single" w:color="auto" w:sz="4" w:space="0"/>
              <w:righ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 xml:space="preserve"> </w:t>
            </w:r>
          </w:p>
        </w:tc>
        <w:tc>
          <w:tcPr>
            <w:tcW w:w="438"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 xml:space="preserve"> </w:t>
            </w:r>
          </w:p>
        </w:tc>
        <w:tc>
          <w:tcPr>
            <w:tcW w:w="401"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tcBorders>
              <w:top w:val="single" w:color="auto" w:sz="4" w:space="0"/>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tcBorders>
              <w:top w:val="single" w:color="auto" w:sz="4" w:space="0"/>
              <w:left w:val="single" w:color="auto" w:sz="4" w:space="0"/>
            </w:tcBorders>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tcBorders>
              <w:top w:val="single" w:color="auto" w:sz="4" w:space="0"/>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tcBorders>
              <w:top w:val="single" w:color="auto" w:sz="4" w:space="0"/>
              <w:left w:val="single" w:color="auto" w:sz="4" w:space="0"/>
              <w:bottom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tcBorders>
              <w:top w:val="single" w:color="auto" w:sz="4" w:space="0"/>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5</w:t>
            </w:r>
          </w:p>
        </w:tc>
        <w:tc>
          <w:tcPr>
            <w:tcW w:w="417"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p>
        </w:tc>
        <w:tc>
          <w:tcPr>
            <w:tcW w:w="419" w:type="dxa"/>
            <w:vMerge w:val="continue"/>
            <w:tcBorders>
              <w:bottom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bottom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vMerge w:val="continue"/>
            <w:tcBorders>
              <w:bottom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left w:val="single" w:color="auto" w:sz="4" w:space="0"/>
              <w:bottom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highlight w:val="darkGray"/>
              </w:rPr>
            </w:pPr>
          </w:p>
        </w:tc>
        <w:tc>
          <w:tcPr>
            <w:tcW w:w="420" w:type="dxa"/>
            <w:vMerge w:val="continue"/>
            <w:tcBorders>
              <w:righ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left w:val="single" w:color="auto" w:sz="4" w:space="0"/>
              <w:righ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restart"/>
            <w:tcBorders>
              <w:left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销售经理</w:t>
            </w:r>
          </w:p>
        </w:tc>
        <w:tc>
          <w:tcPr>
            <w:tcW w:w="438"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销售代表</w:t>
            </w:r>
          </w:p>
        </w:tc>
        <w:tc>
          <w:tcPr>
            <w:tcW w:w="396"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出纳</w:t>
            </w:r>
          </w:p>
        </w:tc>
        <w:tc>
          <w:tcPr>
            <w:tcW w:w="396"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销售会计</w:t>
            </w:r>
          </w:p>
        </w:tc>
        <w:tc>
          <w:tcPr>
            <w:tcW w:w="401"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成本会计</w:t>
            </w:r>
          </w:p>
        </w:tc>
        <w:tc>
          <w:tcPr>
            <w:tcW w:w="396"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人事专员</w:t>
            </w:r>
          </w:p>
        </w:tc>
        <w:tc>
          <w:tcPr>
            <w:tcW w:w="396"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企划专员</w:t>
            </w:r>
          </w:p>
        </w:tc>
        <w:tc>
          <w:tcPr>
            <w:tcW w:w="401"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采购员</w:t>
            </w:r>
          </w:p>
        </w:tc>
        <w:tc>
          <w:tcPr>
            <w:tcW w:w="396" w:type="dxa"/>
            <w:gridSpan w:val="2"/>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技术员</w:t>
            </w:r>
          </w:p>
        </w:tc>
        <w:tc>
          <w:tcPr>
            <w:tcW w:w="396" w:type="dxa"/>
            <w:gridSpan w:val="2"/>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质检员</w:t>
            </w:r>
          </w:p>
        </w:tc>
        <w:tc>
          <w:tcPr>
            <w:tcW w:w="401" w:type="dxa"/>
            <w:gridSpan w:val="2"/>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7E7E7E" w:themeColor="text1" w:themeTint="80"/>
                <w:kern w:val="0"/>
                <w:sz w:val="18"/>
                <w:szCs w:val="18"/>
                <w:highlight w:val="darkGray"/>
              </w:rPr>
            </w:pPr>
            <w:r>
              <w:rPr>
                <w:rFonts w:hint="eastAsia" w:ascii="SimHei" w:hAnsi="SimHei" w:eastAsia="黑体" w:cs="楷体"/>
                <w:kern w:val="0"/>
                <w:sz w:val="18"/>
                <w:szCs w:val="18"/>
              </w:rPr>
              <w:t>销售助理</w:t>
            </w:r>
          </w:p>
        </w:tc>
        <w:tc>
          <w:tcPr>
            <w:tcW w:w="396" w:type="dxa"/>
            <w:tcBorders>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tcBorders>
              <w:top w:val="single" w:color="auto" w:sz="4" w:space="0"/>
              <w:left w:val="single" w:color="auto" w:sz="4" w:space="0"/>
              <w:bottom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tcBorders>
              <w:top w:val="single" w:color="auto" w:sz="4" w:space="0"/>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9"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4</w:t>
            </w:r>
          </w:p>
        </w:tc>
        <w:tc>
          <w:tcPr>
            <w:tcW w:w="417"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p>
        </w:tc>
        <w:tc>
          <w:tcPr>
            <w:tcW w:w="419" w:type="dxa"/>
            <w:tcBorders>
              <w:top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vMerge w:val="continue"/>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Merge w:val="continue"/>
            <w:tcBorders>
              <w:left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38"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restart"/>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仓库管理员</w:t>
            </w:r>
          </w:p>
        </w:tc>
        <w:tc>
          <w:tcPr>
            <w:tcW w:w="414" w:type="dxa"/>
            <w:vMerge w:val="restart"/>
            <w:tcBorders>
              <w:top w:val="single" w:color="auto" w:sz="4" w:space="0"/>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模切工</w:t>
            </w:r>
          </w:p>
        </w:tc>
        <w:tc>
          <w:tcPr>
            <w:tcW w:w="425" w:type="dxa"/>
            <w:tcBorders>
              <w:top w:val="single" w:color="auto" w:sz="4" w:space="0"/>
              <w:left w:val="single" w:color="auto" w:sz="4" w:space="0"/>
              <w:bottom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3</w:t>
            </w:r>
          </w:p>
        </w:tc>
        <w:tc>
          <w:tcPr>
            <w:tcW w:w="417"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8"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p>
        </w:tc>
        <w:tc>
          <w:tcPr>
            <w:tcW w:w="419"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top w:val="single" w:color="auto" w:sz="4" w:space="0"/>
              <w:righ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top w:val="single" w:color="auto" w:sz="4" w:space="0"/>
              <w:left w:val="single" w:color="auto" w:sz="4"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0"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9" w:type="dxa"/>
            <w:tcBorders>
              <w:left w:val="single" w:color="auto" w:sz="4" w:space="0"/>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righ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38"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01" w:type="dxa"/>
            <w:gridSpan w:val="2"/>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396"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14"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p>
        </w:tc>
        <w:tc>
          <w:tcPr>
            <w:tcW w:w="425" w:type="dxa"/>
            <w:vMerge w:val="restart"/>
            <w:tcBorders>
              <w:top w:val="single" w:color="auto" w:sz="4" w:space="0"/>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普工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8" w:hRule="atLeast"/>
        </w:trPr>
        <w:tc>
          <w:tcPr>
            <w:tcW w:w="497" w:type="dxa"/>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2</w:t>
            </w:r>
          </w:p>
        </w:tc>
        <w:tc>
          <w:tcPr>
            <w:tcW w:w="417"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8"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8"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sz w:val="15"/>
                <w:szCs w:val="15"/>
              </w:rPr>
            </w:pPr>
          </w:p>
        </w:tc>
        <w:tc>
          <w:tcPr>
            <w:tcW w:w="419"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tcBorders>
              <w:left w:val="single" w:color="auto" w:sz="4" w:space="0"/>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38" w:type="dxa"/>
            <w:tcBorders>
              <w:lef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shd w:val="clear" w:color="auto" w:fill="FFFFFF"/>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tcBorders>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gridSpan w:val="2"/>
            <w:tcBorders>
              <w:left w:val="single" w:color="auto" w:sz="4" w:space="0"/>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8" w:type="dxa"/>
            <w:gridSpan w:val="3"/>
            <w:tcBorders>
              <w:left w:val="single" w:color="auto" w:sz="4" w:space="0"/>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89" w:type="dxa"/>
            <w:tcBorders>
              <w:left w:val="single" w:color="auto" w:sz="4" w:space="0"/>
              <w:right w:val="single" w:color="auto" w:sz="4"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vMerge w:val="continue"/>
            <w:tcBorders>
              <w:left w:val="single" w:color="auto" w:sz="4"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4"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5" w:type="dxa"/>
            <w:vMerge w:val="continue"/>
            <w:tcBorders>
              <w:left w:val="single" w:color="auto" w:sz="4" w:space="0"/>
            </w:tcBorders>
            <w:shd w:val="clear" w:color="auto" w:fill="A5A5A5" w:themeFill="background1" w:themeFillShade="A6"/>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497"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kern w:val="0"/>
                <w:sz w:val="18"/>
                <w:szCs w:val="18"/>
              </w:rPr>
            </w:pPr>
            <w:r>
              <w:rPr>
                <w:rFonts w:hint="eastAsia" w:ascii="SimHei" w:hAnsi="SimHei" w:eastAsia="黑体" w:cs="楷体"/>
                <w:kern w:val="0"/>
                <w:sz w:val="18"/>
                <w:szCs w:val="18"/>
              </w:rPr>
              <w:t>1</w:t>
            </w:r>
          </w:p>
        </w:tc>
        <w:tc>
          <w:tcPr>
            <w:tcW w:w="417"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8"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8"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sz w:val="15"/>
                <w:szCs w:val="15"/>
              </w:rPr>
            </w:pPr>
          </w:p>
        </w:tc>
        <w:tc>
          <w:tcPr>
            <w:tcW w:w="419"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0"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9"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38"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1"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78"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8" w:type="dxa"/>
            <w:gridSpan w:val="2"/>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07" w:type="dxa"/>
            <w:gridSpan w:val="3"/>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396" w:type="dxa"/>
            <w:tcBorders>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14" w:type="dxa"/>
            <w:tcBorders>
              <w:left w:val="single" w:color="auto" w:sz="4" w:space="0"/>
              <w:bottom w:val="single" w:color="auto" w:sz="12" w:space="0"/>
            </w:tcBorders>
            <w:shd w:val="clear" w:color="auto" w:fill="FFFFFF"/>
            <w:vAlign w:val="center"/>
          </w:tcPr>
          <w:p>
            <w:pPr>
              <w:pageBreakBefore w:val="0"/>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c>
          <w:tcPr>
            <w:tcW w:w="425" w:type="dxa"/>
            <w:vMerge w:val="continue"/>
            <w:tcBorders>
              <w:left w:val="single" w:color="auto" w:sz="4" w:space="0"/>
              <w:bottom w:val="single" w:color="auto" w:sz="12" w:space="0"/>
            </w:tcBorders>
            <w:shd w:val="clear" w:color="auto" w:fill="A5A5A5" w:themeFill="background1" w:themeFillShade="A6"/>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00" w:firstLineChars="200"/>
              <w:jc w:val="both"/>
              <w:rPr>
                <w:rFonts w:hint="eastAsia" w:ascii="楷体" w:hAnsi="楷体" w:eastAsia="楷体" w:cs="楷体"/>
                <w:kern w:val="0"/>
                <w:sz w:val="15"/>
                <w:szCs w:val="15"/>
              </w:rPr>
            </w:pP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27" w:name="_Toc7370"/>
      <w:r>
        <w:rPr>
          <w:rFonts w:hint="eastAsia" w:ascii="SimHei" w:hAnsi="SimHei" w:eastAsia="黑体" w:cs="楷体"/>
          <w:b/>
          <w:bCs/>
          <w:sz w:val="24"/>
        </w:rPr>
        <w:t>附件2：薪酬构成表</w:t>
      </w:r>
      <w:bookmarkEnd w:id="27"/>
    </w:p>
    <w:tbl>
      <w:tblPr>
        <w:tblStyle w:val="20"/>
        <w:tblpPr w:leftFromText="180" w:rightFromText="180" w:vertAnchor="text" w:horzAnchor="page" w:tblpXSpec="center" w:tblpY="159"/>
        <w:tblOverlap w:val="never"/>
        <w:tblW w:w="7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975"/>
        <w:gridCol w:w="185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809" w:type="dxa"/>
            <w:tcBorders>
              <w:top w:val="single" w:color="auto" w:sz="12" w:space="0"/>
              <w:left w:val="single" w:color="auto" w:sz="12" w:space="0"/>
              <w:bottom w:val="single" w:color="auto" w:sz="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1" w:firstLineChars="200"/>
              <w:jc w:val="both"/>
              <w:rPr>
                <w:rFonts w:hint="eastAsia" w:ascii="楷体" w:hAnsi="楷体" w:eastAsia="楷体" w:cs="楷体"/>
                <w:b/>
                <w:color w:val="auto"/>
                <w:sz w:val="18"/>
                <w:szCs w:val="18"/>
              </w:rPr>
            </w:pPr>
            <w:r>
              <w:rPr>
                <w:rFonts w:hint="eastAsia" w:ascii="SimHei" w:hAnsi="SimHei" w:eastAsia="黑体" w:cs="楷体"/>
                <w:b/>
                <w:color w:val="auto"/>
                <w:sz w:val="18"/>
                <w:szCs w:val="18"/>
              </w:rPr>
              <w:t>工资</w:t>
            </w:r>
          </w:p>
        </w:tc>
        <w:tc>
          <w:tcPr>
            <w:tcW w:w="1975" w:type="dxa"/>
            <w:tcBorders>
              <w:top w:val="single" w:color="auto" w:sz="12" w:space="0"/>
              <w:left w:val="single" w:color="auto" w:sz="1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1" w:firstLineChars="200"/>
              <w:jc w:val="both"/>
              <w:rPr>
                <w:rFonts w:hint="eastAsia" w:ascii="楷体" w:hAnsi="楷体" w:eastAsia="楷体" w:cs="楷体"/>
                <w:b/>
                <w:color w:val="auto"/>
                <w:sz w:val="18"/>
                <w:szCs w:val="18"/>
              </w:rPr>
            </w:pPr>
            <w:r>
              <w:rPr>
                <w:rFonts w:hint="eastAsia" w:ascii="SimHei" w:hAnsi="SimHei" w:eastAsia="黑体" w:cs="楷体"/>
                <w:b/>
                <w:color w:val="auto"/>
                <w:sz w:val="18"/>
                <w:szCs w:val="18"/>
              </w:rPr>
              <w:t>绩效工资</w:t>
            </w:r>
          </w:p>
        </w:tc>
        <w:tc>
          <w:tcPr>
            <w:tcW w:w="1853" w:type="dxa"/>
            <w:tcBorders>
              <w:top w:val="single" w:color="auto" w:sz="12" w:space="0"/>
              <w:left w:val="single" w:color="auto" w:sz="1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1" w:firstLineChars="200"/>
              <w:jc w:val="both"/>
              <w:rPr>
                <w:rFonts w:hint="eastAsia" w:ascii="楷体" w:hAnsi="楷体" w:eastAsia="楷体" w:cs="楷体"/>
                <w:b/>
                <w:color w:val="auto"/>
                <w:sz w:val="18"/>
                <w:szCs w:val="18"/>
              </w:rPr>
            </w:pPr>
            <w:r>
              <w:rPr>
                <w:rFonts w:hint="eastAsia" w:ascii="SimHei" w:hAnsi="SimHei" w:eastAsia="黑体" w:cs="楷体"/>
                <w:b/>
                <w:color w:val="auto"/>
                <w:sz w:val="18"/>
                <w:szCs w:val="18"/>
              </w:rPr>
              <w:t>津补贴</w:t>
            </w:r>
          </w:p>
        </w:tc>
        <w:tc>
          <w:tcPr>
            <w:tcW w:w="1417" w:type="dxa"/>
            <w:tcBorders>
              <w:top w:val="single" w:color="auto" w:sz="12" w:space="0"/>
              <w:left w:val="single" w:color="auto" w:sz="1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1" w:firstLineChars="200"/>
              <w:jc w:val="both"/>
              <w:rPr>
                <w:rFonts w:hint="eastAsia" w:ascii="楷体" w:hAnsi="楷体" w:eastAsia="楷体" w:cs="楷体"/>
                <w:b/>
                <w:color w:val="auto"/>
                <w:sz w:val="18"/>
                <w:szCs w:val="18"/>
              </w:rPr>
            </w:pPr>
            <w:r>
              <w:rPr>
                <w:rFonts w:hint="eastAsia" w:ascii="SimHei" w:hAnsi="SimHei" w:eastAsia="黑体" w:cs="楷体"/>
                <w:b/>
                <w:color w:val="auto"/>
                <w:sz w:val="18"/>
                <w:szCs w:val="18"/>
              </w:rPr>
              <w:t>福利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trPr>
        <w:tc>
          <w:tcPr>
            <w:tcW w:w="1809" w:type="dxa"/>
            <w:tcBorders>
              <w:top w:val="single" w:color="auto" w:sz="2" w:space="0"/>
              <w:left w:val="single" w:color="auto" w:sz="12" w:space="0"/>
              <w:bottom w:val="single" w:color="auto" w:sz="1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auto"/>
                <w:sz w:val="18"/>
                <w:szCs w:val="18"/>
              </w:rPr>
            </w:pPr>
            <w:r>
              <w:rPr>
                <w:rFonts w:hint="eastAsia" w:ascii="SimHei" w:hAnsi="SimHei" w:eastAsia="黑体" w:cs="楷体"/>
                <w:color w:val="auto"/>
                <w:sz w:val="18"/>
                <w:szCs w:val="18"/>
              </w:rPr>
              <w:t>月度基本工资</w:t>
            </w: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auto"/>
                <w:sz w:val="18"/>
                <w:szCs w:val="18"/>
              </w:rPr>
            </w:pPr>
          </w:p>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auto"/>
                <w:sz w:val="18"/>
                <w:szCs w:val="18"/>
              </w:rPr>
            </w:pPr>
            <w:r>
              <w:rPr>
                <w:rFonts w:hint="eastAsia" w:ascii="SimHei" w:hAnsi="SimHei" w:eastAsia="黑体" w:cs="楷体"/>
                <w:color w:val="auto"/>
                <w:sz w:val="18"/>
                <w:szCs w:val="18"/>
              </w:rPr>
              <w:t>月度岗位工资</w:t>
            </w:r>
          </w:p>
        </w:tc>
        <w:tc>
          <w:tcPr>
            <w:tcW w:w="1975" w:type="dxa"/>
            <w:tcBorders>
              <w:left w:val="single" w:color="auto" w:sz="12" w:space="0"/>
              <w:bottom w:val="single" w:color="auto" w:sz="12" w:space="0"/>
              <w:right w:val="single" w:color="auto" w:sz="12"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kern w:val="0"/>
                <w:sz w:val="18"/>
                <w:szCs w:val="18"/>
              </w:rPr>
            </w:pPr>
            <w:r>
              <w:rPr>
                <w:rFonts w:hint="eastAsia" w:ascii="SimHei" w:hAnsi="SimHei" w:eastAsia="黑体" w:cs="楷体"/>
                <w:kern w:val="0"/>
                <w:sz w:val="18"/>
                <w:szCs w:val="18"/>
              </w:rPr>
              <w:t>月度绩效工资</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kern w:val="0"/>
                <w:sz w:val="18"/>
                <w:szCs w:val="18"/>
              </w:rPr>
            </w:pP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kern w:val="0"/>
                <w:sz w:val="18"/>
                <w:szCs w:val="18"/>
              </w:rPr>
            </w:pPr>
            <w:r>
              <w:rPr>
                <w:rFonts w:hint="eastAsia" w:ascii="SimHei" w:hAnsi="SimHei" w:eastAsia="黑体" w:cs="楷体"/>
                <w:kern w:val="0"/>
                <w:sz w:val="18"/>
                <w:szCs w:val="18"/>
              </w:rPr>
              <w:t>年度绩效奖金</w:t>
            </w:r>
          </w:p>
        </w:tc>
        <w:tc>
          <w:tcPr>
            <w:tcW w:w="1853" w:type="dxa"/>
            <w:tcBorders>
              <w:left w:val="single" w:color="auto" w:sz="12" w:space="0"/>
              <w:bottom w:val="single" w:color="auto" w:sz="12" w:space="0"/>
              <w:right w:val="single" w:color="auto" w:sz="12" w:space="0"/>
            </w:tcBorders>
            <w:vAlign w:val="center"/>
          </w:tcPr>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bCs/>
                <w:kern w:val="24"/>
                <w:sz w:val="18"/>
                <w:szCs w:val="18"/>
              </w:rPr>
            </w:pPr>
            <w:r>
              <w:rPr>
                <w:rFonts w:hint="eastAsia" w:ascii="SimHei" w:hAnsi="SimHei" w:eastAsia="黑体" w:cs="楷体"/>
                <w:bCs/>
                <w:kern w:val="24"/>
                <w:sz w:val="18"/>
                <w:szCs w:val="18"/>
              </w:rPr>
              <w:t>工龄津贴</w:t>
            </w: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bCs/>
                <w:kern w:val="24"/>
                <w:sz w:val="18"/>
                <w:szCs w:val="18"/>
              </w:rPr>
            </w:pPr>
          </w:p>
          <w:p>
            <w:pPr>
              <w:pageBreakBefore w:val="0"/>
              <w:widowControl/>
              <w:kinsoku/>
              <w:wordWrap/>
              <w:overflowPunct/>
              <w:topLinePunct w:val="0"/>
              <w:autoSpaceDE/>
              <w:autoSpaceDN/>
              <w:bidi w:val="0"/>
              <w:adjustRightInd/>
              <w:snapToGrid/>
              <w:spacing w:beforeAutospacing="0" w:afterAutospacing="0" w:line="360" w:lineRule="auto"/>
              <w:ind w:left="0" w:leftChars="0" w:right="0" w:firstLine="360" w:firstLineChars="200"/>
              <w:jc w:val="both"/>
              <w:textAlignment w:val="baseline"/>
              <w:rPr>
                <w:rFonts w:hint="eastAsia" w:ascii="楷体" w:hAnsi="楷体" w:eastAsia="楷体" w:cs="楷体"/>
                <w:bCs/>
                <w:kern w:val="24"/>
                <w:sz w:val="18"/>
                <w:szCs w:val="18"/>
              </w:rPr>
            </w:pPr>
            <w:r>
              <w:rPr>
                <w:rFonts w:hint="eastAsia" w:ascii="SimHei" w:hAnsi="SimHei" w:eastAsia="黑体" w:cs="楷体"/>
                <w:bCs/>
                <w:kern w:val="24"/>
                <w:sz w:val="18"/>
                <w:szCs w:val="18"/>
              </w:rPr>
              <w:t>职务津贴</w:t>
            </w:r>
          </w:p>
        </w:tc>
        <w:tc>
          <w:tcPr>
            <w:tcW w:w="1417" w:type="dxa"/>
            <w:tcBorders>
              <w:left w:val="single" w:color="auto" w:sz="12" w:space="0"/>
              <w:bottom w:val="single" w:color="auto" w:sz="12" w:space="0"/>
              <w:right w:val="single" w:color="auto" w:sz="12" w:space="0"/>
            </w:tcBorders>
            <w:vAlign w:val="center"/>
          </w:tcPr>
          <w:p>
            <w:pPr>
              <w:pStyle w:val="17"/>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color w:val="auto"/>
                <w:sz w:val="18"/>
                <w:szCs w:val="18"/>
              </w:rPr>
            </w:pPr>
            <w:r>
              <w:rPr>
                <w:rFonts w:hint="eastAsia" w:ascii="SimHei" w:hAnsi="SimHei" w:eastAsia="黑体" w:cs="楷体"/>
                <w:color w:val="auto"/>
                <w:sz w:val="18"/>
                <w:szCs w:val="18"/>
              </w:rPr>
              <w:t>基本福利</w:t>
            </w: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r>
              <w:rPr>
                <w:rFonts w:hint="eastAsia" w:ascii="SimHei" w:hAnsi="SimHei" w:eastAsia="黑体" w:cs="楷体"/>
                <w:sz w:val="18"/>
                <w:szCs w:val="18"/>
              </w:rPr>
              <w:t>奖励福利</w:t>
            </w: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r>
              <w:rPr>
                <w:rFonts w:hint="eastAsia" w:ascii="SimHei" w:hAnsi="SimHei" w:eastAsia="黑体" w:cs="楷体"/>
                <w:sz w:val="18"/>
                <w:szCs w:val="18"/>
              </w:rPr>
              <w:t>生日礼券</w:t>
            </w:r>
          </w:p>
          <w:p>
            <w:pPr>
              <w:pageBreakBefore w:val="0"/>
              <w:kinsoku/>
              <w:wordWrap/>
              <w:overflowPunct/>
              <w:topLinePunct w:val="0"/>
              <w:autoSpaceDE/>
              <w:autoSpaceDN/>
              <w:bidi w:val="0"/>
              <w:adjustRightInd/>
              <w:snapToGrid/>
              <w:spacing w:beforeAutospacing="0" w:afterAutospacing="0" w:line="360" w:lineRule="auto"/>
              <w:ind w:left="0" w:leftChars="0" w:right="0" w:firstLine="360" w:firstLineChars="200"/>
              <w:jc w:val="both"/>
              <w:rPr>
                <w:rFonts w:hint="eastAsia" w:ascii="楷体" w:hAnsi="楷体" w:eastAsia="楷体" w:cs="楷体"/>
                <w:sz w:val="18"/>
                <w:szCs w:val="18"/>
              </w:rPr>
            </w:pPr>
            <w:r>
              <w:rPr>
                <w:rFonts w:hint="eastAsia" w:ascii="SimHei" w:hAnsi="SimHei" w:eastAsia="黑体" w:cs="楷体"/>
                <w:sz w:val="18"/>
                <w:szCs w:val="18"/>
              </w:rPr>
              <w:t>过节费</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28" w:name="_Toc22918"/>
      <w:r>
        <w:rPr>
          <w:rFonts w:hint="eastAsia" w:ascii="SimHei" w:hAnsi="SimHei" w:eastAsia="黑体" w:cs="楷体"/>
          <w:b/>
          <w:bCs/>
          <w:sz w:val="24"/>
        </w:rPr>
        <w:t>附件3：各岗位序列员工的薪酬结构表</w:t>
      </w:r>
      <w:bookmarkEnd w:id="28"/>
    </w:p>
    <w:tbl>
      <w:tblPr>
        <w:tblStyle w:val="20"/>
        <w:tblW w:w="99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6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bCs/>
                <w:sz w:val="18"/>
                <w:szCs w:val="18"/>
              </w:rPr>
            </w:pPr>
            <w:r>
              <w:rPr>
                <w:rFonts w:hint="eastAsia" w:ascii="SimHei" w:hAnsi="SimHei" w:eastAsia="黑体" w:cs="楷体"/>
                <w:b/>
                <w:bCs/>
                <w:sz w:val="18"/>
                <w:szCs w:val="18"/>
              </w:rPr>
              <w:t>岗位序列</w:t>
            </w:r>
          </w:p>
        </w:tc>
        <w:tc>
          <w:tcPr>
            <w:tcW w:w="7618"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bCs/>
                <w:sz w:val="18"/>
                <w:szCs w:val="18"/>
              </w:rPr>
            </w:pPr>
            <w:r>
              <w:rPr>
                <w:rFonts w:hint="eastAsia" w:ascii="SimHei" w:hAnsi="SimHei" w:eastAsia="黑体" w:cs="楷体"/>
                <w:b/>
                <w:bCs/>
                <w:sz w:val="18"/>
                <w:szCs w:val="18"/>
              </w:rPr>
              <w:t>薪酬结构（主要构成）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管理序列</w:t>
            </w:r>
          </w:p>
        </w:tc>
        <w:tc>
          <w:tcPr>
            <w:tcW w:w="761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月度基本工资+月度岗位工资+月度绩效工资+职务津贴+工龄工资+年终绩效奖金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技术序列（非销售类）</w:t>
            </w:r>
          </w:p>
        </w:tc>
        <w:tc>
          <w:tcPr>
            <w:tcW w:w="761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月度基本工资+月度岗位工资+月度绩效工资+工龄工资+年终绩效奖金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技术序列（销售类）</w:t>
            </w:r>
          </w:p>
        </w:tc>
        <w:tc>
          <w:tcPr>
            <w:tcW w:w="761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月度基本工资+月度岗位工资+月度绩效工资+业务提成+工龄工资+年终绩效奖金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操作序列</w:t>
            </w:r>
          </w:p>
        </w:tc>
        <w:tc>
          <w:tcPr>
            <w:tcW w:w="7618"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月度基本工资+月度岗位工资+月度绩效工资+工龄工资+年终绩效奖金</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560" w:firstLineChars="200"/>
        <w:jc w:val="both"/>
        <w:rPr>
          <w:rFonts w:hint="eastAsia" w:ascii="楷体" w:hAnsi="楷体" w:eastAsia="楷体" w:cs="楷体"/>
          <w:color w:val="000000"/>
          <w:sz w:val="28"/>
          <w:szCs w:val="28"/>
          <w:u w:val="single"/>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color w:val="000000"/>
          <w:sz w:val="24"/>
        </w:rPr>
      </w:pPr>
      <w:bookmarkStart w:id="29" w:name="_Toc24105"/>
      <w:r>
        <w:rPr>
          <w:rFonts w:hint="eastAsia" w:ascii="SimHei" w:hAnsi="SimHei" w:eastAsia="黑体" w:cs="楷体"/>
          <w:b/>
          <w:bCs/>
          <w:color w:val="000000"/>
          <w:sz w:val="24"/>
        </w:rPr>
        <w:t>附件4：职务津贴表</w:t>
      </w:r>
      <w:bookmarkEnd w:id="2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321"/>
        <w:gridCol w:w="1110"/>
        <w:gridCol w:w="1223"/>
        <w:gridCol w:w="1217"/>
        <w:gridCol w:w="1217"/>
        <w:gridCol w:w="1217"/>
        <w:gridCol w:w="121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384" w:type="dxa"/>
            <w:tcBorders>
              <w:top w:val="single" w:color="auto" w:sz="12" w:space="0"/>
              <w:left w:val="single" w:color="auto" w:sz="12" w:space="0"/>
              <w:bottom w:val="single" w:color="auto" w:sz="6" w:space="0"/>
              <w:tl2br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等级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管理序列</w:t>
            </w:r>
          </w:p>
        </w:tc>
        <w:tc>
          <w:tcPr>
            <w:tcW w:w="1144" w:type="dxa"/>
            <w:tcBorders>
              <w:top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一级</w:t>
            </w:r>
          </w:p>
        </w:tc>
        <w:tc>
          <w:tcPr>
            <w:tcW w:w="1265" w:type="dxa"/>
            <w:tcBorders>
              <w:top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二级</w:t>
            </w:r>
          </w:p>
        </w:tc>
        <w:tc>
          <w:tcPr>
            <w:tcW w:w="1265" w:type="dxa"/>
            <w:tcBorders>
              <w:top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三级</w:t>
            </w:r>
          </w:p>
        </w:tc>
        <w:tc>
          <w:tcPr>
            <w:tcW w:w="1265" w:type="dxa"/>
            <w:tcBorders>
              <w:top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四级</w:t>
            </w:r>
          </w:p>
        </w:tc>
        <w:tc>
          <w:tcPr>
            <w:tcW w:w="1265" w:type="dxa"/>
            <w:tcBorders>
              <w:top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五级</w:t>
            </w:r>
          </w:p>
        </w:tc>
        <w:tc>
          <w:tcPr>
            <w:tcW w:w="1265" w:type="dxa"/>
            <w:tcBorders>
              <w:top w:val="single" w:color="auto" w:sz="12" w:space="0"/>
              <w:bottom w:val="single" w:color="auto" w:sz="6"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六级</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5" w:hRule="atLeast"/>
          <w:jc w:val="center"/>
        </w:trPr>
        <w:tc>
          <w:tcPr>
            <w:tcW w:w="1384" w:type="dxa"/>
            <w:tcBorders>
              <w:top w:val="single" w:color="auto" w:sz="6" w:space="0"/>
              <w:left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主管</w:t>
            </w:r>
          </w:p>
        </w:tc>
        <w:tc>
          <w:tcPr>
            <w:tcW w:w="1144"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700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500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300</w:t>
            </w:r>
          </w:p>
        </w:tc>
        <w:tc>
          <w:tcPr>
            <w:tcW w:w="1265" w:type="dxa"/>
            <w:tcBorders>
              <w:top w:val="single" w:color="auto" w:sz="6" w:space="0"/>
              <w:bottom w:val="single" w:color="auto" w:sz="6"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200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384" w:type="dxa"/>
            <w:tcBorders>
              <w:top w:val="single" w:color="auto" w:sz="6" w:space="0"/>
              <w:left w:val="single" w:color="auto" w:sz="12"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经理</w:t>
            </w:r>
          </w:p>
        </w:tc>
        <w:tc>
          <w:tcPr>
            <w:tcW w:w="1144"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1200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1000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700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500</w:t>
            </w:r>
          </w:p>
        </w:tc>
        <w:tc>
          <w:tcPr>
            <w:tcW w:w="1265" w:type="dxa"/>
            <w:tcBorders>
              <w:top w:val="single" w:color="auto" w:sz="6" w:space="0"/>
              <w:bottom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300</w:t>
            </w:r>
          </w:p>
        </w:tc>
        <w:tc>
          <w:tcPr>
            <w:tcW w:w="1265" w:type="dxa"/>
            <w:tcBorders>
              <w:top w:val="single" w:color="auto" w:sz="6" w:space="0"/>
              <w:bottom w:val="single" w:color="auto" w:sz="6"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8853" w:type="dxa"/>
            <w:gridSpan w:val="7"/>
            <w:tcBorders>
              <w:top w:val="single" w:color="auto" w:sz="6" w:space="0"/>
              <w:left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1、升职调整时，津贴等级不低于原所在等级；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 w:val="20"/>
              </w:rPr>
            </w:pPr>
            <w:r>
              <w:rPr>
                <w:rFonts w:hint="eastAsia" w:ascii="SimHei" w:hAnsi="SimHei" w:eastAsia="黑体" w:cs="楷体"/>
                <w:kern w:val="0"/>
                <w:sz w:val="20"/>
              </w:rPr>
              <w:t>2、年度考核等级为S级或者连续四个月月度考核为S级，津贴等级上调一级，具体考核标准，详见《绩效管理制度》。</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30" w:name="_Toc7273"/>
      <w:r>
        <w:rPr>
          <w:rFonts w:hint="eastAsia" w:ascii="SimHei" w:hAnsi="SimHei" w:eastAsia="黑体" w:cs="楷体"/>
          <w:b/>
          <w:bCs/>
          <w:sz w:val="24"/>
        </w:rPr>
        <w:t>附件5：福利发放标准</w:t>
      </w:r>
      <w:bookmarkEnd w:id="30"/>
    </w:p>
    <w:tbl>
      <w:tblPr>
        <w:tblStyle w:val="20"/>
        <w:tblW w:w="89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96"/>
        <w:gridCol w:w="3035"/>
        <w:gridCol w:w="27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96" w:type="dxa"/>
            <w:tcBorders>
              <w:top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color w:val="auto"/>
              </w:rPr>
            </w:pPr>
            <w:r>
              <w:rPr>
                <w:rFonts w:hint="eastAsia" w:ascii="SimHei" w:hAnsi="SimHei" w:eastAsia="黑体" w:cs="楷体"/>
                <w:b/>
                <w:color w:val="auto"/>
              </w:rPr>
              <w:t>福利类别</w:t>
            </w:r>
          </w:p>
        </w:tc>
        <w:tc>
          <w:tcPr>
            <w:tcW w:w="3035" w:type="dxa"/>
            <w:tcBorders>
              <w:top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color w:val="auto"/>
              </w:rPr>
            </w:pPr>
            <w:r>
              <w:rPr>
                <w:rFonts w:hint="eastAsia" w:ascii="SimHei" w:hAnsi="SimHei" w:eastAsia="黑体" w:cs="楷体"/>
                <w:b/>
                <w:color w:val="auto"/>
              </w:rPr>
              <w:t>发放标准</w:t>
            </w:r>
          </w:p>
        </w:tc>
        <w:tc>
          <w:tcPr>
            <w:tcW w:w="2719" w:type="dxa"/>
            <w:tcBorders>
              <w:top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color w:val="auto"/>
              </w:rPr>
            </w:pPr>
            <w:r>
              <w:rPr>
                <w:rFonts w:hint="eastAsia" w:ascii="SimHei" w:hAnsi="SimHei" w:eastAsia="黑体" w:cs="楷体"/>
                <w:b/>
                <w:color w:val="auto"/>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196"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生日礼券</w:t>
            </w:r>
          </w:p>
        </w:tc>
        <w:tc>
          <w:tcPr>
            <w:tcW w:w="3035"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100元/人</w:t>
            </w:r>
          </w:p>
        </w:tc>
        <w:tc>
          <w:tcPr>
            <w:tcW w:w="2719"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196"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端午节</w:t>
            </w:r>
          </w:p>
        </w:tc>
        <w:tc>
          <w:tcPr>
            <w:tcW w:w="3035"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200元/人</w:t>
            </w:r>
          </w:p>
        </w:tc>
        <w:tc>
          <w:tcPr>
            <w:tcW w:w="2719"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6"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中秋节</w:t>
            </w:r>
          </w:p>
        </w:tc>
        <w:tc>
          <w:tcPr>
            <w:tcW w:w="3035"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200元/人</w:t>
            </w:r>
          </w:p>
        </w:tc>
        <w:tc>
          <w:tcPr>
            <w:tcW w:w="2719" w:type="dxa"/>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3196" w:type="dxa"/>
            <w:tcBorders>
              <w:bottom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三八妇女节</w:t>
            </w:r>
          </w:p>
        </w:tc>
        <w:tc>
          <w:tcPr>
            <w:tcW w:w="3035" w:type="dxa"/>
            <w:tcBorders>
              <w:bottom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200元/人</w:t>
            </w:r>
          </w:p>
        </w:tc>
        <w:tc>
          <w:tcPr>
            <w:tcW w:w="2719" w:type="dxa"/>
            <w:tcBorders>
              <w:bottom w:val="single" w:color="auto" w:sz="12" w:space="0"/>
            </w:tcBorders>
            <w:vAlign w:val="center"/>
          </w:tcPr>
          <w:p>
            <w:pPr>
              <w:pStyle w:val="17"/>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color w:val="auto"/>
              </w:rPr>
            </w:pPr>
            <w:r>
              <w:rPr>
                <w:rFonts w:hint="eastAsia" w:ascii="SimHei" w:hAnsi="SimHei" w:eastAsia="黑体" w:cs="楷体"/>
                <w:color w:val="auto"/>
              </w:rPr>
              <w:t>女员工发放</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31" w:name="_Toc18203"/>
      <w:r>
        <w:rPr>
          <w:rFonts w:hint="eastAsia" w:ascii="SimHei" w:hAnsi="SimHei" w:eastAsia="黑体" w:cs="楷体"/>
          <w:b/>
          <w:bCs/>
          <w:sz w:val="24"/>
        </w:rPr>
        <w:t>附件6：调薪申请流程</w:t>
      </w:r>
      <w:bookmarkEnd w:id="31"/>
    </w:p>
    <w:p>
      <w:pPr>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rPr>
          <w:rFonts w:hint="eastAsia" w:ascii="楷体" w:hAnsi="楷体" w:eastAsia="楷体" w:cs="楷体"/>
        </w:rPr>
      </w:pPr>
      <w:r>
        <w:rPr>
          <w:rFonts w:hint="eastAsia" w:ascii="SimHei" w:hAnsi="SimHei" w:eastAsia="黑体" w:cs="楷体"/>
        </w:rPr>
      </w: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color w:val="000000"/>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color w:val="000000"/>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color w:val="000000"/>
          <w:sz w:val="24"/>
        </w:rPr>
      </w:pPr>
      <w:bookmarkStart w:id="32" w:name="_Toc30941"/>
      <w:r>
        <w:rPr>
          <w:rFonts w:hint="eastAsia" w:ascii="SimHei" w:hAnsi="SimHei" w:eastAsia="黑体" w:cs="楷体"/>
          <w:b/>
          <w:bCs/>
          <w:color w:val="000000"/>
          <w:sz w:val="24"/>
        </w:rPr>
        <w:t>附件7：员工薪酬调整审批表</w:t>
      </w:r>
      <w:bookmarkEnd w:id="32"/>
    </w:p>
    <w:p>
      <w:pPr>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both"/>
        <w:rPr>
          <w:rFonts w:hint="eastAsia" w:ascii="楷体" w:hAnsi="楷体" w:eastAsia="楷体" w:cs="楷体"/>
          <w:b/>
          <w:bCs/>
          <w:color w:val="000000"/>
          <w:sz w:val="24"/>
        </w:rPr>
      </w:pPr>
      <w:r>
        <w:rPr>
          <w:rFonts w:hint="eastAsia" w:ascii="SimHei" w:hAnsi="SimHei" w:eastAsia="黑体" w:cs="楷体"/>
          <w:sz w:val="24"/>
        </w:rPr>
        <w:t xml:space="preserve"> 申请日期</w:t>
      </w:r>
      <w:r>
        <w:rPr>
          <w:rFonts w:hint="eastAsia" w:ascii="SimHei" w:hAnsi="SimHei" w:eastAsia="黑体" w:cs="楷体"/>
          <w:b/>
          <w:bCs/>
          <w:color w:val="000000"/>
          <w:sz w:val="24"/>
        </w:rPr>
        <w:t>：</w:t>
      </w:r>
    </w:p>
    <w:tbl>
      <w:tblPr>
        <w:tblStyle w:val="20"/>
        <w:tblW w:w="9495"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04"/>
        <w:gridCol w:w="1002"/>
        <w:gridCol w:w="415"/>
        <w:gridCol w:w="917"/>
        <w:gridCol w:w="510"/>
        <w:gridCol w:w="273"/>
        <w:gridCol w:w="710"/>
        <w:gridCol w:w="293"/>
        <w:gridCol w:w="263"/>
        <w:gridCol w:w="282"/>
        <w:gridCol w:w="11"/>
        <w:gridCol w:w="1189"/>
        <w:gridCol w:w="232"/>
        <w:gridCol w:w="172"/>
        <w:gridCol w:w="1790"/>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495" w:type="dxa"/>
            <w:gridSpan w:val="16"/>
            <w:tcBorders>
              <w:top w:val="thinThickSmallGap"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sz w:val="18"/>
                <w:szCs w:val="18"/>
              </w:rPr>
            </w:pPr>
            <w:r>
              <w:rPr>
                <w:rFonts w:hint="eastAsia" w:ascii="SimHei" w:hAnsi="SimHei" w:eastAsia="黑体" w:cs="楷体"/>
                <w:b/>
                <w:sz w:val="18"/>
                <w:szCs w:val="18"/>
              </w:rPr>
              <w:t>基本信息</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3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姓名</w:t>
            </w:r>
          </w:p>
        </w:tc>
        <w:tc>
          <w:tcPr>
            <w:tcW w:w="2844" w:type="dxa"/>
            <w:gridSpan w:val="4"/>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832" w:type="dxa"/>
            <w:gridSpan w:val="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入职时间</w:t>
            </w:r>
          </w:p>
        </w:tc>
        <w:tc>
          <w:tcPr>
            <w:tcW w:w="3383" w:type="dxa"/>
            <w:gridSpan w:val="4"/>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3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部门</w:t>
            </w:r>
          </w:p>
        </w:tc>
        <w:tc>
          <w:tcPr>
            <w:tcW w:w="2844" w:type="dxa"/>
            <w:gridSpan w:val="4"/>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832" w:type="dxa"/>
            <w:gridSpan w:val="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岗位</w:t>
            </w:r>
          </w:p>
        </w:tc>
        <w:tc>
          <w:tcPr>
            <w:tcW w:w="3383" w:type="dxa"/>
            <w:gridSpan w:val="4"/>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36"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近六个月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绩效考核分</w:t>
            </w:r>
          </w:p>
        </w:tc>
        <w:tc>
          <w:tcPr>
            <w:tcW w:w="4665" w:type="dxa"/>
            <w:gridSpan w:val="9"/>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bCs/>
                <w:sz w:val="18"/>
                <w:szCs w:val="18"/>
              </w:rPr>
            </w:pPr>
            <w:r>
              <w:rPr>
                <w:rFonts w:hint="eastAsia" w:ascii="SimHei" w:hAnsi="SimHei" w:eastAsia="黑体" w:cs="楷体"/>
                <w:sz w:val="18"/>
                <w:szCs w:val="18"/>
              </w:rPr>
              <w:t>___月 ___月 ___月 ___月 ___月 ___月</w:t>
            </w:r>
          </w:p>
        </w:tc>
        <w:tc>
          <w:tcPr>
            <w:tcW w:w="1604" w:type="dxa"/>
            <w:gridSpan w:val="4"/>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或：试用期考核分</w:t>
            </w:r>
          </w:p>
        </w:tc>
        <w:tc>
          <w:tcPr>
            <w:tcW w:w="1790" w:type="dxa"/>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36"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4665" w:type="dxa"/>
            <w:gridSpan w:val="9"/>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bCs/>
                <w:sz w:val="18"/>
                <w:szCs w:val="18"/>
              </w:rPr>
            </w:pPr>
            <w:r>
              <w:rPr>
                <w:rFonts w:hint="eastAsia" w:ascii="SimHei" w:hAnsi="SimHei" w:eastAsia="黑体" w:cs="楷体"/>
                <w:sz w:val="18"/>
                <w:szCs w:val="18"/>
              </w:rPr>
              <w:t>________________________</w:t>
            </w:r>
          </w:p>
        </w:tc>
        <w:tc>
          <w:tcPr>
            <w:tcW w:w="1604" w:type="dxa"/>
            <w:gridSpan w:val="4"/>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90" w:type="dxa"/>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3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出勤情况</w:t>
            </w:r>
          </w:p>
        </w:tc>
        <w:tc>
          <w:tcPr>
            <w:tcW w:w="2844" w:type="dxa"/>
            <w:gridSpan w:val="4"/>
            <w:tcBorders>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半年内累计请假___个工作日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是否有旷工：□无□有</w:t>
            </w:r>
          </w:p>
        </w:tc>
        <w:tc>
          <w:tcPr>
            <w:tcW w:w="1276" w:type="dxa"/>
            <w:gridSpan w:val="3"/>
            <w:tcBorders>
              <w:left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纪律情况</w:t>
            </w:r>
          </w:p>
        </w:tc>
        <w:tc>
          <w:tcPr>
            <w:tcW w:w="3939" w:type="dxa"/>
            <w:gridSpan w:val="7"/>
            <w:tcBorders>
              <w:lef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半年内是否有严重违纪：□有□无</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半年内是否被公司通报批评：□无□有</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3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其他</w:t>
            </w:r>
          </w:p>
        </w:tc>
        <w:tc>
          <w:tcPr>
            <w:tcW w:w="8059" w:type="dxa"/>
            <w:gridSpan w:val="14"/>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半年内是否有因本人的严重失职行为所造成的公司重大经济损失、企业名誉损失、安全事故等：□无□有说明：</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95" w:type="dxa"/>
            <w:gridSpan w:val="1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sz w:val="18"/>
                <w:szCs w:val="18"/>
              </w:rPr>
            </w:pPr>
            <w:r>
              <w:rPr>
                <w:rFonts w:hint="eastAsia" w:ascii="SimHei" w:hAnsi="SimHei" w:eastAsia="黑体" w:cs="楷体"/>
                <w:b/>
                <w:sz w:val="18"/>
                <w:szCs w:val="18"/>
              </w:rPr>
              <w:t>薪酬调整说明</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732" w:type="dxa"/>
            <w:vMerge w:val="restart"/>
            <w:textDirection w:val="tbRlV"/>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kern w:val="0"/>
                <w:sz w:val="18"/>
                <w:szCs w:val="18"/>
              </w:rPr>
              <w:t>调整前薪酬</w:t>
            </w:r>
          </w:p>
        </w:tc>
        <w:tc>
          <w:tcPr>
            <w:tcW w:w="2121"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月薪标准</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restart"/>
            <w:textDirection w:val="tbRlV"/>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kern w:val="0"/>
                <w:sz w:val="18"/>
                <w:szCs w:val="18"/>
              </w:rPr>
              <w:t>调整后薪酬</w:t>
            </w:r>
          </w:p>
        </w:tc>
        <w:tc>
          <w:tcPr>
            <w:tcW w:w="2270" w:type="dxa"/>
            <w:gridSpan w:val="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月薪标准</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基本工资</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基本工资</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岗位工资</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岗位工资</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绩效工资</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绩效工资</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年终绩效奖金</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年终绩效奖金</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职务津贴</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职务津贴</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32" w:type="dxa"/>
            <w:vMerge w:val="continue"/>
            <w:textDirection w:val="tbRlV"/>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121"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年合计（不含津贴、福利）</w:t>
            </w:r>
          </w:p>
        </w:tc>
        <w:tc>
          <w:tcPr>
            <w:tcW w:w="1700" w:type="dxa"/>
            <w:gridSpan w:val="3"/>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10"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2270" w:type="dxa"/>
            <w:gridSpan w:val="6"/>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年合计（不含津贴、福利）</w:t>
            </w:r>
          </w:p>
        </w:tc>
        <w:tc>
          <w:tcPr>
            <w:tcW w:w="1962"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495" w:type="dxa"/>
            <w:gridSpan w:val="1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本次薪酬调整日期：自年月日起执行</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732" w:type="dxa"/>
            <w:vMerge w:val="restart"/>
            <w:textDirection w:val="tbRlV"/>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调整类型</w:t>
            </w:r>
          </w:p>
        </w:tc>
        <w:tc>
          <w:tcPr>
            <w:tcW w:w="170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□年度调整</w:t>
            </w:r>
          </w:p>
        </w:tc>
        <w:tc>
          <w:tcPr>
            <w:tcW w:w="7057" w:type="dxa"/>
            <w:gridSpan w:val="13"/>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原因说明：</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32" w:type="dxa"/>
            <w:vMerge w:val="continue"/>
            <w:textDirection w:val="tbRlV"/>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0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□半年度调整</w:t>
            </w:r>
          </w:p>
        </w:tc>
        <w:tc>
          <w:tcPr>
            <w:tcW w:w="7057" w:type="dxa"/>
            <w:gridSpan w:val="13"/>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732"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06"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□异动调整</w:t>
            </w:r>
          </w:p>
        </w:tc>
        <w:tc>
          <w:tcPr>
            <w:tcW w:w="1332" w:type="dxa"/>
            <w:gridSpan w:val="2"/>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原岗位</w:t>
            </w:r>
          </w:p>
        </w:tc>
        <w:tc>
          <w:tcPr>
            <w:tcW w:w="2049" w:type="dxa"/>
            <w:gridSpan w:val="5"/>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482"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现岗位</w:t>
            </w:r>
          </w:p>
        </w:tc>
        <w:tc>
          <w:tcPr>
            <w:tcW w:w="2194"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732"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06"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332" w:type="dxa"/>
            <w:gridSpan w:val="2"/>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岗位调整时间</w:t>
            </w:r>
          </w:p>
        </w:tc>
        <w:tc>
          <w:tcPr>
            <w:tcW w:w="2049" w:type="dxa"/>
            <w:gridSpan w:val="5"/>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482"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是否已满三个月</w:t>
            </w:r>
          </w:p>
        </w:tc>
        <w:tc>
          <w:tcPr>
            <w:tcW w:w="2194" w:type="dxa"/>
            <w:gridSpan w:val="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□是□否</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1641" w:hRule="atLeast"/>
          <w:jc w:val="center"/>
        </w:trPr>
        <w:tc>
          <w:tcPr>
            <w:tcW w:w="732"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06"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7057" w:type="dxa"/>
            <w:gridSpan w:val="1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原因说明：</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1908" w:hRule="atLeast"/>
          <w:jc w:val="center"/>
        </w:trPr>
        <w:tc>
          <w:tcPr>
            <w:tcW w:w="732" w:type="dxa"/>
            <w:vMerge w:val="continue"/>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tc>
        <w:tc>
          <w:tcPr>
            <w:tcW w:w="1706"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□特殊调整</w:t>
            </w:r>
          </w:p>
        </w:tc>
        <w:tc>
          <w:tcPr>
            <w:tcW w:w="7057" w:type="dxa"/>
            <w:gridSpan w:val="13"/>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重大贡献描述：</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9495" w:type="dxa"/>
            <w:gridSpan w:val="1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sz w:val="18"/>
                <w:szCs w:val="18"/>
              </w:rPr>
            </w:pPr>
            <w:r>
              <w:rPr>
                <w:rFonts w:hint="eastAsia" w:ascii="SimHei" w:hAnsi="SimHei" w:eastAsia="黑体" w:cs="楷体"/>
                <w:b/>
                <w:sz w:val="18"/>
                <w:szCs w:val="18"/>
              </w:rPr>
              <w:t>行政人事部审核</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2061" w:hRule="atLeast"/>
          <w:jc w:val="center"/>
        </w:trPr>
        <w:tc>
          <w:tcPr>
            <w:tcW w:w="9495" w:type="dxa"/>
            <w:gridSpan w:val="1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是否符合《公司薪酬管理制度》规定的薪酬调整条件：□是□否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签字：</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 xml:space="preserve"> 年月 日</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9495" w:type="dxa"/>
            <w:gridSpan w:val="16"/>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b/>
                <w:sz w:val="18"/>
                <w:szCs w:val="18"/>
              </w:rPr>
            </w:pPr>
            <w:r>
              <w:rPr>
                <w:rFonts w:hint="eastAsia" w:ascii="SimHei" w:hAnsi="SimHei" w:eastAsia="黑体" w:cs="楷体"/>
                <w:b/>
                <w:sz w:val="18"/>
                <w:szCs w:val="18"/>
              </w:rPr>
              <w:t>审批意见</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1825" w:hRule="atLeast"/>
          <w:jc w:val="center"/>
        </w:trPr>
        <w:tc>
          <w:tcPr>
            <w:tcW w:w="732" w:type="dxa"/>
            <w:tcBorders>
              <w:bottom w:val="thickThinSmallGap" w:color="auto" w:sz="12" w:space="0"/>
            </w:tcBorders>
            <w:textDirection w:val="tbRlV"/>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总经理</w:t>
            </w:r>
          </w:p>
        </w:tc>
        <w:tc>
          <w:tcPr>
            <w:tcW w:w="8763" w:type="dxa"/>
            <w:gridSpan w:val="15"/>
            <w:tcBorders>
              <w:bottom w:val="thickThinSmallGap" w:color="auto" w:sz="12" w:space="0"/>
            </w:tcBorders>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 xml:space="preserve"> 签字：</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年 月 日</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rPr>
          <w:rFonts w:hint="eastAsia" w:ascii="楷体" w:hAnsi="楷体" w:eastAsia="楷体" w:cs="楷体"/>
          <w:b/>
          <w:bCs/>
          <w:sz w:val="24"/>
        </w:rPr>
      </w:pPr>
    </w:p>
    <w:p>
      <w:pPr>
        <w:pageBreakBefore w:val="0"/>
        <w:kinsoku/>
        <w:wordWrap/>
        <w:overflowPunct/>
        <w:topLinePunct w:val="0"/>
        <w:autoSpaceDE/>
        <w:autoSpaceDN/>
        <w:bidi w:val="0"/>
        <w:adjustRightInd/>
        <w:snapToGrid/>
        <w:spacing w:beforeAutospacing="0" w:afterAutospacing="0" w:line="360" w:lineRule="auto"/>
        <w:ind w:left="0" w:leftChars="0" w:right="0" w:firstLine="482" w:firstLineChars="200"/>
        <w:jc w:val="both"/>
        <w:outlineLvl w:val="0"/>
        <w:rPr>
          <w:rFonts w:hint="eastAsia" w:ascii="楷体" w:hAnsi="楷体" w:eastAsia="楷体" w:cs="楷体"/>
          <w:b/>
          <w:bCs/>
          <w:sz w:val="24"/>
        </w:rPr>
      </w:pPr>
      <w:bookmarkStart w:id="33" w:name="_Toc26497"/>
      <w:r>
        <w:rPr>
          <w:rFonts w:hint="eastAsia" w:ascii="SimHei" w:hAnsi="SimHei" w:eastAsia="黑体" w:cs="楷体"/>
          <w:b/>
          <w:bCs/>
          <w:sz w:val="24"/>
        </w:rPr>
        <w:t>附件8：薪酬等级表</w:t>
      </w:r>
      <w:bookmarkEnd w:id="33"/>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szCs w:val="21"/>
        </w:rPr>
      </w:pPr>
      <w:r>
        <w:rPr>
          <w:rFonts w:hint="eastAsia" w:ascii="SimHei" w:hAnsi="SimHei" w:eastAsia="黑体" w:cs="楷体"/>
          <w:szCs w:val="21"/>
        </w:rPr>
        <w:t>表一：薪酬等级结构图</w:t>
      </w:r>
    </w:p>
    <w:p>
      <w:pPr>
        <w:pageBreakBefore w:val="0"/>
        <w:kinsoku/>
        <w:wordWrap/>
        <w:overflowPunct/>
        <w:topLinePunct w:val="0"/>
        <w:autoSpaceDE/>
        <w:autoSpaceDN/>
        <w:bidi w:val="0"/>
        <w:adjustRightInd/>
        <w:snapToGrid/>
        <w:spacing w:beforeAutospacing="0" w:afterAutospacing="0" w:line="360" w:lineRule="auto"/>
        <w:ind w:left="0" w:leftChars="-295" w:right="0" w:hanging="619" w:hangingChars="295"/>
        <w:jc w:val="both"/>
        <w:rPr>
          <w:rFonts w:hint="eastAsia" w:ascii="楷体" w:hAnsi="楷体" w:eastAsia="楷体" w:cs="楷体"/>
        </w:rPr>
      </w:pPr>
      <w:r>
        <w:rPr>
          <w:rFonts w:hint="eastAsia" w:ascii="SimHei" w:hAnsi="SimHei" w:eastAsia="黑体" w:cs="楷体"/>
        </w:rPr>
      </w:r>
    </w:p>
    <w:p>
      <w:pPr>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jc w:val="both"/>
        <w:rPr>
          <w:rFonts w:hint="eastAsia" w:ascii="楷体" w:hAnsi="楷体" w:eastAsia="楷体" w:cs="楷体"/>
          <w:bCs/>
          <w:szCs w:val="21"/>
        </w:rPr>
      </w:pPr>
      <w:r>
        <w:rPr>
          <w:rFonts w:hint="eastAsia" w:ascii="SimHei" w:hAnsi="SimHei" w:eastAsia="黑体" w:cs="楷体"/>
          <w:bCs/>
          <w:szCs w:val="21"/>
        </w:rPr>
        <w:t>表二：薪酬等级表</w:t>
      </w:r>
    </w:p>
    <w:tbl>
      <w:tblPr>
        <w:tblStyle w:val="20"/>
        <w:tblpPr w:leftFromText="180" w:rightFromText="180" w:vertAnchor="text" w:horzAnchor="page" w:tblpXSpec="center" w:tblpY="592"/>
        <w:tblOverlap w:val="never"/>
        <w:tblW w:w="955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6"/>
        <w:gridCol w:w="957"/>
        <w:gridCol w:w="921"/>
        <w:gridCol w:w="921"/>
        <w:gridCol w:w="921"/>
        <w:gridCol w:w="921"/>
        <w:gridCol w:w="921"/>
        <w:gridCol w:w="921"/>
        <w:gridCol w:w="10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2" w:hRule="atLeast"/>
        </w:trPr>
        <w:tc>
          <w:tcPr>
            <w:tcW w:w="1986"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rPr>
            </w:r>
            <w:r>
              <w:rPr>
                <w:rFonts w:hint="eastAsia" w:ascii="SimHei" w:hAnsi="SimHei" w:eastAsia="黑体" w:cs="楷体"/>
                <w:kern w:val="0"/>
                <w:szCs w:val="21"/>
              </w:rPr>
              <w:t xml:space="preserve"> </w:t>
            </w:r>
            <w:r>
              <w:rPr>
                <w:rFonts w:hint="eastAsia" w:ascii="SimHei" w:hAnsi="SimHei" w:eastAsia="黑体" w:cs="楷体"/>
                <w:kern w:val="0"/>
                <w:szCs w:val="21"/>
                <w:lang w:val="en-US" w:eastAsia="zh-CN"/>
              </w:rPr>
              <w:t xml:space="preserve">           </w:t>
            </w:r>
            <w:r>
              <w:rPr>
                <w:rFonts w:hint="eastAsia" w:ascii="SimHei" w:hAnsi="SimHei" w:eastAsia="黑体" w:cs="楷体"/>
                <w:kern w:val="0"/>
                <w:szCs w:val="21"/>
              </w:rPr>
              <w:t>岗级</w:t>
            </w:r>
          </w:p>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210" w:firstLineChars="100"/>
              <w:jc w:val="both"/>
              <w:textAlignment w:val="auto"/>
              <w:rPr>
                <w:rFonts w:hint="eastAsia" w:ascii="楷体" w:hAnsi="楷体" w:eastAsia="楷体" w:cs="楷体"/>
                <w:szCs w:val="21"/>
              </w:rPr>
            </w:pPr>
            <w:r>
              <w:rPr>
                <w:rFonts w:hint="eastAsia" w:ascii="SimHei" w:hAnsi="SimHei" w:eastAsia="黑体" w:cs="楷体"/>
                <w:szCs w:val="21"/>
              </w:rPr>
              <w:t>薪酬标准</w:t>
            </w:r>
          </w:p>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岗等</w:t>
            </w:r>
          </w:p>
        </w:tc>
        <w:tc>
          <w:tcPr>
            <w:tcW w:w="957"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1</w:t>
            </w:r>
          </w:p>
        </w:tc>
        <w:tc>
          <w:tcPr>
            <w:tcW w:w="92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2</w:t>
            </w:r>
          </w:p>
        </w:tc>
        <w:tc>
          <w:tcPr>
            <w:tcW w:w="92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3</w:t>
            </w:r>
          </w:p>
        </w:tc>
        <w:tc>
          <w:tcPr>
            <w:tcW w:w="92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4</w:t>
            </w:r>
          </w:p>
        </w:tc>
        <w:tc>
          <w:tcPr>
            <w:tcW w:w="92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5</w:t>
            </w:r>
          </w:p>
        </w:tc>
        <w:tc>
          <w:tcPr>
            <w:tcW w:w="921" w:type="dxa"/>
            <w:tcBorders>
              <w:top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6</w:t>
            </w:r>
          </w:p>
        </w:tc>
        <w:tc>
          <w:tcPr>
            <w:tcW w:w="921" w:type="dxa"/>
            <w:tcBorders>
              <w:top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7</w:t>
            </w:r>
          </w:p>
        </w:tc>
        <w:tc>
          <w:tcPr>
            <w:tcW w:w="1089" w:type="dxa"/>
            <w:tcBorders>
              <w:top w:val="single" w:color="auto" w:sz="12" w:space="0"/>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级差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九</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14590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15640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16690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17740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18790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19840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20890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1050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八</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10940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11670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12400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13130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13860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14590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15320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750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七</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8190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8740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9290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9840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10390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10940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11490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六</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6590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6990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7390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7790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8190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8590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8990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五</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5270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5600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5930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6260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6590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6920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7250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四</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4150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4430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4710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4990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5270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5550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5830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三</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3150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3400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3650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3900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4150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4400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4650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二</w:t>
            </w:r>
          </w:p>
        </w:tc>
        <w:tc>
          <w:tcPr>
            <w:tcW w:w="957"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2460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2690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2920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3150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3380</w:t>
            </w:r>
          </w:p>
        </w:tc>
        <w:tc>
          <w:tcPr>
            <w:tcW w:w="921" w:type="dxa"/>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3610</w:t>
            </w:r>
          </w:p>
        </w:tc>
        <w:tc>
          <w:tcPr>
            <w:tcW w:w="921"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3840</w:t>
            </w:r>
          </w:p>
        </w:tc>
        <w:tc>
          <w:tcPr>
            <w:tcW w:w="108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986" w:type="dxa"/>
            <w:tcBorders>
              <w:bottom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一</w:t>
            </w:r>
          </w:p>
        </w:tc>
        <w:tc>
          <w:tcPr>
            <w:tcW w:w="957"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1830</w:t>
            </w:r>
          </w:p>
        </w:tc>
        <w:tc>
          <w:tcPr>
            <w:tcW w:w="921"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2040</w:t>
            </w:r>
          </w:p>
        </w:tc>
        <w:tc>
          <w:tcPr>
            <w:tcW w:w="921"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2250</w:t>
            </w:r>
          </w:p>
        </w:tc>
        <w:tc>
          <w:tcPr>
            <w:tcW w:w="921"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2460</w:t>
            </w:r>
          </w:p>
        </w:tc>
        <w:tc>
          <w:tcPr>
            <w:tcW w:w="921"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2670</w:t>
            </w:r>
          </w:p>
        </w:tc>
        <w:tc>
          <w:tcPr>
            <w:tcW w:w="921" w:type="dxa"/>
            <w:tcBorders>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2880</w:t>
            </w:r>
          </w:p>
        </w:tc>
        <w:tc>
          <w:tcPr>
            <w:tcW w:w="921" w:type="dxa"/>
            <w:tcBorders>
              <w:bottom w:val="single" w:color="auto" w:sz="12"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3090</w:t>
            </w:r>
          </w:p>
        </w:tc>
        <w:tc>
          <w:tcPr>
            <w:tcW w:w="1089" w:type="dxa"/>
            <w:tcBorders>
              <w:left w:val="single" w:color="auto" w:sz="4" w:space="0"/>
              <w:bottom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0" w:firstLineChars="0"/>
              <w:jc w:val="both"/>
              <w:textAlignment w:val="auto"/>
              <w:rPr>
                <w:rFonts w:hint="eastAsia" w:ascii="楷体" w:hAnsi="楷体" w:eastAsia="楷体" w:cs="楷体"/>
                <w:szCs w:val="21"/>
              </w:rPr>
            </w:pPr>
            <w:r>
              <w:rPr>
                <w:rFonts w:hint="eastAsia" w:ascii="SimHei" w:hAnsi="SimHei" w:eastAsia="黑体" w:cs="楷体"/>
                <w:szCs w:val="21"/>
              </w:rPr>
              <w:t>210</w:t>
            </w:r>
          </w:p>
        </w:tc>
      </w:tr>
    </w:tbl>
    <w:p>
      <w:pPr>
        <w:pageBreakBefore w:val="0"/>
        <w:kinsoku/>
        <w:wordWrap/>
        <w:overflowPunct/>
        <w:topLinePunct w:val="0"/>
        <w:autoSpaceDE/>
        <w:autoSpaceDN/>
        <w:bidi w:val="0"/>
        <w:adjustRightInd/>
        <w:snapToGrid/>
        <w:spacing w:beforeAutospacing="0" w:afterAutospacing="0" w:line="360" w:lineRule="auto"/>
        <w:ind w:left="0" w:leftChars="0" w:right="0" w:firstLine="422" w:firstLineChars="200"/>
        <w:jc w:val="both"/>
        <w:rPr>
          <w:rFonts w:hint="eastAsia" w:ascii="楷体" w:hAnsi="楷体" w:eastAsia="楷体" w:cs="楷体"/>
          <w:b/>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740894"/>
      <w:docPartObj>
        <w:docPartGallery w:val="autotext"/>
      </w:docPartObj>
    </w:sdtPr>
    <w:sdtContent>
      <w:p>
        <w:pPr>
          <w:pStyle w:val="14"/>
          <w:jc w:val="center"/>
        </w:pPr>
        <w:r>
          <w:fldChar w:fldCharType="begin"/>
        </w:r>
        <w:r>
          <w:instrText xml:space="preserve"> PAGE   \* MERGEFORMAT </w:instrText>
        </w:r>
        <w:r>
          <w:fldChar w:fldCharType="separate"/>
        </w:r>
        <w:r>
          <w:rPr>
            <w:lang w:val="zh-CN"/>
          </w:rPr>
          <w:t>7</w:t>
        </w:r>
        <w:r>
          <w:fldChar w:fldCharType="end"/>
        </w:r>
      </w:p>
    </w:sdtContent>
  </w:sdt>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00438"/>
    <w:multiLevelType w:val="multilevel"/>
    <w:tmpl w:val="1EB00438"/>
    <w:lvl w:ilvl="0" w:tentative="0">
      <w:start w:val="1"/>
      <w:numFmt w:val="chineseCountingThousand"/>
      <w:lvlText w:val="第%1章 "/>
      <w:lvlJc w:val="center"/>
      <w:pPr>
        <w:tabs>
          <w:tab w:val="left" w:pos="1146"/>
        </w:tabs>
        <w:ind w:left="426"/>
      </w:pPr>
      <w:rPr>
        <w:rFonts w:hint="eastAsia" w:eastAsia="黑体" w:cs="Times New Roman"/>
        <w:b/>
        <w:i w:val="0"/>
        <w:sz w:val="30"/>
      </w:rPr>
    </w:lvl>
    <w:lvl w:ilvl="1" w:tentative="0">
      <w:start w:val="1"/>
      <w:numFmt w:val="chineseCountingThousand"/>
      <w:lvlRestart w:val="0"/>
      <w:pStyle w:val="17"/>
      <w:lvlText w:val="第%2条 "/>
      <w:lvlJc w:val="left"/>
      <w:pPr>
        <w:tabs>
          <w:tab w:val="left" w:pos="851"/>
        </w:tabs>
      </w:pPr>
      <w:rPr>
        <w:rFonts w:hint="eastAsia" w:eastAsia="宋体" w:cs="Times New Roman"/>
        <w:b/>
        <w:i w:val="0"/>
        <w:color w:val="auto"/>
        <w:sz w:val="24"/>
      </w:rPr>
    </w:lvl>
    <w:lvl w:ilvl="2" w:tentative="0">
      <w:start w:val="1"/>
      <w:numFmt w:val="chineseCountingThousand"/>
      <w:pStyle w:val="11"/>
      <w:lvlText w:val="（%3）"/>
      <w:lvlJc w:val="left"/>
      <w:pPr>
        <w:tabs>
          <w:tab w:val="left" w:pos="1245"/>
        </w:tabs>
        <w:ind w:left="105" w:firstLine="420"/>
      </w:pPr>
      <w:rPr>
        <w:rFonts w:hint="eastAsia" w:cs="Times New Roman"/>
        <w:color w:val="auto"/>
        <w:sz w:val="24"/>
      </w:rPr>
    </w:lvl>
    <w:lvl w:ilvl="3" w:tentative="0">
      <w:start w:val="1"/>
      <w:numFmt w:val="decimal"/>
      <w:suff w:val="space"/>
      <w:lvlText w:val="%4. "/>
      <w:lvlJc w:val="left"/>
      <w:pPr>
        <w:ind w:firstLine="420"/>
      </w:pPr>
      <w:rPr>
        <w:rFonts w:hint="eastAsia" w:cs="Times New Roman"/>
      </w:rPr>
    </w:lvl>
    <w:lvl w:ilvl="4" w:tentative="0">
      <w:start w:val="1"/>
      <w:numFmt w:val="decimal"/>
      <w:lvlText w:val="（%5）"/>
      <w:lvlJc w:val="left"/>
      <w:pPr>
        <w:tabs>
          <w:tab w:val="left" w:pos="1500"/>
        </w:tabs>
        <w:ind w:firstLine="420"/>
      </w:pPr>
      <w:rPr>
        <w:rFonts w:hint="eastAsia" w:cs="Times New Roman"/>
      </w:rPr>
    </w:lvl>
    <w:lvl w:ilvl="5" w:tentative="0">
      <w:start w:val="1"/>
      <w:numFmt w:val="lowerLetter"/>
      <w:suff w:val="space"/>
      <w:lvlText w:val="%6. "/>
      <w:lvlJc w:val="left"/>
      <w:pPr>
        <w:ind w:firstLine="420"/>
      </w:pPr>
      <w:rPr>
        <w:rFonts w:hint="eastAsia" w:cs="Times New Roman"/>
      </w:rPr>
    </w:lvl>
    <w:lvl w:ilvl="6" w:tentative="0">
      <w:start w:val="1"/>
      <w:numFmt w:val="lowerLetter"/>
      <w:lvlText w:val="（%7）"/>
      <w:lvlJc w:val="left"/>
      <w:pPr>
        <w:tabs>
          <w:tab w:val="left" w:pos="1500"/>
        </w:tabs>
        <w:ind w:firstLine="420"/>
      </w:pPr>
      <w:rPr>
        <w:rFonts w:hint="eastAsia" w:cs="Times New Roman"/>
      </w:rPr>
    </w:lvl>
    <w:lvl w:ilvl="7" w:tentative="0">
      <w:start w:val="1"/>
      <w:numFmt w:val="lowerRoman"/>
      <w:suff w:val="space"/>
      <w:lvlText w:val="%8. "/>
      <w:lvlJc w:val="left"/>
      <w:pPr>
        <w:ind w:firstLine="420"/>
      </w:pPr>
      <w:rPr>
        <w:rFonts w:hint="eastAsia" w:cs="Times New Roman"/>
      </w:rPr>
    </w:lvl>
    <w:lvl w:ilvl="8" w:tentative="0">
      <w:start w:val="1"/>
      <w:numFmt w:val="lowerRoman"/>
      <w:lvlText w:val="（%9）"/>
      <w:lvlJc w:val="left"/>
      <w:pPr>
        <w:tabs>
          <w:tab w:val="left" w:pos="1860"/>
        </w:tabs>
        <w:ind w:firstLine="420"/>
      </w:pPr>
      <w:rPr>
        <w:rFonts w:hint="eastAsia" w:cs="Times New Roman"/>
      </w:rPr>
    </w:lvl>
  </w:abstractNum>
  <w:abstractNum w:abstractNumId="1">
    <w:nsid w:val="218F15E6"/>
    <w:multiLevelType w:val="multilevel"/>
    <w:tmpl w:val="218F15E6"/>
    <w:lvl w:ilvl="0" w:tentative="0">
      <w:start w:val="2"/>
      <w:numFmt w:val="decimal"/>
      <w:lvlText w:val="%1、"/>
      <w:lvlJc w:val="left"/>
      <w:pPr>
        <w:ind w:left="760" w:hanging="360"/>
      </w:pPr>
      <w:rPr>
        <w:rFonts w:hint="default" w:hAnsi="宋体"/>
        <w:color w:val="auto"/>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2">
    <w:nsid w:val="6A1B4BF2"/>
    <w:multiLevelType w:val="multilevel"/>
    <w:tmpl w:val="6A1B4BF2"/>
    <w:lvl w:ilvl="0" w:tentative="0">
      <w:start w:val="1"/>
      <w:numFmt w:val="japaneseCounting"/>
      <w:lvlText w:val="第%1条"/>
      <w:lvlJc w:val="left"/>
      <w:pPr>
        <w:ind w:left="720" w:hanging="720"/>
      </w:pPr>
      <w:rPr>
        <w:rFonts w:hint="default" w:cs="Times New Roman"/>
        <w:b/>
        <w:sz w:val="20"/>
        <w:szCs w:val="20"/>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47CB1"/>
    <w:rsid w:val="00010CB3"/>
    <w:rsid w:val="00014B5F"/>
    <w:rsid w:val="00021A79"/>
    <w:rsid w:val="00025261"/>
    <w:rsid w:val="00040C10"/>
    <w:rsid w:val="00062513"/>
    <w:rsid w:val="00073331"/>
    <w:rsid w:val="000801D2"/>
    <w:rsid w:val="00080AC3"/>
    <w:rsid w:val="0009568C"/>
    <w:rsid w:val="00097C62"/>
    <w:rsid w:val="000A0732"/>
    <w:rsid w:val="000A5209"/>
    <w:rsid w:val="000A6262"/>
    <w:rsid w:val="000A77BC"/>
    <w:rsid w:val="000B32C6"/>
    <w:rsid w:val="000C0251"/>
    <w:rsid w:val="000D2DC9"/>
    <w:rsid w:val="000D3D55"/>
    <w:rsid w:val="001002A3"/>
    <w:rsid w:val="001044D7"/>
    <w:rsid w:val="0011376A"/>
    <w:rsid w:val="00113994"/>
    <w:rsid w:val="0011496C"/>
    <w:rsid w:val="00114E07"/>
    <w:rsid w:val="00132786"/>
    <w:rsid w:val="00141310"/>
    <w:rsid w:val="0016548C"/>
    <w:rsid w:val="001711A3"/>
    <w:rsid w:val="0017462E"/>
    <w:rsid w:val="00177DEC"/>
    <w:rsid w:val="00183812"/>
    <w:rsid w:val="00183CCD"/>
    <w:rsid w:val="0018572A"/>
    <w:rsid w:val="00196DEF"/>
    <w:rsid w:val="00197668"/>
    <w:rsid w:val="00197D7B"/>
    <w:rsid w:val="001A1A94"/>
    <w:rsid w:val="001A44B6"/>
    <w:rsid w:val="001A4F54"/>
    <w:rsid w:val="001A57B3"/>
    <w:rsid w:val="001A66DE"/>
    <w:rsid w:val="001B5232"/>
    <w:rsid w:val="001D1E4C"/>
    <w:rsid w:val="001D24CD"/>
    <w:rsid w:val="001D41EC"/>
    <w:rsid w:val="001D4E3A"/>
    <w:rsid w:val="001D54FA"/>
    <w:rsid w:val="001D7990"/>
    <w:rsid w:val="001E1119"/>
    <w:rsid w:val="001E36D6"/>
    <w:rsid w:val="001F65C4"/>
    <w:rsid w:val="002217D6"/>
    <w:rsid w:val="00221E97"/>
    <w:rsid w:val="002268BF"/>
    <w:rsid w:val="0024190F"/>
    <w:rsid w:val="002534F1"/>
    <w:rsid w:val="00263A3E"/>
    <w:rsid w:val="00264ECF"/>
    <w:rsid w:val="002664B2"/>
    <w:rsid w:val="0027006E"/>
    <w:rsid w:val="00277E26"/>
    <w:rsid w:val="002828AE"/>
    <w:rsid w:val="0028451C"/>
    <w:rsid w:val="00285978"/>
    <w:rsid w:val="002A0DC4"/>
    <w:rsid w:val="002A7012"/>
    <w:rsid w:val="002A770C"/>
    <w:rsid w:val="002B243C"/>
    <w:rsid w:val="002B2638"/>
    <w:rsid w:val="002B2A1B"/>
    <w:rsid w:val="002D76B6"/>
    <w:rsid w:val="002E52B0"/>
    <w:rsid w:val="002E719A"/>
    <w:rsid w:val="002F155D"/>
    <w:rsid w:val="002F3ECC"/>
    <w:rsid w:val="00303036"/>
    <w:rsid w:val="00306B36"/>
    <w:rsid w:val="00321A52"/>
    <w:rsid w:val="00321C75"/>
    <w:rsid w:val="003230A4"/>
    <w:rsid w:val="00331E5A"/>
    <w:rsid w:val="00336D8A"/>
    <w:rsid w:val="00351712"/>
    <w:rsid w:val="00362FFB"/>
    <w:rsid w:val="00363144"/>
    <w:rsid w:val="0037131B"/>
    <w:rsid w:val="00381BC5"/>
    <w:rsid w:val="003A0031"/>
    <w:rsid w:val="003A0AA5"/>
    <w:rsid w:val="003A191F"/>
    <w:rsid w:val="003A7ED3"/>
    <w:rsid w:val="003B24C2"/>
    <w:rsid w:val="003B3EF1"/>
    <w:rsid w:val="003B67DC"/>
    <w:rsid w:val="003B6BBB"/>
    <w:rsid w:val="003B6E88"/>
    <w:rsid w:val="003B725C"/>
    <w:rsid w:val="003C12A6"/>
    <w:rsid w:val="003C1B28"/>
    <w:rsid w:val="003C5E7F"/>
    <w:rsid w:val="003C76B7"/>
    <w:rsid w:val="003D3614"/>
    <w:rsid w:val="003D5DA1"/>
    <w:rsid w:val="003E2424"/>
    <w:rsid w:val="003E3653"/>
    <w:rsid w:val="003F0DE1"/>
    <w:rsid w:val="003F1F20"/>
    <w:rsid w:val="003F3957"/>
    <w:rsid w:val="003F3DD0"/>
    <w:rsid w:val="00404B75"/>
    <w:rsid w:val="004071A0"/>
    <w:rsid w:val="004214D8"/>
    <w:rsid w:val="00433763"/>
    <w:rsid w:val="00457684"/>
    <w:rsid w:val="00463FCA"/>
    <w:rsid w:val="004720AA"/>
    <w:rsid w:val="004762BD"/>
    <w:rsid w:val="00476F59"/>
    <w:rsid w:val="00483785"/>
    <w:rsid w:val="00490080"/>
    <w:rsid w:val="0049106A"/>
    <w:rsid w:val="004926F0"/>
    <w:rsid w:val="004968FB"/>
    <w:rsid w:val="004A1E72"/>
    <w:rsid w:val="004B5616"/>
    <w:rsid w:val="004B5E07"/>
    <w:rsid w:val="004B5E53"/>
    <w:rsid w:val="004B7F14"/>
    <w:rsid w:val="004C2162"/>
    <w:rsid w:val="004C351A"/>
    <w:rsid w:val="004C4FA8"/>
    <w:rsid w:val="004E7395"/>
    <w:rsid w:val="00502674"/>
    <w:rsid w:val="00503CC8"/>
    <w:rsid w:val="00522AF7"/>
    <w:rsid w:val="00524F7E"/>
    <w:rsid w:val="005279EB"/>
    <w:rsid w:val="0054279C"/>
    <w:rsid w:val="00542E4F"/>
    <w:rsid w:val="005457E3"/>
    <w:rsid w:val="005525E9"/>
    <w:rsid w:val="0055309F"/>
    <w:rsid w:val="00554F5A"/>
    <w:rsid w:val="00561698"/>
    <w:rsid w:val="00565E8C"/>
    <w:rsid w:val="00567DB2"/>
    <w:rsid w:val="00575FC2"/>
    <w:rsid w:val="00584361"/>
    <w:rsid w:val="00584D90"/>
    <w:rsid w:val="00592224"/>
    <w:rsid w:val="00592279"/>
    <w:rsid w:val="0059317F"/>
    <w:rsid w:val="005979A8"/>
    <w:rsid w:val="005B718C"/>
    <w:rsid w:val="005C18B5"/>
    <w:rsid w:val="005C6DC9"/>
    <w:rsid w:val="005D0220"/>
    <w:rsid w:val="005D55D2"/>
    <w:rsid w:val="005D7BFF"/>
    <w:rsid w:val="005E2B65"/>
    <w:rsid w:val="005E40BD"/>
    <w:rsid w:val="005E4948"/>
    <w:rsid w:val="005F0641"/>
    <w:rsid w:val="00600E57"/>
    <w:rsid w:val="00602077"/>
    <w:rsid w:val="006033CA"/>
    <w:rsid w:val="0060450E"/>
    <w:rsid w:val="00611361"/>
    <w:rsid w:val="00617F29"/>
    <w:rsid w:val="00631EFF"/>
    <w:rsid w:val="006332BE"/>
    <w:rsid w:val="006526B5"/>
    <w:rsid w:val="00656DA9"/>
    <w:rsid w:val="00662465"/>
    <w:rsid w:val="00663D3D"/>
    <w:rsid w:val="00663F24"/>
    <w:rsid w:val="00667AF5"/>
    <w:rsid w:val="006743D3"/>
    <w:rsid w:val="006818E5"/>
    <w:rsid w:val="0068299D"/>
    <w:rsid w:val="006849BC"/>
    <w:rsid w:val="006871A0"/>
    <w:rsid w:val="00696E69"/>
    <w:rsid w:val="006A32F6"/>
    <w:rsid w:val="006B2B92"/>
    <w:rsid w:val="006B4CB3"/>
    <w:rsid w:val="006B7B98"/>
    <w:rsid w:val="006E7180"/>
    <w:rsid w:val="006E7440"/>
    <w:rsid w:val="006F1655"/>
    <w:rsid w:val="007075CB"/>
    <w:rsid w:val="00707D8C"/>
    <w:rsid w:val="007101BB"/>
    <w:rsid w:val="007109F5"/>
    <w:rsid w:val="00712697"/>
    <w:rsid w:val="00713D0B"/>
    <w:rsid w:val="00724322"/>
    <w:rsid w:val="00725AF1"/>
    <w:rsid w:val="007272B3"/>
    <w:rsid w:val="00747CB1"/>
    <w:rsid w:val="00750B8F"/>
    <w:rsid w:val="007539E4"/>
    <w:rsid w:val="00761732"/>
    <w:rsid w:val="00763835"/>
    <w:rsid w:val="00764514"/>
    <w:rsid w:val="00787F8D"/>
    <w:rsid w:val="007956A2"/>
    <w:rsid w:val="007A6221"/>
    <w:rsid w:val="007B4FDE"/>
    <w:rsid w:val="007C0EBA"/>
    <w:rsid w:val="007C6E06"/>
    <w:rsid w:val="007D0A58"/>
    <w:rsid w:val="007D37C2"/>
    <w:rsid w:val="007F147C"/>
    <w:rsid w:val="007F343F"/>
    <w:rsid w:val="007F5BE0"/>
    <w:rsid w:val="008048D7"/>
    <w:rsid w:val="00811F85"/>
    <w:rsid w:val="0081220C"/>
    <w:rsid w:val="00831060"/>
    <w:rsid w:val="008316BC"/>
    <w:rsid w:val="00841294"/>
    <w:rsid w:val="0084303F"/>
    <w:rsid w:val="00844523"/>
    <w:rsid w:val="00857F03"/>
    <w:rsid w:val="00864F49"/>
    <w:rsid w:val="00867C49"/>
    <w:rsid w:val="00871418"/>
    <w:rsid w:val="00881E72"/>
    <w:rsid w:val="00885030"/>
    <w:rsid w:val="00892D3B"/>
    <w:rsid w:val="008972F1"/>
    <w:rsid w:val="008A7AE6"/>
    <w:rsid w:val="008D15A6"/>
    <w:rsid w:val="008D286D"/>
    <w:rsid w:val="008D65E0"/>
    <w:rsid w:val="008E2159"/>
    <w:rsid w:val="008E3ACF"/>
    <w:rsid w:val="008E523C"/>
    <w:rsid w:val="008E5618"/>
    <w:rsid w:val="009014CB"/>
    <w:rsid w:val="0090680F"/>
    <w:rsid w:val="0093084A"/>
    <w:rsid w:val="009440E9"/>
    <w:rsid w:val="00963EBD"/>
    <w:rsid w:val="00966605"/>
    <w:rsid w:val="00967268"/>
    <w:rsid w:val="0097010C"/>
    <w:rsid w:val="009715E6"/>
    <w:rsid w:val="00973C7A"/>
    <w:rsid w:val="00974CA2"/>
    <w:rsid w:val="0097535B"/>
    <w:rsid w:val="00982353"/>
    <w:rsid w:val="00982AD4"/>
    <w:rsid w:val="009872C3"/>
    <w:rsid w:val="00994BCA"/>
    <w:rsid w:val="00997554"/>
    <w:rsid w:val="009A4BF7"/>
    <w:rsid w:val="009B2579"/>
    <w:rsid w:val="009B3E52"/>
    <w:rsid w:val="009C2A99"/>
    <w:rsid w:val="009C7491"/>
    <w:rsid w:val="009D0AB4"/>
    <w:rsid w:val="009D1B4E"/>
    <w:rsid w:val="009E19A2"/>
    <w:rsid w:val="009E4874"/>
    <w:rsid w:val="009E7644"/>
    <w:rsid w:val="009F0F08"/>
    <w:rsid w:val="009F422E"/>
    <w:rsid w:val="00A01AF3"/>
    <w:rsid w:val="00A1016F"/>
    <w:rsid w:val="00A11F8E"/>
    <w:rsid w:val="00A127A1"/>
    <w:rsid w:val="00A1486F"/>
    <w:rsid w:val="00A25FDA"/>
    <w:rsid w:val="00A27400"/>
    <w:rsid w:val="00A34886"/>
    <w:rsid w:val="00A40D99"/>
    <w:rsid w:val="00A47AED"/>
    <w:rsid w:val="00A57800"/>
    <w:rsid w:val="00A629F4"/>
    <w:rsid w:val="00A646F9"/>
    <w:rsid w:val="00A72D5C"/>
    <w:rsid w:val="00A73507"/>
    <w:rsid w:val="00A76C2D"/>
    <w:rsid w:val="00A801EA"/>
    <w:rsid w:val="00A9679C"/>
    <w:rsid w:val="00AA67C1"/>
    <w:rsid w:val="00AB2CBF"/>
    <w:rsid w:val="00AB4AB2"/>
    <w:rsid w:val="00AB759D"/>
    <w:rsid w:val="00AC38CD"/>
    <w:rsid w:val="00AC3A50"/>
    <w:rsid w:val="00AC46B4"/>
    <w:rsid w:val="00AD47BD"/>
    <w:rsid w:val="00AE4C1A"/>
    <w:rsid w:val="00AF581D"/>
    <w:rsid w:val="00B03560"/>
    <w:rsid w:val="00B074FE"/>
    <w:rsid w:val="00B10A9E"/>
    <w:rsid w:val="00B32D49"/>
    <w:rsid w:val="00B42C6D"/>
    <w:rsid w:val="00B47BF2"/>
    <w:rsid w:val="00B566B7"/>
    <w:rsid w:val="00B736B5"/>
    <w:rsid w:val="00B74CA2"/>
    <w:rsid w:val="00B84B5A"/>
    <w:rsid w:val="00B875F7"/>
    <w:rsid w:val="00B9068F"/>
    <w:rsid w:val="00B91B3E"/>
    <w:rsid w:val="00BB17F1"/>
    <w:rsid w:val="00BC1E94"/>
    <w:rsid w:val="00BC7980"/>
    <w:rsid w:val="00BD760A"/>
    <w:rsid w:val="00BE4C52"/>
    <w:rsid w:val="00BE611A"/>
    <w:rsid w:val="00BF1079"/>
    <w:rsid w:val="00BF1ABE"/>
    <w:rsid w:val="00C0007D"/>
    <w:rsid w:val="00C036ED"/>
    <w:rsid w:val="00C05419"/>
    <w:rsid w:val="00C0653B"/>
    <w:rsid w:val="00C07A8B"/>
    <w:rsid w:val="00C13E2D"/>
    <w:rsid w:val="00C17E8B"/>
    <w:rsid w:val="00C23CA6"/>
    <w:rsid w:val="00C261FD"/>
    <w:rsid w:val="00C3297E"/>
    <w:rsid w:val="00C442C9"/>
    <w:rsid w:val="00C46A14"/>
    <w:rsid w:val="00C90010"/>
    <w:rsid w:val="00CB7D30"/>
    <w:rsid w:val="00CC1536"/>
    <w:rsid w:val="00CC2124"/>
    <w:rsid w:val="00CC25DE"/>
    <w:rsid w:val="00CC32FE"/>
    <w:rsid w:val="00CC6CC9"/>
    <w:rsid w:val="00D04E63"/>
    <w:rsid w:val="00D1160D"/>
    <w:rsid w:val="00D11E21"/>
    <w:rsid w:val="00D2333D"/>
    <w:rsid w:val="00D25278"/>
    <w:rsid w:val="00D25D36"/>
    <w:rsid w:val="00D31A31"/>
    <w:rsid w:val="00D32027"/>
    <w:rsid w:val="00D3520C"/>
    <w:rsid w:val="00D43BB8"/>
    <w:rsid w:val="00D45717"/>
    <w:rsid w:val="00D47ADB"/>
    <w:rsid w:val="00D6483A"/>
    <w:rsid w:val="00D64B91"/>
    <w:rsid w:val="00D76BF8"/>
    <w:rsid w:val="00D91D55"/>
    <w:rsid w:val="00D96C32"/>
    <w:rsid w:val="00DA1E0C"/>
    <w:rsid w:val="00DA298A"/>
    <w:rsid w:val="00DC544E"/>
    <w:rsid w:val="00DD4216"/>
    <w:rsid w:val="00DD562B"/>
    <w:rsid w:val="00DD6400"/>
    <w:rsid w:val="00DE00E8"/>
    <w:rsid w:val="00DE1AAB"/>
    <w:rsid w:val="00DE240E"/>
    <w:rsid w:val="00DE370A"/>
    <w:rsid w:val="00E072D0"/>
    <w:rsid w:val="00E118B2"/>
    <w:rsid w:val="00E159B4"/>
    <w:rsid w:val="00E372C1"/>
    <w:rsid w:val="00E407B6"/>
    <w:rsid w:val="00E417CA"/>
    <w:rsid w:val="00E41BC7"/>
    <w:rsid w:val="00E45BEB"/>
    <w:rsid w:val="00E55BA9"/>
    <w:rsid w:val="00E60346"/>
    <w:rsid w:val="00E83A82"/>
    <w:rsid w:val="00E869E6"/>
    <w:rsid w:val="00E95EC5"/>
    <w:rsid w:val="00EA4268"/>
    <w:rsid w:val="00EB0B2F"/>
    <w:rsid w:val="00EB24C3"/>
    <w:rsid w:val="00EB478D"/>
    <w:rsid w:val="00EC0E27"/>
    <w:rsid w:val="00EC66A6"/>
    <w:rsid w:val="00ED5536"/>
    <w:rsid w:val="00ED6B95"/>
    <w:rsid w:val="00EE0914"/>
    <w:rsid w:val="00EE131E"/>
    <w:rsid w:val="00EE172E"/>
    <w:rsid w:val="00EF22A1"/>
    <w:rsid w:val="00EF5F78"/>
    <w:rsid w:val="00F12132"/>
    <w:rsid w:val="00F12E65"/>
    <w:rsid w:val="00F345EC"/>
    <w:rsid w:val="00F359C8"/>
    <w:rsid w:val="00F45571"/>
    <w:rsid w:val="00F521D9"/>
    <w:rsid w:val="00F561FE"/>
    <w:rsid w:val="00F6016F"/>
    <w:rsid w:val="00F603B6"/>
    <w:rsid w:val="00F61414"/>
    <w:rsid w:val="00F65D3B"/>
    <w:rsid w:val="00F7165F"/>
    <w:rsid w:val="00F72238"/>
    <w:rsid w:val="00F93836"/>
    <w:rsid w:val="00F95E3F"/>
    <w:rsid w:val="00FC5C24"/>
    <w:rsid w:val="00FC7C7C"/>
    <w:rsid w:val="00FE674B"/>
    <w:rsid w:val="0218777D"/>
    <w:rsid w:val="02FA7D70"/>
    <w:rsid w:val="095C7DBD"/>
    <w:rsid w:val="09B43CFC"/>
    <w:rsid w:val="0EF0290F"/>
    <w:rsid w:val="10165F74"/>
    <w:rsid w:val="135D1254"/>
    <w:rsid w:val="15BC3411"/>
    <w:rsid w:val="1A4B52AF"/>
    <w:rsid w:val="1B16685E"/>
    <w:rsid w:val="1C4A05F8"/>
    <w:rsid w:val="1DB34347"/>
    <w:rsid w:val="1EAD7DE2"/>
    <w:rsid w:val="1F8E2953"/>
    <w:rsid w:val="21E21B23"/>
    <w:rsid w:val="24D25A79"/>
    <w:rsid w:val="26D07ABD"/>
    <w:rsid w:val="28C66BC7"/>
    <w:rsid w:val="2CA3594A"/>
    <w:rsid w:val="2E7B2FD1"/>
    <w:rsid w:val="2FDC1914"/>
    <w:rsid w:val="383374BF"/>
    <w:rsid w:val="3E47743A"/>
    <w:rsid w:val="3E964C3B"/>
    <w:rsid w:val="42F83EEA"/>
    <w:rsid w:val="436F06B1"/>
    <w:rsid w:val="459270B2"/>
    <w:rsid w:val="488C0094"/>
    <w:rsid w:val="494D69BC"/>
    <w:rsid w:val="4CB107E4"/>
    <w:rsid w:val="504D32D6"/>
    <w:rsid w:val="5E7C0E8F"/>
    <w:rsid w:val="60093A0A"/>
    <w:rsid w:val="641536BE"/>
    <w:rsid w:val="648065F1"/>
    <w:rsid w:val="66297A30"/>
    <w:rsid w:val="6836320A"/>
    <w:rsid w:val="73062743"/>
    <w:rsid w:val="75C036B2"/>
    <w:rsid w:val="75C651BD"/>
    <w:rsid w:val="760268A8"/>
    <w:rsid w:val="77997C43"/>
    <w:rsid w:val="77FB0C35"/>
    <w:rsid w:val="7C985AF7"/>
    <w:rsid w:val="7CA3770C"/>
    <w:rsid w:val="7E2E23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Elbow Connector 1064"/>
        <o:r id="V:Rule2" type="connector" idref="#Elbow Connector 1065"/>
        <o:r id="V:Rule3" type="connector" idref="#Elbow Connector 1067"/>
        <o:r id="V:Rule4" type="connector" idref="#Straight Connector 1071"/>
        <o:r id="V:Rule5" type="connector" idref="#Elbow Connector 1075"/>
        <o:r id="V:Rule6" type="connector" idref="#Elbow Connector 1076"/>
        <o:r id="V:Rule7" type="connector" idref="#Elbow Connector 107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unhideWhenUsed="0" w:uiPriority="99" w:semiHidden="0" w:name="header"/>
    <w:lsdException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99" w:semiHidden="0" w:name="List"/>
    <w:lsdException w:uiPriority="99" w:name="List Bullet"/>
    <w:lsdException w:uiPriority="99" w:name="List Number"/>
    <w:lsdException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8"/>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semiHidden/>
    <w:unhideWhenUsed/>
    <w:qFormat/>
    <w:locked/>
    <w:uiPriority w:val="0"/>
    <w:pPr>
      <w:keepNext/>
      <w:keepLines/>
      <w:spacing w:before="260" w:after="260" w:line="416" w:lineRule="auto"/>
      <w:outlineLvl w:val="2"/>
    </w:pPr>
    <w:rPr>
      <w:b/>
      <w:bCs/>
      <w:sz w:val="32"/>
      <w:szCs w:val="32"/>
    </w:rPr>
  </w:style>
  <w:style w:type="paragraph" w:styleId="5">
    <w:name w:val="heading 4"/>
    <w:basedOn w:val="1"/>
    <w:next w:val="1"/>
    <w:link w:val="39"/>
    <w:semiHidden/>
    <w:unhideWhenUsed/>
    <w:qFormat/>
    <w:locked/>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0"/>
    <w:semiHidden/>
    <w:unhideWhenUsed/>
    <w:qFormat/>
    <w:locked/>
    <w:uiPriority w:val="0"/>
    <w:pPr>
      <w:keepNext/>
      <w:keepLines/>
      <w:spacing w:before="280" w:after="290" w:line="376" w:lineRule="auto"/>
      <w:outlineLvl w:val="4"/>
    </w:pPr>
    <w:rPr>
      <w:b/>
      <w:bCs/>
      <w:sz w:val="28"/>
      <w:szCs w:val="28"/>
    </w:rPr>
  </w:style>
  <w:style w:type="paragraph" w:styleId="7">
    <w:name w:val="heading 6"/>
    <w:basedOn w:val="1"/>
    <w:next w:val="1"/>
    <w:link w:val="41"/>
    <w:semiHidden/>
    <w:unhideWhenUsed/>
    <w:qFormat/>
    <w:locked/>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42"/>
    <w:semiHidden/>
    <w:unhideWhenUsed/>
    <w:qFormat/>
    <w:locked/>
    <w:uiPriority w:val="0"/>
    <w:pPr>
      <w:keepNext/>
      <w:keepLines/>
      <w:spacing w:before="240" w:after="64" w:line="320" w:lineRule="auto"/>
      <w:outlineLvl w:val="6"/>
    </w:pPr>
    <w:rPr>
      <w:b/>
      <w:bCs/>
      <w:sz w:val="24"/>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9">
    <w:name w:val="caption"/>
    <w:basedOn w:val="1"/>
    <w:next w:val="1"/>
    <w:qFormat/>
    <w:uiPriority w:val="99"/>
    <w:rPr>
      <w:rFonts w:ascii="Cambria" w:hAnsi="Cambria" w:eastAsia="黑体"/>
      <w:sz w:val="20"/>
      <w:szCs w:val="20"/>
    </w:rPr>
  </w:style>
  <w:style w:type="paragraph" w:styleId="10">
    <w:name w:val="annotation text"/>
    <w:basedOn w:val="1"/>
    <w:link w:val="33"/>
    <w:semiHidden/>
    <w:uiPriority w:val="99"/>
    <w:pPr>
      <w:jc w:val="left"/>
    </w:pPr>
  </w:style>
  <w:style w:type="paragraph" w:styleId="11">
    <w:name w:val="List 2"/>
    <w:basedOn w:val="1"/>
    <w:uiPriority w:val="99"/>
    <w:pPr>
      <w:numPr>
        <w:ilvl w:val="2"/>
        <w:numId w:val="1"/>
      </w:numPr>
      <w:tabs>
        <w:tab w:val="left" w:pos="1146"/>
      </w:tabs>
      <w:spacing w:line="500" w:lineRule="exact"/>
    </w:pPr>
    <w:rPr>
      <w:color w:val="000000"/>
      <w:sz w:val="24"/>
    </w:rPr>
  </w:style>
  <w:style w:type="paragraph" w:styleId="12">
    <w:name w:val="toc 3"/>
    <w:basedOn w:val="1"/>
    <w:next w:val="1"/>
    <w:unhideWhenUsed/>
    <w:qFormat/>
    <w:locked/>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Balloon Text"/>
    <w:basedOn w:val="1"/>
    <w:link w:val="26"/>
    <w:uiPriority w:val="99"/>
    <w:rPr>
      <w:sz w:val="18"/>
      <w:szCs w:val="18"/>
    </w:rPr>
  </w:style>
  <w:style w:type="paragraph" w:styleId="14">
    <w:name w:val="footer"/>
    <w:basedOn w:val="1"/>
    <w:link w:val="27"/>
    <w:uiPriority w:val="99"/>
    <w:pPr>
      <w:tabs>
        <w:tab w:val="center" w:pos="4153"/>
        <w:tab w:val="right" w:pos="8306"/>
      </w:tabs>
      <w:snapToGrid w:val="0"/>
      <w:jc w:val="left"/>
    </w:pPr>
    <w:rPr>
      <w:sz w:val="18"/>
      <w:szCs w:val="18"/>
    </w:rPr>
  </w:style>
  <w:style w:type="paragraph" w:styleId="15">
    <w:name w:val="header"/>
    <w:basedOn w:val="1"/>
    <w:link w:val="28"/>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left" w:pos="1050"/>
        <w:tab w:val="right" w:leader="dot" w:pos="8296"/>
      </w:tabs>
      <w:spacing w:line="360" w:lineRule="auto"/>
      <w:contextualSpacing/>
      <w:jc w:val="left"/>
    </w:pPr>
    <w:rPr>
      <w:rFonts w:ascii="宋体" w:cs="宋体"/>
      <w:szCs w:val="21"/>
    </w:rPr>
  </w:style>
  <w:style w:type="paragraph" w:styleId="17">
    <w:name w:val="List"/>
    <w:basedOn w:val="1"/>
    <w:uiPriority w:val="99"/>
    <w:pPr>
      <w:numPr>
        <w:ilvl w:val="1"/>
        <w:numId w:val="1"/>
      </w:numPr>
      <w:tabs>
        <w:tab w:val="left" w:pos="1146"/>
      </w:tabs>
      <w:spacing w:line="500" w:lineRule="exact"/>
    </w:pPr>
    <w:rPr>
      <w:color w:val="000000"/>
      <w:sz w:val="24"/>
    </w:rPr>
  </w:style>
  <w:style w:type="paragraph" w:styleId="18">
    <w:name w:val="toc 2"/>
    <w:basedOn w:val="1"/>
    <w:next w:val="1"/>
    <w:unhideWhenUsed/>
    <w:qFormat/>
    <w:locked/>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annotation subject"/>
    <w:basedOn w:val="10"/>
    <w:next w:val="10"/>
    <w:link w:val="34"/>
    <w:semiHidden/>
    <w:uiPriority w:val="99"/>
    <w:rPr>
      <w:b/>
      <w:bCs/>
    </w:rPr>
  </w:style>
  <w:style w:type="table" w:styleId="21">
    <w:name w:val="Table Grid"/>
    <w:basedOn w:val="20"/>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iPriority w:val="99"/>
    <w:rPr>
      <w:rFonts w:cs="Times New Roman"/>
      <w:color w:val="0000FF"/>
      <w:u w:val="single"/>
    </w:rPr>
  </w:style>
  <w:style w:type="character" w:styleId="24">
    <w:name w:val="annotation reference"/>
    <w:basedOn w:val="22"/>
    <w:semiHidden/>
    <w:uiPriority w:val="99"/>
    <w:rPr>
      <w:rFonts w:cs="Times New Roman"/>
      <w:sz w:val="21"/>
      <w:szCs w:val="21"/>
    </w:rPr>
  </w:style>
  <w:style w:type="character" w:customStyle="1" w:styleId="25">
    <w:name w:val="标题 1 Char"/>
    <w:basedOn w:val="22"/>
    <w:link w:val="2"/>
    <w:locked/>
    <w:uiPriority w:val="99"/>
    <w:rPr>
      <w:rFonts w:ascii="宋体" w:hAnsi="宋体" w:eastAsia="宋体" w:cs="宋体"/>
      <w:b/>
      <w:bCs/>
      <w:kern w:val="36"/>
      <w:sz w:val="48"/>
      <w:szCs w:val="48"/>
    </w:rPr>
  </w:style>
  <w:style w:type="character" w:customStyle="1" w:styleId="26">
    <w:name w:val="批注框文本 Char"/>
    <w:basedOn w:val="22"/>
    <w:link w:val="13"/>
    <w:semiHidden/>
    <w:locked/>
    <w:uiPriority w:val="99"/>
    <w:rPr>
      <w:rFonts w:ascii="Times New Roman" w:hAnsi="Times New Roman" w:eastAsia="宋体" w:cs="Times New Roman"/>
      <w:sz w:val="18"/>
      <w:szCs w:val="18"/>
    </w:rPr>
  </w:style>
  <w:style w:type="character" w:customStyle="1" w:styleId="27">
    <w:name w:val="页脚 Char"/>
    <w:basedOn w:val="22"/>
    <w:link w:val="14"/>
    <w:locked/>
    <w:uiPriority w:val="99"/>
    <w:rPr>
      <w:rFonts w:cs="Times New Roman"/>
      <w:sz w:val="18"/>
      <w:szCs w:val="18"/>
    </w:rPr>
  </w:style>
  <w:style w:type="character" w:customStyle="1" w:styleId="28">
    <w:name w:val="页眉 Char"/>
    <w:basedOn w:val="22"/>
    <w:link w:val="15"/>
    <w:semiHidden/>
    <w:locked/>
    <w:uiPriority w:val="99"/>
    <w:rPr>
      <w:rFonts w:cs="Times New Roman"/>
      <w:sz w:val="18"/>
      <w:szCs w:val="18"/>
    </w:rPr>
  </w:style>
  <w:style w:type="paragraph" w:customStyle="1" w:styleId="29">
    <w:name w:val="列出段落1"/>
    <w:basedOn w:val="1"/>
    <w:uiPriority w:val="99"/>
    <w:pPr>
      <w:ind w:firstLine="420" w:firstLineChars="200"/>
    </w:pPr>
    <w:rPr>
      <w:rFonts w:ascii="Calibri" w:hAnsi="Calibri"/>
      <w:szCs w:val="22"/>
    </w:rPr>
  </w:style>
  <w:style w:type="paragraph" w:customStyle="1" w:styleId="30">
    <w:name w:val="列出段落2"/>
    <w:basedOn w:val="1"/>
    <w:uiPriority w:val="99"/>
    <w:pPr>
      <w:ind w:firstLine="420" w:firstLineChars="200"/>
    </w:pPr>
    <w:rPr>
      <w:rFonts w:ascii="Calibri" w:hAnsi="Calibri"/>
      <w:szCs w:val="22"/>
    </w:rPr>
  </w:style>
  <w:style w:type="paragraph" w:customStyle="1" w:styleId="31">
    <w:name w:val="样式 样式 段前: 3 磅 + 首行缩进:  2 字符"/>
    <w:basedOn w:val="1"/>
    <w:uiPriority w:val="99"/>
    <w:pPr>
      <w:spacing w:before="60" w:line="360" w:lineRule="auto"/>
      <w:ind w:firstLine="480" w:firstLineChars="200"/>
    </w:pPr>
    <w:rPr>
      <w:rFonts w:cs="宋体"/>
      <w:sz w:val="24"/>
      <w:szCs w:val="20"/>
    </w:rPr>
  </w:style>
  <w:style w:type="paragraph" w:customStyle="1" w:styleId="32">
    <w:name w:val="列出段落3"/>
    <w:basedOn w:val="1"/>
    <w:uiPriority w:val="99"/>
    <w:pPr>
      <w:ind w:firstLine="420" w:firstLineChars="200"/>
    </w:pPr>
  </w:style>
  <w:style w:type="character" w:customStyle="1" w:styleId="33">
    <w:name w:val="批注文字 Char"/>
    <w:basedOn w:val="22"/>
    <w:link w:val="10"/>
    <w:semiHidden/>
    <w:uiPriority w:val="99"/>
    <w:rPr>
      <w:szCs w:val="24"/>
    </w:rPr>
  </w:style>
  <w:style w:type="character" w:customStyle="1" w:styleId="34">
    <w:name w:val="批注主题 Char"/>
    <w:basedOn w:val="33"/>
    <w:link w:val="19"/>
    <w:semiHidden/>
    <w:uiPriority w:val="99"/>
    <w:rPr>
      <w:b/>
      <w:bCs/>
      <w:szCs w:val="24"/>
    </w:rPr>
  </w:style>
  <w:style w:type="paragraph" w:styleId="35">
    <w:name w:val="List Paragraph"/>
    <w:basedOn w:val="1"/>
    <w:qFormat/>
    <w:uiPriority w:val="34"/>
    <w:pPr>
      <w:ind w:firstLine="420" w:firstLineChars="200"/>
    </w:pPr>
  </w:style>
  <w:style w:type="paragraph" w:customStyle="1" w:styleId="36">
    <w:name w:val="TOC Heading"/>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66091" w:themeColor="accent1" w:themeShade="BF"/>
      <w:kern w:val="0"/>
      <w:sz w:val="28"/>
      <w:szCs w:val="28"/>
    </w:rPr>
  </w:style>
  <w:style w:type="character" w:customStyle="1" w:styleId="37">
    <w:name w:val="标题 3 Char"/>
    <w:basedOn w:val="22"/>
    <w:link w:val="4"/>
    <w:semiHidden/>
    <w:uiPriority w:val="0"/>
    <w:rPr>
      <w:b/>
      <w:bCs/>
      <w:sz w:val="32"/>
      <w:szCs w:val="32"/>
    </w:rPr>
  </w:style>
  <w:style w:type="character" w:customStyle="1" w:styleId="38">
    <w:name w:val="标题 2 Char"/>
    <w:basedOn w:val="22"/>
    <w:link w:val="3"/>
    <w:semiHidden/>
    <w:uiPriority w:val="0"/>
    <w:rPr>
      <w:rFonts w:asciiTheme="majorHAnsi" w:hAnsiTheme="majorHAnsi" w:eastAsiaTheme="majorEastAsia" w:cstheme="majorBidi"/>
      <w:b/>
      <w:bCs/>
      <w:sz w:val="32"/>
      <w:szCs w:val="32"/>
    </w:rPr>
  </w:style>
  <w:style w:type="character" w:customStyle="1" w:styleId="39">
    <w:name w:val="标题 4 Char"/>
    <w:basedOn w:val="22"/>
    <w:link w:val="5"/>
    <w:semiHidden/>
    <w:uiPriority w:val="0"/>
    <w:rPr>
      <w:rFonts w:asciiTheme="majorHAnsi" w:hAnsiTheme="majorHAnsi" w:eastAsiaTheme="majorEastAsia" w:cstheme="majorBidi"/>
      <w:b/>
      <w:bCs/>
      <w:sz w:val="28"/>
      <w:szCs w:val="28"/>
    </w:rPr>
  </w:style>
  <w:style w:type="character" w:customStyle="1" w:styleId="40">
    <w:name w:val="标题 5 Char"/>
    <w:basedOn w:val="22"/>
    <w:link w:val="6"/>
    <w:semiHidden/>
    <w:uiPriority w:val="0"/>
    <w:rPr>
      <w:b/>
      <w:bCs/>
      <w:sz w:val="28"/>
      <w:szCs w:val="28"/>
    </w:rPr>
  </w:style>
  <w:style w:type="character" w:customStyle="1" w:styleId="41">
    <w:name w:val="标题 6 Char"/>
    <w:basedOn w:val="22"/>
    <w:link w:val="7"/>
    <w:semiHidden/>
    <w:uiPriority w:val="0"/>
    <w:rPr>
      <w:rFonts w:asciiTheme="majorHAnsi" w:hAnsiTheme="majorHAnsi" w:eastAsiaTheme="majorEastAsia" w:cstheme="majorBidi"/>
      <w:b/>
      <w:bCs/>
      <w:sz w:val="24"/>
      <w:szCs w:val="24"/>
    </w:rPr>
  </w:style>
  <w:style w:type="character" w:customStyle="1" w:styleId="42">
    <w:name w:val="标题 7 Char"/>
    <w:basedOn w:val="22"/>
    <w:link w:val="8"/>
    <w:semiHidden/>
    <w:uiPriority w:val="0"/>
    <w:rPr>
      <w:b/>
      <w:bCs/>
      <w:sz w:val="24"/>
      <w:szCs w:val="24"/>
    </w:rPr>
  </w:style>
  <w:style w:type="paragraph" w:customStyle="1" w:styleId="43">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26"/>
    <customShpInfo spid="_x0000_s1051"/>
    <customShpInfo spid="_x0000_s1052"/>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58EF5-3CDB-407D-AB94-5E6F5E402EC3}">
  <ds:schemaRefs/>
</ds:datastoreItem>
</file>

<file path=docProps/app.xml><?xml version="1.0" encoding="utf-8"?>
<Properties xmlns="http://schemas.openxmlformats.org/officeDocument/2006/extended-properties" xmlns:vt="http://schemas.openxmlformats.org/officeDocument/2006/docPropsVTypes">
  <Template>Normal</Template>
  <Company>杭州普利斐特汽车零部件有限公司</Company>
  <Pages>15</Pages>
  <Words>1116</Words>
  <Characters>6366</Characters>
  <Lines>53</Lines>
  <Paragraphs>14</Paragraphs>
  <TotalTime>2</TotalTime>
  <ScaleCrop>false</ScaleCrop>
  <LinksUpToDate>false</LinksUpToDate>
  <CharactersWithSpaces>7468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2015-01-28T05:17:00Z</dcterms:created>
  <dc:creator>xz</dc:creator>
  <cp:lastModifiedBy>91方案网～齐志锁</cp:lastModifiedBy>
  <cp:lastPrinted>2015-01-28T13:50:00Z</cp:lastPrinted>
  <dcterms:modified xsi:type="dcterms:W3CDTF">2020-10-12T08:22:23Z</dcterms:modified>
  <dc:title>杭州普利斐特汽车零部件有限公司</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