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24"/>
          <w:szCs w:val="24"/>
        </w:rPr>
      </w:pPr>
      <w:r>
        <w:rPr>
          <w:rFonts w:eastAsia="黑体" w:cs="楷体" w:ascii="SimHei" w:hAnsi="SimHei"/>
          <w:b/>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24"/>
          <w:szCs w:val="24"/>
        </w:rPr>
      </w:pPr>
      <w:r>
        <w:rPr>
          <w:rFonts w:eastAsia="黑体" w:cs="楷体" w:ascii="SimHei" w:hAnsi="SimHei"/>
          <w:b/>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24"/>
          <w:szCs w:val="24"/>
        </w:rPr>
      </w:pPr>
      <w:r>
        <w:rPr>
          <w:rFonts w:eastAsia="黑体" w:cs="楷体" w:ascii="SimHei" w:hAnsi="SimHei"/>
          <w:b/>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52"/>
          <w:szCs w:val="52"/>
        </w:rPr>
      </w:pPr>
      <w:r>
        <w:rPr>
          <w:rFonts w:eastAsia="黑体" w:cs="楷体" w:ascii="SimHei" w:hAnsi="SimHei"/>
          <w:b/>
          <w:color w:val="000000"/>
          <w:kern w:val="0"/>
          <w:sz w:val="52"/>
          <w:szCs w:val="52"/>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52"/>
          <w:szCs w:val="52"/>
        </w:rPr>
      </w:pPr>
      <w:r>
        <w:rPr>
          <w:rFonts w:eastAsia="黑体" w:cs="楷体" w:ascii="SimHei" w:hAnsi="SimHei"/>
          <w:b/>
          <w:color w:val="000000"/>
          <w:kern w:val="0"/>
          <w:sz w:val="52"/>
          <w:szCs w:val="52"/>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52"/>
          <w:szCs w:val="52"/>
        </w:rPr>
      </w:pPr>
      <w:r>
        <w:rPr>
          <w:rFonts w:eastAsia="黑体" w:cs="楷体" w:ascii="SimHei" w:hAnsi="SimHei"/>
          <w:b/>
          <w:color w:val="000000"/>
          <w:kern w:val="0"/>
          <w:sz w:val="52"/>
          <w:szCs w:val="52"/>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52"/>
          <w:szCs w:val="52"/>
        </w:rPr>
      </w:pPr>
      <w:r>
        <w:rPr>
          <w:rFonts w:eastAsia="黑体" w:cs="楷体" w:ascii="SimHei" w:hAnsi="SimHei"/>
          <w:b/>
          <w:color w:val="000000"/>
          <w:kern w:val="0"/>
          <w:sz w:val="52"/>
          <w:szCs w:val="52"/>
        </w:rPr>
      </w:r>
    </w:p>
    <w:p>
      <w:pPr>
        <w:pStyle w:val="Normal"/>
        <w:pageBreakBefore w:val="false"/>
        <w:kinsoku w:val="true"/>
        <w:overflowPunct w:val="true"/>
        <w:autoSpaceDE w:val="false"/>
        <w:bidi w:val="0"/>
        <w:snapToGrid w:val="true"/>
        <w:spacing w:lineRule="auto" w:line="360"/>
        <w:ind w:start="0" w:hanging="0"/>
        <w:jc w:val="center"/>
        <w:textAlignment w:val="auto"/>
        <w:rPr>
          <w:rFonts w:ascii="楷体" w:hAnsi="楷体" w:eastAsia="楷体" w:cs="楷体"/>
          <w:b/>
          <w:b/>
          <w:color w:val="000000"/>
          <w:kern w:val="0"/>
          <w:sz w:val="52"/>
          <w:szCs w:val="52"/>
        </w:rPr>
      </w:pPr>
      <w:r>
        <w:rPr>
          <w:rFonts w:ascii="SimHei" w:hAnsi="SimHei" w:cs="楷体" w:eastAsia="黑体"/>
          <w:b/>
          <w:color w:val="000000"/>
          <w:kern w:val="0"/>
          <w:sz w:val="52"/>
          <w:szCs w:val="52"/>
        </w:rPr>
        <w:t>岗位晋升管理办法（试行）</w:t>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b/>
          <w:b/>
          <w:color w:val="000000"/>
          <w:kern w:val="0"/>
          <w:sz w:val="24"/>
          <w:szCs w:val="24"/>
        </w:rPr>
      </w:pPr>
      <w:r>
        <w:rPr>
          <w:rFonts w:eastAsia="黑体" w:cs="楷体" w:ascii="SimHei" w:hAnsi="SimHei"/>
          <w:b/>
          <w:color w:val="000000"/>
          <w:kern w:val="0"/>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sz w:val="24"/>
          <w:szCs w:val="24"/>
        </w:rPr>
      </w:pPr>
      <w:r>
        <w:rPr>
          <w:rFonts w:eastAsia="黑体" w:cs="楷体" w:ascii="SimHei" w:hAnsi="SimHei"/>
          <w:color w:val="000000"/>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sz w:val="24"/>
          <w:szCs w:val="24"/>
        </w:rPr>
      </w:pPr>
      <w:r>
        <w:rPr>
          <w:rFonts w:eastAsia="黑体" w:cs="楷体" w:ascii="SimHei" w:hAnsi="SimHei"/>
          <w:color w:val="000000"/>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sz w:val="24"/>
          <w:szCs w:val="24"/>
        </w:rPr>
      </w:pPr>
      <w:r>
        <w:rPr>
          <w:rFonts w:eastAsia="黑体" w:cs="楷体" w:ascii="SimHei" w:hAnsi="SimHei"/>
          <w:color w:val="000000"/>
          <w:sz w:val="24"/>
          <w:szCs w:val="24"/>
        </w:rPr>
      </w:r>
    </w:p>
    <w:p>
      <w:pPr>
        <w:pStyle w:val="Normal"/>
        <w:pageBreakBefore w:val="false"/>
        <w:kinsoku w:val="true"/>
        <w:overflowPunct w:val="true"/>
        <w:bidi w:val="0"/>
        <w:snapToGrid w:val="true"/>
        <w:spacing w:lineRule="auto" w:line="360"/>
        <w:ind w:start="0" w:firstLine="1898"/>
        <w:jc w:val="both"/>
        <w:textAlignment w:val="auto"/>
        <w:rPr>
          <w:rFonts w:ascii="楷体" w:hAnsi="楷体" w:eastAsia="楷体" w:cs="楷体"/>
          <w:color w:val="000000"/>
          <w:sz w:val="24"/>
          <w:szCs w:val="24"/>
          <w:u w:val="single"/>
        </w:rPr>
      </w:pPr>
      <w:r>
        <w:rPr>
          <w:rFonts w:ascii="SimHei" w:hAnsi="SimHei" w:cs="楷体" w:eastAsia="黑体"/>
          <w:color w:val="000000"/>
          <w:sz w:val="24"/>
          <w:szCs w:val="24"/>
        </w:rPr>
        <w:t>编 制</w:t>
      </w:r>
      <w:r>
        <w:rPr>
          <w:rFonts w:ascii="SimHei" w:hAnsi="SimHei" w:cs="楷体" w:eastAsia="黑体"/>
          <w:color w:val="000000"/>
          <w:sz w:val="24"/>
          <w:szCs w:val="24"/>
          <w:u w:val="single"/>
        </w:rPr>
        <w:t xml:space="preserve">               </w:t>
      </w:r>
      <w:r>
        <w:rPr>
          <w:rFonts w:ascii="SimHei" w:hAnsi="SimHei" w:cs="楷体" w:eastAsia="黑体"/>
          <w:color w:val="000000"/>
          <w:sz w:val="24"/>
          <w:szCs w:val="24"/>
        </w:rPr>
        <w:t>日 期</w:t>
      </w:r>
      <w:r>
        <w:rPr>
          <w:rFonts w:ascii="SimHei" w:hAnsi="SimHei" w:cs="楷体" w:eastAsia="黑体"/>
          <w:color w:val="000000"/>
          <w:sz w:val="24"/>
          <w:szCs w:val="24"/>
          <w:u w:val="single"/>
        </w:rPr>
        <w:t xml:space="preserve">                </w:t>
      </w:r>
    </w:p>
    <w:p>
      <w:pPr>
        <w:pStyle w:val="Normal"/>
        <w:pageBreakBefore w:val="false"/>
        <w:kinsoku w:val="true"/>
        <w:overflowPunct w:val="true"/>
        <w:bidi w:val="0"/>
        <w:snapToGrid w:val="true"/>
        <w:spacing w:lineRule="auto" w:line="360"/>
        <w:ind w:start="0" w:firstLine="1898"/>
        <w:jc w:val="both"/>
        <w:textAlignment w:val="auto"/>
        <w:rPr>
          <w:rFonts w:ascii="楷体" w:hAnsi="楷体" w:eastAsia="楷体" w:cs="楷体"/>
          <w:color w:val="000000"/>
          <w:sz w:val="24"/>
          <w:szCs w:val="24"/>
          <w:u w:val="single"/>
        </w:rPr>
      </w:pPr>
      <w:r>
        <w:rPr>
          <w:rFonts w:ascii="SimHei" w:hAnsi="SimHei" w:cs="楷体" w:eastAsia="黑体"/>
          <w:color w:val="000000"/>
          <w:sz w:val="24"/>
          <w:szCs w:val="24"/>
        </w:rPr>
        <w:t>审 核</w:t>
      </w:r>
      <w:r>
        <w:rPr>
          <w:rFonts w:ascii="SimHei" w:hAnsi="SimHei" w:cs="楷体" w:eastAsia="黑体"/>
          <w:color w:val="000000"/>
          <w:sz w:val="24"/>
          <w:szCs w:val="24"/>
          <w:u w:val="single"/>
        </w:rPr>
        <w:t xml:space="preserve">               </w:t>
      </w:r>
      <w:r>
        <w:rPr>
          <w:rFonts w:ascii="SimHei" w:hAnsi="SimHei" w:cs="楷体" w:eastAsia="黑体"/>
          <w:color w:val="000000"/>
          <w:sz w:val="24"/>
          <w:szCs w:val="24"/>
        </w:rPr>
        <w:t>日 期</w:t>
      </w:r>
      <w:r>
        <w:rPr>
          <w:rFonts w:ascii="SimHei" w:hAnsi="SimHei" w:cs="楷体" w:eastAsia="黑体"/>
          <w:color w:val="000000"/>
          <w:sz w:val="24"/>
          <w:szCs w:val="24"/>
          <w:u w:val="single"/>
        </w:rPr>
        <w:t xml:space="preserve">                </w:t>
      </w:r>
    </w:p>
    <w:p>
      <w:pPr>
        <w:pStyle w:val="Normal"/>
        <w:pageBreakBefore w:val="false"/>
        <w:kinsoku w:val="true"/>
        <w:overflowPunct w:val="true"/>
        <w:bidi w:val="0"/>
        <w:snapToGrid w:val="true"/>
        <w:spacing w:lineRule="auto" w:line="360"/>
        <w:ind w:start="0" w:firstLine="1898"/>
        <w:jc w:val="both"/>
        <w:textAlignment w:val="auto"/>
        <w:rPr>
          <w:rFonts w:ascii="楷体" w:hAnsi="楷体" w:eastAsia="楷体" w:cs="楷体"/>
          <w:color w:val="000000"/>
          <w:sz w:val="24"/>
          <w:szCs w:val="24"/>
          <w:u w:val="single"/>
        </w:rPr>
      </w:pPr>
      <w:r>
        <w:rPr>
          <w:rFonts w:ascii="SimHei" w:hAnsi="SimHei" w:cs="楷体" w:eastAsia="黑体"/>
          <w:color w:val="000000"/>
          <w:sz w:val="24"/>
          <w:szCs w:val="24"/>
        </w:rPr>
        <w:t>批 准</w:t>
      </w:r>
      <w:r>
        <w:rPr>
          <w:rFonts w:ascii="SimHei" w:hAnsi="SimHei" w:cs="楷体" w:eastAsia="黑体"/>
          <w:color w:val="000000"/>
          <w:sz w:val="24"/>
          <w:szCs w:val="24"/>
          <w:u w:val="single"/>
        </w:rPr>
        <w:t xml:space="preserve">               </w:t>
      </w:r>
      <w:r>
        <w:rPr>
          <w:rFonts w:ascii="SimHei" w:hAnsi="SimHei" w:cs="楷体" w:eastAsia="黑体"/>
          <w:color w:val="000000"/>
          <w:sz w:val="24"/>
          <w:szCs w:val="24"/>
        </w:rPr>
        <w:t>日 期</w:t>
      </w:r>
      <w:r>
        <w:rPr>
          <w:rFonts w:ascii="SimHei" w:hAnsi="SimHei" w:cs="楷体" w:eastAsia="黑体"/>
          <w:color w:val="000000"/>
          <w:sz w:val="24"/>
          <w:szCs w:val="24"/>
          <w:u w:val="single"/>
        </w:rPr>
        <w:t xml:space="preserve">                </w:t>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sz w:val="24"/>
          <w:szCs w:val="24"/>
          <w:u w:val="single"/>
        </w:rPr>
      </w:pPr>
      <w:r>
        <w:rPr>
          <w:rFonts w:eastAsia="黑体" w:cs="楷体" w:ascii="SimHei" w:hAnsi="SimHei"/>
          <w:color w:val="000000"/>
          <w:sz w:val="24"/>
          <w:szCs w:val="24"/>
          <w:u w:val="single"/>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color w:val="000000"/>
          <w:sz w:val="24"/>
          <w:szCs w:val="24"/>
        </w:rPr>
      </w:pPr>
      <w:r>
        <w:rPr>
          <w:rFonts w:eastAsia="黑体" w:cs="楷体" w:ascii="SimHei" w:hAnsi="SimHei"/>
          <w:color w:val="00000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TOC"/>
        <w:pageBreakBefore w:val="false"/>
        <w:kinsoku w:val="true"/>
        <w:overflowPunct w:val="true"/>
        <w:bidi w:val="0"/>
        <w:snapToGrid w:val="true"/>
        <w:spacing w:lineRule="auto" w:line="360" w:before="0" w:after="0"/>
        <w:ind w:start="0" w:hanging="0"/>
        <w:jc w:val="center"/>
        <w:textAlignment w:val="auto"/>
        <w:rPr>
          <w:rFonts w:cs="楷体"/>
        </w:rPr>
      </w:pPr>
      <w:r>
        <w:rPr>
          <w:rFonts w:ascii="SimHei" w:hAnsi="SimHei" w:cs="楷体" w:eastAsia="黑体"/>
          <w:color w:val="000000"/>
          <w:sz w:val="24"/>
          <w:szCs w:val="24"/>
          <w:lang w:val="zh-CN"/>
        </w:rPr>
        <w:t>目  录</w:t>
      </w:r>
    </w:p>
    <w:sdt>
      <w:sdtPr>
        <w:docPartObj>
          <w:docPartGallery w:val="Table of Contents"/>
          <w:docPartUnique w:val="true"/>
        </w:docPartObj>
      </w:sdtPr>
      <w:sdtContent>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r>
            <w:fldChar w:fldCharType="begin"/>
          </w:r>
          <w:r>
            <w:rPr>
              <w:rStyle w:val="IndexLink"/>
              <w:sz w:val="24"/>
              <w:szCs w:val="24"/>
              <w:rFonts w:ascii="楷体" w:hAnsi="楷体" w:cs="楷体" w:eastAsia="楷体"/>
              <w:lang w:val="en-US" w:eastAsia="en-US"/>
            </w:rPr>
            <w:instrText> TOC \o "1-3" \h \z \u </w:instrText>
          </w:r>
          <w:r>
            <w:rPr>
              <w:rStyle w:val="IndexLink"/>
              <w:sz w:val="24"/>
              <w:szCs w:val="24"/>
              <w:rFonts w:ascii="楷体" w:hAnsi="楷体" w:cs="楷体" w:eastAsia="楷体"/>
              <w:lang w:val="en-US" w:eastAsia="en-US"/>
            </w:rPr>
            <w:fldChar w:fldCharType="separate"/>
          </w:r>
          <w:hyperlink w:anchor="__RefHeading___Toc377855134">
            <w:r>
              <w:rPr>
                <w:rStyle w:val="IndexLink"/>
                <w:rFonts w:ascii="楷体" w:hAnsi="楷体" w:cs="楷体" w:eastAsia="楷体"/>
                <w:sz w:val="24"/>
                <w:szCs w:val="24"/>
                <w:lang w:val="en-US" w:eastAsia="en-US"/>
              </w:rPr>
              <w:t>第一章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总则</w:t>
            </w:r>
            <w:r>
              <w:rPr>
                <w:rStyle w:val="IndexLink"/>
                <w:rFonts w:eastAsia="楷体" w:cs="楷体" w:ascii="楷体" w:hAnsi="楷体"/>
                <w:sz w:val="24"/>
                <w:szCs w:val="24"/>
                <w:lang w:val="en-US" w:eastAsia="en-US"/>
              </w:rPr>
              <w:tab/>
              <w:t>1</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35">
            <w:r>
              <w:rPr>
                <w:rStyle w:val="IndexLink"/>
                <w:rFonts w:ascii="楷体" w:hAnsi="楷体" w:cs="楷体" w:eastAsia="楷体"/>
                <w:sz w:val="24"/>
                <w:szCs w:val="24"/>
                <w:lang w:val="en-US" w:eastAsia="en-US"/>
              </w:rPr>
              <w:t>第二章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公司职层划分</w:t>
            </w:r>
            <w:r>
              <w:rPr>
                <w:rStyle w:val="IndexLink"/>
                <w:rFonts w:eastAsia="楷体" w:cs="楷体" w:ascii="楷体" w:hAnsi="楷体"/>
                <w:sz w:val="24"/>
                <w:szCs w:val="24"/>
                <w:lang w:val="en-US" w:eastAsia="en-US"/>
              </w:rPr>
              <w:tab/>
              <w:t>1</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36">
            <w:r>
              <w:rPr>
                <w:rStyle w:val="IndexLink"/>
                <w:rFonts w:ascii="楷体" w:hAnsi="楷体" w:cs="楷体" w:eastAsia="楷体"/>
                <w:sz w:val="24"/>
                <w:szCs w:val="24"/>
                <w:lang w:val="en-US" w:eastAsia="en-US"/>
              </w:rPr>
              <w:t>第三章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各层级晋升条件</w:t>
            </w:r>
            <w:r>
              <w:rPr>
                <w:rStyle w:val="IndexLink"/>
                <w:rFonts w:eastAsia="楷体" w:cs="楷体" w:ascii="楷体" w:hAnsi="楷体"/>
                <w:sz w:val="24"/>
                <w:szCs w:val="24"/>
                <w:lang w:val="en-US" w:eastAsia="en-US"/>
              </w:rPr>
              <w:tab/>
              <w:t>1</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37">
            <w:r>
              <w:rPr>
                <w:rStyle w:val="IndexLink"/>
                <w:rFonts w:ascii="楷体" w:hAnsi="楷体" w:cs="楷体" w:eastAsia="楷体"/>
                <w:sz w:val="24"/>
                <w:szCs w:val="24"/>
                <w:lang w:val="en-US" w:eastAsia="en-US"/>
              </w:rPr>
              <w:t>第四章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晋升程序</w:t>
            </w:r>
            <w:r>
              <w:rPr>
                <w:rStyle w:val="IndexLink"/>
                <w:rFonts w:eastAsia="楷体" w:cs="楷体" w:ascii="楷体" w:hAnsi="楷体"/>
                <w:sz w:val="24"/>
                <w:szCs w:val="24"/>
                <w:lang w:val="en-US" w:eastAsia="en-US"/>
              </w:rPr>
              <w:tab/>
              <w:t>3</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38">
            <w:r>
              <w:rPr>
                <w:rStyle w:val="IndexLink"/>
                <w:rFonts w:ascii="楷体" w:hAnsi="楷体" w:cs="楷体" w:eastAsia="楷体"/>
                <w:sz w:val="24"/>
                <w:szCs w:val="24"/>
                <w:lang w:val="en-US" w:eastAsia="en-US"/>
              </w:rPr>
              <w:t>第五章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晋升考评内容</w:t>
            </w:r>
            <w:r>
              <w:rPr>
                <w:rStyle w:val="IndexLink"/>
                <w:rFonts w:eastAsia="楷体" w:cs="楷体" w:ascii="楷体" w:hAnsi="楷体"/>
                <w:sz w:val="24"/>
                <w:szCs w:val="24"/>
                <w:lang w:val="en-US" w:eastAsia="en-US"/>
              </w:rPr>
              <w:tab/>
              <w:t>4</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39">
            <w:r>
              <w:rPr>
                <w:rStyle w:val="IndexLink"/>
                <w:rFonts w:ascii="楷体" w:hAnsi="楷体" w:cs="楷体" w:eastAsia="楷体"/>
                <w:sz w:val="24"/>
                <w:szCs w:val="24"/>
                <w:lang w:val="en-US" w:eastAsia="en-US"/>
              </w:rPr>
              <w:t>第六章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晋升例外管理</w:t>
            </w:r>
            <w:r>
              <w:rPr>
                <w:rStyle w:val="IndexLink"/>
                <w:rFonts w:eastAsia="楷体" w:cs="楷体" w:ascii="楷体" w:hAnsi="楷体"/>
                <w:sz w:val="24"/>
                <w:szCs w:val="24"/>
                <w:lang w:val="en-US" w:eastAsia="en-US"/>
              </w:rPr>
              <w:tab/>
              <w:t>5</w:t>
            </w:r>
          </w:hyperlink>
        </w:p>
        <w:p>
          <w:pPr>
            <w:pStyle w:val="Contents1"/>
            <w:pageBreakBefore w:val="false"/>
            <w:tabs>
              <w:tab w:val="clear" w:pos="720"/>
              <w:tab w:val="left" w:pos="1050" w:leader="none"/>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40">
            <w:r>
              <w:rPr>
                <w:rStyle w:val="IndexLink"/>
                <w:rFonts w:ascii="楷体" w:hAnsi="楷体" w:cs="楷体" w:eastAsia="楷体"/>
                <w:sz w:val="24"/>
                <w:szCs w:val="24"/>
                <w:lang w:val="en-US" w:eastAsia="en-US"/>
              </w:rPr>
              <w:t>第七章</w:t>
            </w:r>
            <w:r>
              <w:rPr>
                <w:rStyle w:val="IndexLink"/>
                <w:rFonts w:eastAsia="楷体" w:cs="楷体" w:ascii="楷体" w:hAnsi="楷体"/>
                <w:sz w:val="24"/>
                <w:szCs w:val="24"/>
                <w:lang w:val="en-US" w:eastAsia="en-US"/>
              </w:rPr>
              <w:tab/>
            </w:r>
            <w:r>
              <w:rPr>
                <w:rStyle w:val="IndexLink"/>
                <w:rFonts w:ascii="楷体" w:hAnsi="楷体" w:cs="楷体" w:eastAsia="楷体"/>
                <w:sz w:val="24"/>
                <w:szCs w:val="24"/>
                <w:lang w:val="en-US" w:eastAsia="en-US"/>
              </w:rPr>
              <w:t>附则</w:t>
            </w:r>
            <w:r>
              <w:rPr>
                <w:rStyle w:val="IndexLink"/>
                <w:rFonts w:eastAsia="楷体" w:cs="楷体" w:ascii="楷体" w:hAnsi="楷体"/>
                <w:sz w:val="24"/>
                <w:szCs w:val="24"/>
                <w:lang w:val="en-US" w:eastAsia="en-US"/>
              </w:rPr>
              <w:tab/>
              <w:t>6</w:t>
            </w:r>
          </w:hyperlink>
        </w:p>
        <w:p>
          <w:pPr>
            <w:pStyle w:val="Contents1"/>
            <w:pageBreakBefore w:val="false"/>
            <w:tabs>
              <w:tab w:val="clear" w:pos="720"/>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41">
            <w:r>
              <w:rPr>
                <w:rStyle w:val="IndexLink"/>
                <w:rFonts w:ascii="楷体" w:hAnsi="楷体" w:cs="楷体" w:eastAsia="楷体"/>
                <w:sz w:val="24"/>
                <w:szCs w:val="24"/>
                <w:lang w:val="en-US" w:eastAsia="en-US"/>
              </w:rPr>
              <w:t>附件</w:t>
            </w:r>
            <w:r>
              <w:rPr>
                <w:rStyle w:val="IndexLink"/>
                <w:rFonts w:eastAsia="楷体" w:cs="楷体" w:ascii="楷体" w:hAnsi="楷体"/>
                <w:sz w:val="24"/>
                <w:szCs w:val="24"/>
                <w:lang w:val="en-US" w:eastAsia="en-US"/>
              </w:rPr>
              <w:t>1</w:t>
            </w:r>
            <w:r>
              <w:rPr>
                <w:rStyle w:val="IndexLink"/>
                <w:rFonts w:ascii="楷体" w:hAnsi="楷体" w:cs="楷体" w:eastAsia="楷体"/>
                <w:sz w:val="24"/>
                <w:szCs w:val="24"/>
                <w:lang w:val="en-US" w:eastAsia="en-US"/>
              </w:rPr>
              <w:t>：《员工晋级申请表》</w:t>
            </w:r>
            <w:r>
              <w:rPr>
                <w:rStyle w:val="IndexLink"/>
                <w:rFonts w:eastAsia="楷体" w:cs="楷体" w:ascii="楷体" w:hAnsi="楷体"/>
                <w:sz w:val="24"/>
                <w:szCs w:val="24"/>
                <w:lang w:val="en-US" w:eastAsia="en-US"/>
              </w:rPr>
              <w:tab/>
              <w:t>6</w:t>
            </w:r>
          </w:hyperlink>
        </w:p>
        <w:p>
          <w:pPr>
            <w:pStyle w:val="Contents1"/>
            <w:pageBreakBefore w:val="false"/>
            <w:tabs>
              <w:tab w:val="clear" w:pos="720"/>
              <w:tab w:val="right" w:pos="8289" w:leader="dot"/>
            </w:tabs>
            <w:kinsoku w:val="true"/>
            <w:overflowPunct w:val="true"/>
            <w:bidi w:val="0"/>
            <w:snapToGrid w:val="true"/>
            <w:spacing w:lineRule="auto" w:line="360"/>
            <w:ind w:start="0" w:hanging="0"/>
            <w:jc w:val="center"/>
            <w:textAlignment w:val="auto"/>
            <w:rPr>
              <w:rFonts w:ascii="楷体" w:hAnsi="楷体" w:eastAsia="楷体" w:cs="楷体"/>
              <w:sz w:val="24"/>
              <w:szCs w:val="24"/>
              <w:lang w:val="en-US" w:eastAsia="en-US"/>
            </w:rPr>
          </w:pPr>
          <w:hyperlink w:anchor="__RefHeading___Toc377855142">
            <w:r>
              <w:rPr>
                <w:rStyle w:val="IndexLink"/>
                <w:rFonts w:ascii="楷体" w:hAnsi="楷体" w:cs="楷体" w:eastAsia="楷体"/>
                <w:sz w:val="24"/>
                <w:szCs w:val="24"/>
                <w:lang w:val="en-US" w:eastAsia="en-US"/>
              </w:rPr>
              <w:t>附件</w:t>
            </w:r>
            <w:r>
              <w:rPr>
                <w:rStyle w:val="IndexLink"/>
                <w:rFonts w:eastAsia="楷体" w:cs="楷体" w:ascii="楷体" w:hAnsi="楷体"/>
                <w:sz w:val="24"/>
                <w:szCs w:val="24"/>
                <w:lang w:val="en-US" w:eastAsia="en-US"/>
              </w:rPr>
              <w:t>2</w:t>
            </w:r>
            <w:r>
              <w:rPr>
                <w:rStyle w:val="IndexLink"/>
                <w:rFonts w:ascii="楷体" w:hAnsi="楷体" w:cs="楷体" w:eastAsia="楷体"/>
                <w:sz w:val="24"/>
                <w:szCs w:val="24"/>
                <w:lang w:val="en-US" w:eastAsia="en-US"/>
              </w:rPr>
              <w:t>：《员工晋升考评流程》</w:t>
            </w:r>
            <w:r>
              <w:rPr>
                <w:rStyle w:val="IndexLink"/>
                <w:rFonts w:eastAsia="楷体" w:cs="楷体" w:ascii="楷体" w:hAnsi="楷体"/>
                <w:sz w:val="24"/>
                <w:szCs w:val="24"/>
                <w:lang w:val="en-US" w:eastAsia="en-US"/>
              </w:rPr>
              <w:tab/>
              <w:t>6</w:t>
            </w:r>
          </w:hyperlink>
          <w:r>
            <w:rPr>
              <w:rStyle w:val="IndexLink"/>
              <w:sz w:val="24"/>
              <w:szCs w:val="24"/>
              <w:rFonts w:ascii="楷体" w:hAnsi="楷体" w:cs="楷体" w:eastAsia="楷体"/>
              <w:lang w:val="en-US" w:eastAsia="en-US"/>
            </w:rPr>
            <w:fldChar w:fldCharType="end"/>
          </w:r>
        </w:p>
      </w:sdtContent>
    </w:sdt>
    <w:p>
      <w:pPr>
        <w:sectPr>
          <w:type w:val="nextPage"/>
          <w:pgSz w:w="11893" w:h="16838"/>
          <w:pgMar w:left="1474" w:right="1474" w:header="0" w:top="850" w:footer="0" w:bottom="850" w:gutter="0"/>
          <w:pgNumType w:fmt="decimal"/>
          <w:formProt w:val="false"/>
          <w:textDirection w:val="lrTb"/>
          <w:docGrid w:type="default" w:linePitch="360" w:charSpace="0"/>
        </w:sectPr>
        <w:pStyle w:val="Contents1"/>
        <w:numPr>
          <w:ilvl w:val="0"/>
          <w:numId w:val="0"/>
        </w:numPr>
        <w:rPr>
          <w:rFonts w:ascii="楷体" w:hAnsi="楷体" w:eastAsia="楷体" w:cs="楷体"/>
          <w:color w:val="000000"/>
          <w:sz w:val="24"/>
          <w:szCs w:val="24"/>
          <w:lang w:val="en-US" w:eastAsia="en-US"/>
        </w:rPr>
      </w:pPr>
      <w:r>
        <w:rPr>
          <w:rFonts w:eastAsia="黑体" w:cs="楷体" w:ascii="SimHei" w:hAnsi="SimHei"/>
          <w:color w:val="000000"/>
          <w:sz w:val="24"/>
          <w:szCs w:val="24"/>
          <w:lang w:val="en-US" w:eastAsia="en-US"/>
        </w:rPr>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b/>
          <w:b/>
          <w:bCs/>
          <w:sz w:val="28"/>
          <w:szCs w:val="28"/>
        </w:rPr>
      </w:pPr>
      <w:bookmarkStart w:id="0" w:name="__RefHeading___Toc377855134"/>
      <w:bookmarkEnd w:id="0"/>
      <w:r>
        <w:rPr>
          <w:rFonts w:ascii="SimHei" w:hAnsi="SimHei" w:cs="楷体" w:eastAsia="黑体"/>
          <w:b/>
          <w:bCs/>
          <w:sz w:val="28"/>
          <w:szCs w:val="28"/>
          <w:lang w:val="en-US" w:eastAsia="zh-CN"/>
        </w:rPr>
        <w:t xml:space="preserve">第一章  </w:t>
      </w:r>
      <w:r>
        <w:rPr>
          <w:rFonts w:ascii="SimHei" w:hAnsi="SimHei" w:cs="楷体" w:eastAsia="黑体"/>
          <w:b/>
          <w:bCs/>
          <w:sz w:val="28"/>
          <w:szCs w:val="28"/>
        </w:rPr>
        <w:t>总则</w:t>
      </w:r>
    </w:p>
    <w:p>
      <w:pPr>
        <w:sectPr>
          <w:footerReference w:type="default" r:id="rId2"/>
          <w:type w:val="nextPage"/>
          <w:pgSz w:w="11893" w:h="16838"/>
          <w:pgMar w:left="1474" w:right="1474" w:header="0" w:top="850" w:footer="567" w:bottom="850" w:gutter="0"/>
          <w:pgNumType w:start="1" w:fmt="decimal"/>
          <w:formProt w:val="false"/>
          <w:textDirection w:val="lrTb"/>
          <w:docGrid w:type="default" w:linePitch="360" w:charSpace="0"/>
        </w:sectPr>
      </w:pP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本办法是依据公司自身实际情况订立的员工晋升管理办法。</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本办法为员工晋升制定了明确、严格的标准和依据，确保员工晋升的公平、公正和公开，进而鼓励员工辛勤劳动、努力学习知识技能，不断提高自身素质和能力。</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本办法作为公司薪酬管理制度的配套性文件，与薪酬管理制度一同使用。</w:t>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b/>
          <w:b/>
          <w:bCs/>
          <w:sz w:val="28"/>
          <w:szCs w:val="28"/>
          <w:lang w:val="en-US" w:eastAsia="zh-CN"/>
        </w:rPr>
      </w:pPr>
      <w:bookmarkStart w:id="1" w:name="__RefHeading___Toc377855135"/>
      <w:bookmarkEnd w:id="1"/>
      <w:r>
        <w:rPr>
          <w:rFonts w:ascii="SimHei" w:hAnsi="SimHei" w:cs="楷体" w:eastAsia="黑体"/>
          <w:b/>
          <w:bCs/>
          <w:sz w:val="28"/>
          <w:szCs w:val="28"/>
          <w:lang w:val="en-US" w:eastAsia="zh-CN"/>
        </w:rPr>
        <w:t>第二章  公司职层划分</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公司的岗位分为四个序列</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（一）管理序列</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包括总经理助理、部长、副部长三个职层。</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（二）行政事务序列</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包括主管、专员和助理三个职层</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（三）生产操作序列</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包括初级工、中级工、高级工、副值、主值、值长</w:t>
      </w:r>
      <w:r>
        <w:rPr>
          <w:rFonts w:eastAsia="黑体" w:cs="楷体" w:ascii="SimHei" w:hAnsi="SimHei"/>
          <w:sz w:val="24"/>
          <w:szCs w:val="24"/>
        </w:rPr>
        <w:t>/</w:t>
      </w:r>
      <w:r>
        <w:rPr>
          <w:rFonts w:ascii="SimHei" w:hAnsi="SimHei" w:cs="楷体" w:eastAsia="黑体"/>
          <w:sz w:val="24"/>
          <w:szCs w:val="24"/>
        </w:rPr>
        <w:t>专工六个职层。</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（四）工程技术序列</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包括技术员、助理工程师、工程师、高级工程师四个职层。</w:t>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b/>
          <w:b/>
          <w:bCs/>
          <w:sz w:val="28"/>
          <w:szCs w:val="28"/>
          <w:lang w:val="en-US" w:eastAsia="zh-CN"/>
        </w:rPr>
      </w:pPr>
      <w:bookmarkStart w:id="2" w:name="__RefHeading___Toc377855136"/>
      <w:bookmarkEnd w:id="2"/>
      <w:r>
        <w:rPr>
          <w:rFonts w:ascii="SimHei" w:hAnsi="SimHei" w:cs="楷体" w:eastAsia="黑体"/>
          <w:b/>
          <w:bCs/>
          <w:sz w:val="28"/>
          <w:szCs w:val="28"/>
          <w:lang w:val="en-US" w:eastAsia="zh-CN"/>
        </w:rPr>
        <w:t>第三章  各层级晋升条件</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各层级纵向晋升方向和条件</w:t>
      </w:r>
    </w:p>
    <w:p>
      <w:pPr>
        <w:pStyle w:val="Normal"/>
        <w:pageBreakBefore w:val="false"/>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（一）各层级纵向晋升以逐级晋升为原则，各岗位根据所在序列的不同，有相应的岗位晋升时间要求，每一岗位在职时间为申请晋升的初始条件，员工根据各自序列岗位时间要求的满足程度，自行决定晋升方向。</w:t>
      </w:r>
    </w:p>
    <w:p>
      <w:pPr>
        <w:pStyle w:val="Normal"/>
        <w:pageBreakBefore w:val="false"/>
        <w:kinsoku w:val="true"/>
        <w:overflowPunct w:val="true"/>
        <w:autoSpaceDE w:val="false"/>
        <w:bidi w:val="0"/>
        <w:snapToGrid w:val="true"/>
        <w:spacing w:lineRule="auto" w:line="360"/>
        <w:ind w:start="0" w:firstLine="480"/>
        <w:jc w:val="both"/>
        <w:textAlignment w:val="auto"/>
        <w:rPr>
          <w:rFonts w:cs="楷体"/>
        </w:rPr>
      </w:pPr>
      <w:r>
        <w:rPr>
          <w:rFonts w:ascii="SimHei" w:hAnsi="SimHei" w:cs="楷体" w:eastAsia="黑体"/>
          <w:sz w:val="24"/>
          <w:szCs w:val="24"/>
        </w:rPr>
        <w:t>（二）纵向晋升方向和初始时间要求</w:t>
      </w:r>
    </w:p>
    <w:tbl>
      <w:tblPr>
        <w:tblW w:w="5000" w:type="pct"/>
        <w:jc w:val="center"/>
        <w:tblInd w:w="0" w:type="dxa"/>
        <w:tblLayout w:type="fixed"/>
        <w:tblCellMar>
          <w:top w:w="0" w:type="dxa"/>
          <w:start w:w="108" w:type="dxa"/>
          <w:bottom w:w="0" w:type="dxa"/>
          <w:end w:w="108" w:type="dxa"/>
        </w:tblCellMar>
      </w:tblPr>
      <w:tblGrid>
        <w:gridCol w:w="1599"/>
        <w:gridCol w:w="1488"/>
        <w:gridCol w:w="1340"/>
        <w:gridCol w:w="1343"/>
        <w:gridCol w:w="1193"/>
        <w:gridCol w:w="1190"/>
        <w:gridCol w:w="792"/>
      </w:tblGrid>
      <w:tr>
        <w:trPr>
          <w:trHeight w:val="817"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序列</w:t>
            </w:r>
          </w:p>
        </w:tc>
        <w:tc>
          <w:tcPr>
            <w:tcW w:w="7346" w:type="dxa"/>
            <w:gridSpan w:val="6"/>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center"/>
              <w:textAlignment w:val="auto"/>
              <w:rPr>
                <w:rFonts w:ascii="楷体" w:hAnsi="楷体" w:eastAsia="楷体" w:cs="楷体"/>
                <w:sz w:val="24"/>
                <w:szCs w:val="24"/>
              </w:rPr>
            </w:pPr>
            <w:r>
              <w:rPr>
                <w:rFonts w:ascii="SimHei" w:hAnsi="SimHei" w:cs="楷体" w:eastAsia="黑体"/>
                <w:sz w:val="24"/>
                <w:szCs w:val="24"/>
              </w:rPr>
              <w:t>晋升方向</w:t>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管理序列</w:t>
            </w:r>
          </w:p>
        </w:tc>
        <w:tc>
          <w:tcPr>
            <w:tcW w:w="1488"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副部长</w:t>
            </w:r>
          </w:p>
        </w:tc>
        <w:tc>
          <w:tcPr>
            <w:tcW w:w="134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部长</w:t>
            </w:r>
          </w:p>
        </w:tc>
        <w:tc>
          <w:tcPr>
            <w:tcW w:w="134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总助</w:t>
            </w:r>
          </w:p>
        </w:tc>
        <w:tc>
          <w:tcPr>
            <w:tcW w:w="119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晋升时间要求</w:t>
            </w:r>
          </w:p>
        </w:tc>
        <w:tc>
          <w:tcPr>
            <w:tcW w:w="1488"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在公司相关岗位</w:t>
            </w:r>
            <w:r>
              <w:rPr>
                <w:rFonts w:eastAsia="黑体" w:cs="楷体" w:ascii="SimHei" w:hAnsi="SimHei"/>
                <w:sz w:val="24"/>
                <w:szCs w:val="24"/>
              </w:rPr>
              <w:t>2</w:t>
            </w:r>
            <w:r>
              <w:rPr>
                <w:rFonts w:ascii="SimHei" w:hAnsi="SimHei" w:cs="楷体" w:eastAsia="黑体"/>
                <w:sz w:val="24"/>
                <w:szCs w:val="24"/>
              </w:rPr>
              <w:t>年</w:t>
            </w:r>
          </w:p>
        </w:tc>
        <w:tc>
          <w:tcPr>
            <w:tcW w:w="134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在公司相关岗位</w:t>
            </w:r>
            <w:r>
              <w:rPr>
                <w:rFonts w:eastAsia="黑体" w:cs="楷体" w:ascii="SimHei" w:hAnsi="SimHei"/>
                <w:sz w:val="24"/>
                <w:szCs w:val="24"/>
              </w:rPr>
              <w:t>3</w:t>
            </w:r>
            <w:r>
              <w:rPr>
                <w:rFonts w:ascii="SimHei" w:hAnsi="SimHei" w:cs="楷体" w:eastAsia="黑体"/>
                <w:sz w:val="24"/>
                <w:szCs w:val="24"/>
              </w:rPr>
              <w:t>年</w:t>
            </w:r>
          </w:p>
        </w:tc>
        <w:tc>
          <w:tcPr>
            <w:tcW w:w="134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行政事务序列</w:t>
            </w:r>
          </w:p>
        </w:tc>
        <w:tc>
          <w:tcPr>
            <w:tcW w:w="1488"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助理</w:t>
            </w:r>
          </w:p>
        </w:tc>
        <w:tc>
          <w:tcPr>
            <w:tcW w:w="134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专员</w:t>
            </w:r>
          </w:p>
        </w:tc>
        <w:tc>
          <w:tcPr>
            <w:tcW w:w="134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主管</w:t>
            </w:r>
          </w:p>
        </w:tc>
        <w:tc>
          <w:tcPr>
            <w:tcW w:w="119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晋升时间要求</w:t>
            </w:r>
          </w:p>
        </w:tc>
        <w:tc>
          <w:tcPr>
            <w:tcW w:w="1488"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在公司相关岗位</w:t>
            </w:r>
            <w:r>
              <w:rPr>
                <w:rFonts w:eastAsia="黑体" w:cs="楷体" w:ascii="SimHei" w:hAnsi="SimHei"/>
                <w:sz w:val="24"/>
                <w:szCs w:val="24"/>
              </w:rPr>
              <w:t>2</w:t>
            </w:r>
            <w:r>
              <w:rPr>
                <w:rFonts w:ascii="SimHei" w:hAnsi="SimHei" w:cs="楷体" w:eastAsia="黑体"/>
                <w:sz w:val="24"/>
                <w:szCs w:val="24"/>
              </w:rPr>
              <w:t>年</w:t>
            </w:r>
          </w:p>
        </w:tc>
        <w:tc>
          <w:tcPr>
            <w:tcW w:w="134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在公司相关位</w:t>
            </w:r>
            <w:r>
              <w:rPr>
                <w:rFonts w:eastAsia="黑体" w:cs="楷体" w:ascii="SimHei" w:hAnsi="SimHei"/>
                <w:sz w:val="24"/>
                <w:szCs w:val="24"/>
              </w:rPr>
              <w:t>2</w:t>
            </w:r>
            <w:r>
              <w:rPr>
                <w:rFonts w:ascii="SimHei" w:hAnsi="SimHei" w:cs="楷体" w:eastAsia="黑体"/>
                <w:sz w:val="24"/>
                <w:szCs w:val="24"/>
              </w:rPr>
              <w:t>年</w:t>
            </w:r>
          </w:p>
        </w:tc>
        <w:tc>
          <w:tcPr>
            <w:tcW w:w="134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生产操作序列</w:t>
            </w:r>
          </w:p>
        </w:tc>
        <w:tc>
          <w:tcPr>
            <w:tcW w:w="1488"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初级工</w:t>
            </w:r>
          </w:p>
        </w:tc>
        <w:tc>
          <w:tcPr>
            <w:tcW w:w="134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中级工</w:t>
            </w:r>
          </w:p>
        </w:tc>
        <w:tc>
          <w:tcPr>
            <w:tcW w:w="134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高级工</w:t>
            </w:r>
          </w:p>
        </w:tc>
        <w:tc>
          <w:tcPr>
            <w:tcW w:w="119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副值</w:t>
            </w:r>
          </w:p>
        </w:tc>
        <w:tc>
          <w:tcPr>
            <w:tcW w:w="119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主值</w:t>
            </w:r>
          </w:p>
        </w:tc>
        <w:tc>
          <w:tcPr>
            <w:tcW w:w="792"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值长</w:t>
            </w:r>
            <w:r>
              <w:rPr>
                <w:rFonts w:eastAsia="黑体" w:cs="楷体" w:ascii="SimHei" w:hAnsi="SimHei"/>
                <w:sz w:val="24"/>
                <w:szCs w:val="24"/>
              </w:rPr>
              <w:t>/</w:t>
            </w:r>
            <w:r>
              <w:rPr>
                <w:rFonts w:ascii="SimHei" w:hAnsi="SimHei" w:cs="楷体" w:eastAsia="黑体"/>
                <w:sz w:val="24"/>
                <w:szCs w:val="24"/>
              </w:rPr>
              <w:t>专工</w:t>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晋升时间要求</w:t>
            </w:r>
          </w:p>
        </w:tc>
        <w:tc>
          <w:tcPr>
            <w:tcW w:w="1488"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在公司相关岗位</w:t>
            </w:r>
            <w:r>
              <w:rPr>
                <w:rFonts w:eastAsia="黑体" w:cs="楷体" w:ascii="SimHei" w:hAnsi="SimHei"/>
                <w:sz w:val="24"/>
                <w:szCs w:val="24"/>
              </w:rPr>
              <w:t>1</w:t>
            </w:r>
            <w:r>
              <w:rPr>
                <w:rFonts w:ascii="SimHei" w:hAnsi="SimHei" w:cs="楷体" w:eastAsia="黑体"/>
                <w:sz w:val="24"/>
                <w:szCs w:val="24"/>
              </w:rPr>
              <w:t>年</w:t>
            </w:r>
          </w:p>
        </w:tc>
        <w:tc>
          <w:tcPr>
            <w:tcW w:w="134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在公司相关位累计</w:t>
            </w:r>
            <w:r>
              <w:rPr>
                <w:rFonts w:eastAsia="黑体" w:cs="楷体" w:ascii="SimHei" w:hAnsi="SimHei"/>
                <w:sz w:val="24"/>
                <w:szCs w:val="24"/>
              </w:rPr>
              <w:t>2</w:t>
            </w:r>
            <w:r>
              <w:rPr>
                <w:rFonts w:ascii="SimHei" w:hAnsi="SimHei" w:cs="楷体" w:eastAsia="黑体"/>
                <w:sz w:val="24"/>
                <w:szCs w:val="24"/>
              </w:rPr>
              <w:t>年</w:t>
            </w:r>
          </w:p>
        </w:tc>
        <w:tc>
          <w:tcPr>
            <w:tcW w:w="134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在公司相关岗位累计</w:t>
            </w:r>
            <w:r>
              <w:rPr>
                <w:rFonts w:eastAsia="黑体" w:cs="楷体" w:ascii="SimHei" w:hAnsi="SimHei"/>
                <w:sz w:val="24"/>
                <w:szCs w:val="24"/>
              </w:rPr>
              <w:t>3</w:t>
            </w:r>
            <w:r>
              <w:rPr>
                <w:rFonts w:ascii="SimHei" w:hAnsi="SimHei" w:cs="楷体" w:eastAsia="黑体"/>
                <w:sz w:val="24"/>
                <w:szCs w:val="24"/>
              </w:rPr>
              <w:t>年</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在公司本岗位</w:t>
            </w:r>
            <w:r>
              <w:rPr>
                <w:rFonts w:eastAsia="黑体" w:cs="楷体" w:ascii="SimHei" w:hAnsi="SimHei"/>
                <w:sz w:val="24"/>
                <w:szCs w:val="24"/>
              </w:rPr>
              <w:t>2</w:t>
            </w:r>
            <w:r>
              <w:rPr>
                <w:rFonts w:ascii="SimHei" w:hAnsi="SimHei" w:cs="楷体" w:eastAsia="黑体"/>
                <w:sz w:val="24"/>
                <w:szCs w:val="24"/>
              </w:rPr>
              <w:t>年</w:t>
            </w:r>
          </w:p>
        </w:tc>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在公司本岗位</w:t>
            </w:r>
            <w:r>
              <w:rPr>
                <w:rFonts w:eastAsia="黑体" w:cs="楷体" w:ascii="SimHei" w:hAnsi="SimHei"/>
                <w:sz w:val="24"/>
                <w:szCs w:val="24"/>
              </w:rPr>
              <w:t>2</w:t>
            </w:r>
            <w:r>
              <w:rPr>
                <w:rFonts w:ascii="SimHei" w:hAnsi="SimHei" w:cs="楷体" w:eastAsia="黑体"/>
                <w:sz w:val="24"/>
                <w:szCs w:val="24"/>
              </w:rPr>
              <w:t>年</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工程技术序列</w:t>
            </w:r>
          </w:p>
        </w:tc>
        <w:tc>
          <w:tcPr>
            <w:tcW w:w="1488"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技术员</w:t>
            </w:r>
          </w:p>
        </w:tc>
        <w:tc>
          <w:tcPr>
            <w:tcW w:w="134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助理工程师</w:t>
            </w:r>
          </w:p>
        </w:tc>
        <w:tc>
          <w:tcPr>
            <w:tcW w:w="134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工程师</w:t>
            </w:r>
          </w:p>
        </w:tc>
        <w:tc>
          <w:tcPr>
            <w:tcW w:w="1193"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高级工程师</w:t>
            </w:r>
          </w:p>
        </w:tc>
        <w:tc>
          <w:tcPr>
            <w:tcW w:w="1190"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shd w:fill="E5DFEC" w:val="clear"/>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r>
        <w:trPr>
          <w:trHeight w:val="817"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晋升时间要求</w:t>
            </w:r>
          </w:p>
        </w:tc>
        <w:tc>
          <w:tcPr>
            <w:tcW w:w="5364" w:type="dxa"/>
            <w:gridSpan w:val="4"/>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取得国家相关资质证书，试用合格进入相关序列等级</w:t>
            </w:r>
          </w:p>
        </w:tc>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r>
    </w:tbl>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各层级岗位的横向晋升，是员工在自身所在序列工资等级中由低档位向高档位的晋升，横向晋升以逐档晋升为原则。</w:t>
      </w:r>
    </w:p>
    <w:p>
      <w:pPr>
        <w:pStyle w:val="Style15"/>
        <w:pageBreakBefore w:val="false"/>
        <w:numPr>
          <w:ilvl w:val="0"/>
          <w:numId w:val="2"/>
        </w:numPr>
        <w:kinsoku w:val="true"/>
        <w:overflowPunct w:val="true"/>
        <w:autoSpaceDE w:val="false"/>
        <w:bidi w:val="0"/>
        <w:snapToGrid w:val="true"/>
        <w:spacing w:lineRule="auto" w:line="360"/>
        <w:ind w:start="0" w:firstLine="420"/>
        <w:jc w:val="both"/>
        <w:textAlignment w:val="auto"/>
        <w:rPr>
          <w:rFonts w:cs="楷体"/>
        </w:rPr>
      </w:pPr>
      <w:r>
        <w:rPr>
          <w:rFonts w:ascii="SimHei" w:hAnsi="SimHei" w:cs="楷体" w:eastAsia="黑体"/>
          <w:color w:val="000000"/>
          <w:kern w:val="0"/>
          <w:sz w:val="24"/>
          <w:szCs w:val="24"/>
        </w:rPr>
        <w:t>各序列岗位晋升采取控制总额的方法，原则上根据考评情况，使适合晋升的员工正常晋升。各序列岗位晋升比例如下：</w:t>
      </w:r>
    </w:p>
    <w:tbl>
      <w:tblPr>
        <w:tblW w:w="5000" w:type="pct"/>
        <w:jc w:val="center"/>
        <w:tblInd w:w="0" w:type="dxa"/>
        <w:tblLayout w:type="fixed"/>
        <w:tblCellMar>
          <w:top w:w="0" w:type="dxa"/>
          <w:start w:w="108" w:type="dxa"/>
          <w:bottom w:w="0" w:type="dxa"/>
          <w:end w:w="108" w:type="dxa"/>
        </w:tblCellMar>
      </w:tblPr>
      <w:tblGrid>
        <w:gridCol w:w="1236"/>
        <w:gridCol w:w="1065"/>
        <w:gridCol w:w="1065"/>
        <w:gridCol w:w="724"/>
        <w:gridCol w:w="723"/>
        <w:gridCol w:w="724"/>
        <w:gridCol w:w="723"/>
        <w:gridCol w:w="895"/>
        <w:gridCol w:w="894"/>
        <w:gridCol w:w="896"/>
      </w:tblGrid>
      <w:tr>
        <w:trPr>
          <w:trHeight w:val="934" w:hRule="atLeast"/>
        </w:trPr>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065"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综合办公室</w:t>
            </w:r>
          </w:p>
        </w:tc>
        <w:tc>
          <w:tcPr>
            <w:tcW w:w="1065"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计划财务部</w:t>
            </w:r>
          </w:p>
        </w:tc>
        <w:tc>
          <w:tcPr>
            <w:tcW w:w="724"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燃料部</w:t>
            </w:r>
          </w:p>
        </w:tc>
        <w:tc>
          <w:tcPr>
            <w:tcW w:w="723"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物资部</w:t>
            </w:r>
          </w:p>
        </w:tc>
        <w:tc>
          <w:tcPr>
            <w:tcW w:w="724"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运行部</w:t>
            </w:r>
          </w:p>
        </w:tc>
        <w:tc>
          <w:tcPr>
            <w:tcW w:w="723"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安技部</w:t>
            </w:r>
          </w:p>
        </w:tc>
        <w:tc>
          <w:tcPr>
            <w:tcW w:w="895"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技术中心</w:t>
            </w:r>
          </w:p>
        </w:tc>
        <w:tc>
          <w:tcPr>
            <w:tcW w:w="894"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晋升比例</w:t>
            </w:r>
          </w:p>
        </w:tc>
        <w:tc>
          <w:tcPr>
            <w:tcW w:w="896" w:type="dxa"/>
            <w:tcBorders>
              <w:top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晋升人数</w:t>
            </w:r>
          </w:p>
        </w:tc>
      </w:tr>
      <w:tr>
        <w:trPr>
          <w:trHeight w:val="934" w:hRule="atLeast"/>
        </w:trPr>
        <w:tc>
          <w:tcPr>
            <w:tcW w:w="1236" w:type="dxa"/>
            <w:tcBorders>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管理序列</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w:t>
            </w:r>
          </w:p>
        </w:tc>
        <w:tc>
          <w:tcPr>
            <w:tcW w:w="89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89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w:t>
            </w:r>
          </w:p>
        </w:tc>
        <w:tc>
          <w:tcPr>
            <w:tcW w:w="896"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w:t>
            </w:r>
          </w:p>
        </w:tc>
      </w:tr>
      <w:tr>
        <w:trPr>
          <w:trHeight w:val="934" w:hRule="atLeast"/>
        </w:trPr>
        <w:tc>
          <w:tcPr>
            <w:tcW w:w="1236" w:type="dxa"/>
            <w:tcBorders>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行政事务序列</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5</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6</w:t>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w:t>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6</w:t>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89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5</w:t>
            </w:r>
          </w:p>
        </w:tc>
        <w:tc>
          <w:tcPr>
            <w:tcW w:w="89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w:t>
            </w:r>
          </w:p>
        </w:tc>
        <w:tc>
          <w:tcPr>
            <w:tcW w:w="896"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9</w:t>
            </w:r>
          </w:p>
        </w:tc>
      </w:tr>
      <w:tr>
        <w:trPr>
          <w:trHeight w:val="934" w:hRule="atLeast"/>
        </w:trPr>
        <w:tc>
          <w:tcPr>
            <w:tcW w:w="1236" w:type="dxa"/>
            <w:tcBorders>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生产操作序列</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75</w:t>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89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89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w:t>
            </w:r>
          </w:p>
        </w:tc>
        <w:tc>
          <w:tcPr>
            <w:tcW w:w="896"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r>
      <w:tr>
        <w:trPr>
          <w:trHeight w:val="934" w:hRule="atLeast"/>
        </w:trPr>
        <w:tc>
          <w:tcPr>
            <w:tcW w:w="1236" w:type="dxa"/>
            <w:tcBorders>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工程技术序列</w:t>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106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723"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6</w:t>
            </w:r>
          </w:p>
        </w:tc>
        <w:tc>
          <w:tcPr>
            <w:tcW w:w="895"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894"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w:t>
            </w:r>
          </w:p>
        </w:tc>
        <w:tc>
          <w:tcPr>
            <w:tcW w:w="896" w:type="dxa"/>
            <w:tcBorders>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w:t>
            </w:r>
          </w:p>
        </w:tc>
      </w:tr>
    </w:tbl>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除生产操作序列巡检、检修工种由初级向中级、中级向高级的晋升以季度为晋升时间要求外，各序列岗位的纵向晋升按年度进行。</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巡检岗位的晋升的特殊规定</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（一）初级巡检从薪酬</w:t>
      </w:r>
      <w:r>
        <w:rPr>
          <w:rFonts w:eastAsia="黑体" w:cs="楷体" w:ascii="SimHei" w:hAnsi="SimHei"/>
          <w:sz w:val="24"/>
          <w:szCs w:val="24"/>
        </w:rPr>
        <w:t>1</w:t>
      </w:r>
      <w:r>
        <w:rPr>
          <w:rFonts w:ascii="SimHei" w:hAnsi="SimHei" w:cs="楷体" w:eastAsia="黑体"/>
          <w:sz w:val="24"/>
          <w:szCs w:val="24"/>
        </w:rPr>
        <w:t>级</w:t>
      </w:r>
      <w:r>
        <w:rPr>
          <w:rFonts w:eastAsia="黑体" w:cs="楷体" w:ascii="SimHei" w:hAnsi="SimHei"/>
          <w:sz w:val="24"/>
          <w:szCs w:val="24"/>
        </w:rPr>
        <w:t>1</w:t>
      </w:r>
      <w:r>
        <w:rPr>
          <w:rFonts w:ascii="SimHei" w:hAnsi="SimHei" w:cs="楷体" w:eastAsia="黑体"/>
          <w:sz w:val="24"/>
          <w:szCs w:val="24"/>
        </w:rPr>
        <w:t>档开始，在转正定档后的半年内，每个月经过考试合格晋升一档，半年后，每三个月经过考核合格晋升一档。</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（二）在初级巡检岗位工作满一年的巡检员工，须向公司提出晋升中级岗位申请，经过公司组织考核合格，按照一定比例晋升第</w:t>
      </w:r>
      <w:r>
        <w:rPr>
          <w:rFonts w:eastAsia="黑体" w:cs="楷体" w:ascii="SimHei" w:hAnsi="SimHei"/>
          <w:sz w:val="24"/>
          <w:szCs w:val="24"/>
        </w:rPr>
        <w:t>2</w:t>
      </w:r>
      <w:r>
        <w:rPr>
          <w:rFonts w:ascii="SimHei" w:hAnsi="SimHei" w:cs="楷体" w:eastAsia="黑体"/>
          <w:sz w:val="24"/>
          <w:szCs w:val="24"/>
        </w:rPr>
        <w:t>薪酬等级，按照就近就高的原则套入第</w:t>
      </w:r>
      <w:r>
        <w:rPr>
          <w:rFonts w:eastAsia="黑体" w:cs="楷体" w:ascii="SimHei" w:hAnsi="SimHei"/>
          <w:sz w:val="24"/>
          <w:szCs w:val="24"/>
        </w:rPr>
        <w:t>2</w:t>
      </w:r>
      <w:r>
        <w:rPr>
          <w:rFonts w:ascii="SimHei" w:hAnsi="SimHei" w:cs="楷体" w:eastAsia="黑体"/>
          <w:sz w:val="24"/>
          <w:szCs w:val="24"/>
        </w:rPr>
        <w:t>薪酬等级的相应档位。在新的薪级薪档上，每三个月经过考核合格进入下一档。</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（三）在中级巡检岗位工作满一年的巡检员工，须向公司提出晋升高级岗位申请，经过公司组织考核合格，按照一定比例晋升第</w:t>
      </w:r>
      <w:r>
        <w:rPr>
          <w:rFonts w:eastAsia="黑体" w:cs="楷体" w:ascii="SimHei" w:hAnsi="SimHei"/>
          <w:sz w:val="24"/>
          <w:szCs w:val="24"/>
        </w:rPr>
        <w:t>3</w:t>
      </w:r>
      <w:r>
        <w:rPr>
          <w:rFonts w:ascii="SimHei" w:hAnsi="SimHei" w:cs="楷体" w:eastAsia="黑体"/>
          <w:sz w:val="24"/>
          <w:szCs w:val="24"/>
        </w:rPr>
        <w:t>薪酬等级，按照就近就高的原则套入第</w:t>
      </w:r>
      <w:r>
        <w:rPr>
          <w:rFonts w:eastAsia="黑体" w:cs="楷体" w:ascii="SimHei" w:hAnsi="SimHei"/>
          <w:sz w:val="24"/>
          <w:szCs w:val="24"/>
        </w:rPr>
        <w:t>4</w:t>
      </w:r>
      <w:r>
        <w:rPr>
          <w:rFonts w:ascii="SimHei" w:hAnsi="SimHei" w:cs="楷体" w:eastAsia="黑体"/>
          <w:sz w:val="24"/>
          <w:szCs w:val="24"/>
        </w:rPr>
        <w:t>薪酬等级的相应档位。</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（四）在进入高级巡检岗位后，高级巡检的横向晋升按照年度进行。</w:t>
      </w:r>
    </w:p>
    <w:p>
      <w:pPr>
        <w:pStyle w:val="Style15"/>
        <w:pageBreakBefore w:val="false"/>
        <w:numPr>
          <w:ilvl w:val="0"/>
          <w:numId w:val="2"/>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检修岗位晋升的特殊规定</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（一）初级检修从薪酬</w:t>
      </w:r>
      <w:r>
        <w:rPr>
          <w:rFonts w:eastAsia="黑体" w:cs="楷体" w:ascii="SimHei" w:hAnsi="SimHei"/>
          <w:sz w:val="24"/>
          <w:szCs w:val="24"/>
        </w:rPr>
        <w:t>2</w:t>
      </w:r>
      <w:r>
        <w:rPr>
          <w:rFonts w:ascii="SimHei" w:hAnsi="SimHei" w:cs="楷体" w:eastAsia="黑体"/>
          <w:sz w:val="24"/>
          <w:szCs w:val="24"/>
        </w:rPr>
        <w:t>级</w:t>
      </w:r>
      <w:r>
        <w:rPr>
          <w:rFonts w:eastAsia="黑体" w:cs="楷体" w:ascii="SimHei" w:hAnsi="SimHei"/>
          <w:sz w:val="24"/>
          <w:szCs w:val="24"/>
        </w:rPr>
        <w:t>1</w:t>
      </w:r>
      <w:r>
        <w:rPr>
          <w:rFonts w:ascii="SimHei" w:hAnsi="SimHei" w:cs="楷体" w:eastAsia="黑体"/>
          <w:sz w:val="24"/>
          <w:szCs w:val="24"/>
        </w:rPr>
        <w:t>档开始，在转正定档后的三个月内，每个月经过考试合格晋升一档，半年后，每三个月经过考核合格晋升一档。</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（二）在初级检修岗位工作满一年的巡检员工，须向公司提出晋升中级岗位申请，经公司组织考核合格，按照一定比例人数晋升第</w:t>
      </w:r>
      <w:r>
        <w:rPr>
          <w:rFonts w:eastAsia="黑体" w:cs="楷体" w:ascii="SimHei" w:hAnsi="SimHei"/>
          <w:sz w:val="24"/>
          <w:szCs w:val="24"/>
        </w:rPr>
        <w:t>3</w:t>
      </w:r>
      <w:r>
        <w:rPr>
          <w:rFonts w:ascii="SimHei" w:hAnsi="SimHei" w:cs="楷体" w:eastAsia="黑体"/>
          <w:sz w:val="24"/>
          <w:szCs w:val="24"/>
        </w:rPr>
        <w:t>薪酬等级，按照就近就高的原则套入第</w:t>
      </w:r>
      <w:r>
        <w:rPr>
          <w:rFonts w:eastAsia="黑体" w:cs="楷体" w:ascii="SimHei" w:hAnsi="SimHei"/>
          <w:sz w:val="24"/>
          <w:szCs w:val="24"/>
        </w:rPr>
        <w:t>3</w:t>
      </w:r>
      <w:r>
        <w:rPr>
          <w:rFonts w:ascii="SimHei" w:hAnsi="SimHei" w:cs="楷体" w:eastAsia="黑体"/>
          <w:sz w:val="24"/>
          <w:szCs w:val="24"/>
        </w:rPr>
        <w:t>薪酬等级的相应档位。</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（三）进入中级检修岗位后，中级检修横向晋升按照年度进。</w:t>
      </w:r>
      <w:bookmarkStart w:id="3" w:name="__RefHeading___Toc377855137"/>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562"/>
        <w:jc w:val="center"/>
        <w:textAlignment w:val="auto"/>
        <w:rPr>
          <w:rFonts w:ascii="楷体" w:hAnsi="楷体" w:eastAsia="楷体" w:cs="楷体"/>
          <w:b/>
          <w:b/>
          <w:bCs/>
          <w:sz w:val="28"/>
          <w:szCs w:val="28"/>
        </w:rPr>
      </w:pPr>
      <w:r>
        <w:rPr>
          <w:rFonts w:ascii="SimHei" w:hAnsi="SimHei" w:cs="楷体" w:eastAsia="黑体"/>
          <w:b/>
          <w:bCs/>
          <w:sz w:val="28"/>
          <w:szCs w:val="28"/>
          <w:lang w:val="en-US" w:eastAsia="zh-CN"/>
        </w:rPr>
        <w:t xml:space="preserve">第四章  </w:t>
      </w:r>
      <w:r>
        <w:rPr>
          <w:rFonts w:ascii="SimHei" w:hAnsi="SimHei" w:cs="楷体" w:eastAsia="黑体"/>
          <w:b/>
          <w:bCs/>
          <w:sz w:val="28"/>
          <w:szCs w:val="28"/>
        </w:rPr>
        <w:t>晋升程序</w:t>
      </w:r>
      <w:bookmarkEnd w:id="3"/>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员工晋升实行定期晋升和不定期晋升两类</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（一）定期晋升</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每年年底由公司组织实施综合考评，统一实施晋升计划。</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（二）不定期晋升</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对组织有特殊贡献、表现优异的员工，可随时予以提升。</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符合晋升条件的各序列员工按以下程序进行晋升</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（一）员工本人在规定的时间内向综合办人力资源部和本单位负责人提出晋升申请。</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（二）员工所在部门复核后，可以根据员工的实际情况向人力资源部门推荐。</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（三）人力资源部门对本年内提出申请的员工进行复查，确认其是否符合晋升条件。</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（四）人力资源部门将符合晋升条件人员名单提交公司评审委员会，由评审委员会对名单人员集中组织实施综合评审。</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（五）综合评审通过后，由综合办人力资源部制定并下发文件公布最终结果，同时调整相关员工的岗位级别和档位。</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下列情况不纳入晋升考评</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（一）严重违反公司规章制度、受到处罚者。</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（二）年度有三次及以上未按计划参加培训者。</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（三）按年晋升的员工，年度内请假累计超过</w:t>
      </w:r>
      <w:r>
        <w:rPr>
          <w:rFonts w:eastAsia="黑体" w:cs="楷体" w:ascii="SimHei" w:hAnsi="SimHei"/>
          <w:sz w:val="24"/>
          <w:szCs w:val="24"/>
        </w:rPr>
        <w:t>30</w:t>
      </w:r>
      <w:r>
        <w:rPr>
          <w:rFonts w:ascii="SimHei" w:hAnsi="SimHei" w:cs="楷体" w:eastAsia="黑体"/>
          <w:sz w:val="24"/>
          <w:szCs w:val="24"/>
        </w:rPr>
        <w:t>天（有证明的婚假、丧假、工伤假、产假、公假除外），迟到次数超过</w:t>
      </w:r>
      <w:r>
        <w:rPr>
          <w:rFonts w:eastAsia="黑体" w:cs="楷体" w:ascii="SimHei" w:hAnsi="SimHei"/>
          <w:sz w:val="24"/>
          <w:szCs w:val="24"/>
        </w:rPr>
        <w:t>10</w:t>
      </w:r>
      <w:r>
        <w:rPr>
          <w:rFonts w:ascii="SimHei" w:hAnsi="SimHei" w:cs="楷体" w:eastAsia="黑体"/>
          <w:sz w:val="24"/>
          <w:szCs w:val="24"/>
        </w:rPr>
        <w:t>次者。</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（四）年度内连续</w:t>
      </w:r>
      <w:r>
        <w:rPr>
          <w:rFonts w:eastAsia="黑体" w:cs="楷体" w:ascii="SimHei" w:hAnsi="SimHei"/>
          <w:sz w:val="24"/>
          <w:szCs w:val="24"/>
        </w:rPr>
        <w:t>2</w:t>
      </w:r>
      <w:r>
        <w:rPr>
          <w:rFonts w:ascii="SimHei" w:hAnsi="SimHei" w:cs="楷体" w:eastAsia="黑体"/>
          <w:sz w:val="24"/>
          <w:szCs w:val="24"/>
        </w:rPr>
        <w:t>次和累计</w:t>
      </w:r>
      <w:r>
        <w:rPr>
          <w:rFonts w:eastAsia="黑体" w:cs="楷体" w:ascii="SimHei" w:hAnsi="SimHei"/>
          <w:sz w:val="24"/>
          <w:szCs w:val="24"/>
        </w:rPr>
        <w:t>3</w:t>
      </w:r>
      <w:r>
        <w:rPr>
          <w:rFonts w:ascii="SimHei" w:hAnsi="SimHei" w:cs="楷体" w:eastAsia="黑体"/>
          <w:sz w:val="24"/>
          <w:szCs w:val="24"/>
        </w:rPr>
        <w:t>次绩效考核成绩被评价为</w:t>
      </w:r>
      <w:r>
        <w:rPr>
          <w:rFonts w:eastAsia="黑体" w:cs="楷体" w:ascii="SimHei" w:hAnsi="SimHei"/>
          <w:sz w:val="24"/>
          <w:szCs w:val="24"/>
        </w:rPr>
        <w:t>E</w:t>
      </w:r>
      <w:r>
        <w:rPr>
          <w:rFonts w:ascii="SimHei" w:hAnsi="SimHei" w:cs="楷体" w:eastAsia="黑体"/>
          <w:sz w:val="24"/>
          <w:szCs w:val="24"/>
        </w:rPr>
        <w:t>者。</w:t>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sz w:val="28"/>
          <w:szCs w:val="28"/>
        </w:rPr>
      </w:pPr>
      <w:bookmarkStart w:id="4" w:name="__RefHeading___Toc377855138"/>
      <w:bookmarkEnd w:id="4"/>
      <w:r>
        <w:rPr>
          <w:rFonts w:ascii="SimHei" w:hAnsi="SimHei" w:cs="楷体" w:eastAsia="黑体"/>
          <w:sz w:val="28"/>
          <w:szCs w:val="28"/>
          <w:lang w:val="en-US" w:eastAsia="zh-CN"/>
        </w:rPr>
        <w:t xml:space="preserve">第五章  </w:t>
      </w:r>
      <w:r>
        <w:rPr>
          <w:rFonts w:ascii="SimHei" w:hAnsi="SimHei" w:cs="楷体" w:eastAsia="黑体"/>
          <w:sz w:val="28"/>
          <w:szCs w:val="28"/>
        </w:rPr>
        <w:t>晋升考评内容</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晋升管理实行能上能下，能进能出的动态管理。能力和工作业绩突出的员工将优先获得晋升的机会，不称职或出现重大责任事故、违纪事件的员工将被降职使用。</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员工可以根据各层级晋升条件和要求，自行提出纵向晋升或横向晋升的申请。公司在进行评价时，公开考评标准，确保整个评分过程和晋升的公开、公正和透明。</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晋升采取综合考评制，员工必须得到足够的相应的评价分数才可以晋升到相应职级或相应等级的档位。</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综合考评统一在每年的年底由公司评审委员会组织进行。考评成员由公司领导、管理层、专工、员工代表等组成</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综合考评按各序列进行组织，综合考虑员工的工作绩效、能力，并综合考虑员工的道德素质，适应性以及培养潜力。</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cs="楷体"/>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生产操作序列考评内容</w:t>
      </w:r>
    </w:p>
    <w:tbl>
      <w:tblPr>
        <w:tblW w:w="8515" w:type="dxa"/>
        <w:jc w:val="center"/>
        <w:tblInd w:w="0" w:type="dxa"/>
        <w:tblLayout w:type="fixed"/>
        <w:tblCellMar>
          <w:top w:w="0" w:type="dxa"/>
          <w:start w:w="108" w:type="dxa"/>
          <w:bottom w:w="0" w:type="dxa"/>
          <w:end w:w="108" w:type="dxa"/>
        </w:tblCellMar>
      </w:tblPr>
      <w:tblGrid>
        <w:gridCol w:w="1384"/>
        <w:gridCol w:w="2693"/>
        <w:gridCol w:w="993"/>
        <w:gridCol w:w="2409"/>
        <w:gridCol w:w="1036"/>
      </w:tblGrid>
      <w:tr>
        <w:trPr>
          <w:trHeight w:val="623"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考评内容</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重点</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占比</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组织形式</w:t>
            </w:r>
          </w:p>
        </w:tc>
        <w:tc>
          <w:tcPr>
            <w:tcW w:w="1036"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占比</w:t>
            </w:r>
          </w:p>
        </w:tc>
      </w:tr>
      <w:tr>
        <w:trPr>
          <w:trHeight w:val="623"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日常培训考试</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日常应知、应会、理论培训考试</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由各专业主管根据月度、季度进行组织</w:t>
            </w:r>
          </w:p>
        </w:tc>
        <w:tc>
          <w:tcPr>
            <w:tcW w:w="10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80%</w:t>
            </w:r>
          </w:p>
        </w:tc>
      </w:tr>
      <w:tr>
        <w:trPr>
          <w:trHeight w:val="623"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晋升考核</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专业技术考核</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70%</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考评委员会组织</w:t>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工作能力、态度考核评价</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日常工作业绩表现</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c>
          <w:tcPr>
            <w:tcW w:w="24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考评委员会组织</w:t>
            </w:r>
          </w:p>
        </w:tc>
        <w:tc>
          <w:tcPr>
            <w:tcW w:w="10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20%</w:t>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劳动纪律</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制度的遵守与执行情况</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合理化建议数量与质量</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发展潜力</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bl>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cs="楷体"/>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管理序列等其他各序列考评内容</w:t>
      </w:r>
    </w:p>
    <w:tbl>
      <w:tblPr>
        <w:tblW w:w="8515" w:type="dxa"/>
        <w:jc w:val="center"/>
        <w:tblInd w:w="0" w:type="dxa"/>
        <w:tblLayout w:type="fixed"/>
        <w:tblCellMar>
          <w:top w:w="0" w:type="dxa"/>
          <w:start w:w="108" w:type="dxa"/>
          <w:bottom w:w="0" w:type="dxa"/>
          <w:end w:w="108" w:type="dxa"/>
        </w:tblCellMar>
      </w:tblPr>
      <w:tblGrid>
        <w:gridCol w:w="1384"/>
        <w:gridCol w:w="2693"/>
        <w:gridCol w:w="993"/>
        <w:gridCol w:w="2409"/>
        <w:gridCol w:w="1036"/>
      </w:tblGrid>
      <w:tr>
        <w:trPr>
          <w:trHeight w:val="623"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考评内容</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重点</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占比</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组织形式</w:t>
            </w:r>
          </w:p>
        </w:tc>
        <w:tc>
          <w:tcPr>
            <w:tcW w:w="1036"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占比</w:t>
            </w:r>
          </w:p>
        </w:tc>
      </w:tr>
      <w:tr>
        <w:trPr>
          <w:trHeight w:val="623"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年度绩效考核</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评价年度内各月度绩效考核情况</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100%</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人力资源部门按月度进行考核、年度评价</w:t>
            </w:r>
          </w:p>
        </w:tc>
        <w:tc>
          <w:tcPr>
            <w:tcW w:w="1036"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60%</w:t>
            </w:r>
          </w:p>
        </w:tc>
      </w:tr>
      <w:tr>
        <w:trPr>
          <w:trHeight w:val="623" w:hRule="atLeast"/>
        </w:trPr>
        <w:tc>
          <w:tcPr>
            <w:tcW w:w="13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工作能力、态度考核评价</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日常工作业绩表现</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c>
          <w:tcPr>
            <w:tcW w:w="24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考评委员会组织</w:t>
            </w:r>
          </w:p>
        </w:tc>
        <w:tc>
          <w:tcPr>
            <w:tcW w:w="10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40%</w:t>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劳动纪律</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制度的遵守与执行情况</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20%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合理化建议数量与质量</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30%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r>
        <w:trPr>
          <w:trHeight w:val="623"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发展潜力</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10%</w:t>
            </w:r>
          </w:p>
        </w:tc>
        <w:tc>
          <w:tcPr>
            <w:tcW w:w="24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c>
          <w:tcPr>
            <w:tcW w:w="10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insoku w:val="true"/>
              <w:overflowPunct w:val="true"/>
              <w:bidi w:val="0"/>
              <w:snapToGrid w:val="false"/>
              <w:spacing w:lineRule="auto" w:line="360"/>
              <w:ind w:start="0" w:hanging="0"/>
              <w:jc w:val="both"/>
              <w:textAlignment w:val="auto"/>
              <w:rPr>
                <w:rFonts w:ascii="楷体" w:hAnsi="楷体" w:eastAsia="楷体" w:cs="楷体"/>
                <w:sz w:val="24"/>
                <w:szCs w:val="24"/>
              </w:rPr>
            </w:pPr>
            <w:r>
              <w:rPr>
                <w:rFonts w:eastAsia="楷体" w:cs="楷体" w:ascii="楷体" w:hAnsi="楷体"/>
                <w:sz w:val="24"/>
                <w:szCs w:val="24"/>
              </w:rPr>
            </w:r>
          </w:p>
        </w:tc>
      </w:tr>
    </w:tbl>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晋升评审程序</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（一）宣传发动</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公司评审委员会组组织召开相关范围的会议，对员工晋升考评工作进行宣传发动、提出要求。</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（二）信息发布</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由评审委员会公布员工考评方案，包括考评内容及方式、年度各序列晋升比例、考评分数核计方法等。</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（三）笔试</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被评估人参加由评审委员会统一命题的笔试。</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（四）考核评价</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由评审委员会工作组组织有关人员对被评估人进行综合评价。</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（五）评审委员会评估</w:t>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ascii="SimHei" w:hAnsi="SimHei" w:cs="楷体" w:eastAsia="黑体"/>
          <w:sz w:val="24"/>
          <w:szCs w:val="24"/>
        </w:rPr>
        <w:t>评审委员会结合笔试、综合考核评价，对每个岗位员工进行最终评分，按照岗位序列分类对成绩进行排序，根据晋升比例决定晋升人员名单。</w:t>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sz w:val="28"/>
          <w:szCs w:val="28"/>
        </w:rPr>
      </w:pPr>
      <w:bookmarkStart w:id="5" w:name="__RefHeading___Toc377855139"/>
      <w:bookmarkEnd w:id="5"/>
      <w:r>
        <w:rPr>
          <w:rFonts w:ascii="SimHei" w:hAnsi="SimHei" w:cs="楷体" w:eastAsia="黑体"/>
          <w:sz w:val="28"/>
          <w:szCs w:val="28"/>
          <w:lang w:val="en-US" w:eastAsia="zh-CN"/>
        </w:rPr>
        <w:t xml:space="preserve">第六章  </w:t>
      </w:r>
      <w:r>
        <w:rPr>
          <w:rFonts w:ascii="SimHei" w:hAnsi="SimHei" w:cs="楷体" w:eastAsia="黑体"/>
          <w:sz w:val="28"/>
          <w:szCs w:val="28"/>
        </w:rPr>
        <w:t>晋升例外管理</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晋升原则上不许越级提拔，即初级专员不许直接晋升为高级专员。但对于有特殊贡献或公司急需的人才，经人力资源部门审核，总经理办公会批准后可以越级晋升。</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各职层序列员工晋升时，原则上必须符合晋升条件和要求。但对于有特殊贡献或公司急需的人才，经人力资源部门审核，总经理办公会的批准后可以破格晋升。</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员工在现有岗位等级和档位上发生责任事故或违纪违规行为，将视情节予以降职使用，情节严重的将予以免职。</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经反映不能胜任本职层工作的员工，查实后将予以降职使用。</w:t>
      </w:r>
    </w:p>
    <w:p>
      <w:pPr>
        <w:pStyle w:val="Heading1"/>
        <w:pageBreakBefore w:val="false"/>
        <w:numPr>
          <w:ilvl w:val="0"/>
          <w:numId w:val="0"/>
        </w:numPr>
        <w:kinsoku w:val="true"/>
        <w:overflowPunct w:val="true"/>
        <w:bidi w:val="0"/>
        <w:snapToGrid w:val="true"/>
        <w:spacing w:lineRule="auto" w:line="360" w:before="0" w:after="0"/>
        <w:ind w:start="0" w:hanging="0"/>
        <w:jc w:val="center"/>
        <w:textAlignment w:val="auto"/>
        <w:rPr>
          <w:rFonts w:ascii="楷体" w:hAnsi="楷体" w:eastAsia="楷体" w:cs="楷体"/>
          <w:sz w:val="28"/>
          <w:szCs w:val="28"/>
        </w:rPr>
      </w:pPr>
      <w:bookmarkStart w:id="6" w:name="__RefHeading___Toc377855140"/>
      <w:bookmarkEnd w:id="6"/>
      <w:r>
        <w:rPr>
          <w:rFonts w:ascii="SimHei" w:hAnsi="SimHei" w:cs="楷体" w:eastAsia="黑体"/>
          <w:sz w:val="28"/>
          <w:szCs w:val="28"/>
          <w:lang w:val="en-US" w:eastAsia="zh-CN"/>
        </w:rPr>
        <w:t xml:space="preserve">第七章  </w:t>
      </w:r>
      <w:r>
        <w:rPr>
          <w:rFonts w:ascii="SimHei" w:hAnsi="SimHei" w:cs="楷体" w:eastAsia="黑体"/>
          <w:sz w:val="28"/>
          <w:szCs w:val="28"/>
        </w:rPr>
        <w:t>附则</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综合办人力资源部门根据公司的实际情况对本办法进行调整，经总经理会批准后实行。</w:t>
      </w:r>
    </w:p>
    <w:p>
      <w:pPr>
        <w:pStyle w:val="Style15"/>
        <w:pageBreakBefore w:val="false"/>
        <w:numPr>
          <w:ilvl w:val="0"/>
          <w:numId w:val="3"/>
        </w:numPr>
        <w:kinsoku w:val="true"/>
        <w:overflowPunct w:val="true"/>
        <w:autoSpaceDE w:val="false"/>
        <w:bidi w:val="0"/>
        <w:snapToGrid w:val="true"/>
        <w:spacing w:lineRule="auto" w:line="360"/>
        <w:ind w:start="0" w:firstLine="56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本办法是公司人力资源管理制度的组成部分，由综合办人力资源部门负责解释。</w:t>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Heading1"/>
        <w:pageBreakBefore w:val="false"/>
        <w:kinsoku w:val="true"/>
        <w:overflowPunct w:val="true"/>
        <w:bidi w:val="0"/>
        <w:snapToGrid w:val="true"/>
        <w:spacing w:lineRule="auto" w:line="360" w:before="0" w:after="0"/>
        <w:ind w:start="0" w:hanging="0"/>
        <w:jc w:val="both"/>
        <w:textAlignment w:val="auto"/>
        <w:rPr>
          <w:rFonts w:ascii="楷体" w:hAnsi="楷体" w:eastAsia="楷体" w:cs="楷体"/>
          <w:b w:val="false"/>
          <w:b w:val="false"/>
          <w:sz w:val="24"/>
          <w:szCs w:val="24"/>
        </w:rPr>
      </w:pPr>
      <w:bookmarkStart w:id="7" w:name="__RefHeading___Toc377855141"/>
      <w:bookmarkEnd w:id="7"/>
      <w:r>
        <w:rPr>
          <w:rFonts w:ascii="SimHei" w:hAnsi="SimHei" w:cs="楷体" w:eastAsia="黑体"/>
          <w:b w:val="false"/>
          <w:sz w:val="24"/>
          <w:szCs w:val="24"/>
        </w:rPr>
        <w:t>附件</w:t>
      </w:r>
      <w:r>
        <w:rPr>
          <w:rFonts w:eastAsia="黑体" w:cs="楷体" w:ascii="SimHei" w:hAnsi="SimHei"/>
          <w:b w:val="false"/>
          <w:sz w:val="24"/>
          <w:szCs w:val="24"/>
        </w:rPr>
        <w:t>1</w:t>
      </w:r>
      <w:r>
        <w:rPr>
          <w:rFonts w:ascii="SimHei" w:hAnsi="SimHei" w:cs="楷体" w:eastAsia="黑体"/>
          <w:b w:val="false"/>
          <w:sz w:val="24"/>
          <w:szCs w:val="24"/>
        </w:rPr>
        <w:t>：《员工晋级申请表》</w:t>
      </w:r>
    </w:p>
    <w:p>
      <w:pPr>
        <w:pStyle w:val="Heading1"/>
        <w:pageBreakBefore w:val="false"/>
        <w:kinsoku w:val="true"/>
        <w:overflowPunct w:val="true"/>
        <w:bidi w:val="0"/>
        <w:snapToGrid w:val="true"/>
        <w:spacing w:lineRule="auto" w:line="360" w:before="0" w:after="0"/>
        <w:ind w:start="0" w:hanging="0"/>
        <w:jc w:val="both"/>
        <w:textAlignment w:val="auto"/>
        <w:rPr>
          <w:rFonts w:ascii="楷体" w:hAnsi="楷体" w:eastAsia="楷体" w:cs="楷体"/>
          <w:sz w:val="24"/>
          <w:szCs w:val="24"/>
        </w:rPr>
      </w:pPr>
      <w:bookmarkStart w:id="8" w:name="__RefHeading___Toc377855142"/>
      <w:bookmarkEnd w:id="8"/>
      <w:r>
        <w:rPr>
          <w:rFonts w:ascii="SimHei" w:hAnsi="SimHei" w:cs="楷体" w:eastAsia="黑体"/>
          <w:b w:val="false"/>
          <w:sz w:val="24"/>
          <w:szCs w:val="24"/>
        </w:rPr>
        <w:t>附件</w:t>
      </w:r>
      <w:r>
        <w:rPr>
          <w:rFonts w:eastAsia="黑体" w:cs="楷体" w:ascii="SimHei" w:hAnsi="SimHei"/>
          <w:b w:val="false"/>
          <w:sz w:val="24"/>
          <w:szCs w:val="24"/>
        </w:rPr>
        <w:t>2</w:t>
      </w:r>
      <w:r>
        <w:rPr>
          <w:rFonts w:ascii="SimHei" w:hAnsi="SimHei" w:cs="楷体" w:eastAsia="黑体"/>
          <w:b w:val="false"/>
          <w:sz w:val="24"/>
          <w:szCs w:val="24"/>
        </w:rPr>
        <w:t>：《员工晋升考评流程》</w:t>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hanging="0"/>
        <w:jc w:val="both"/>
        <w:textAlignment w:val="auto"/>
        <w:rPr>
          <w:rFonts w:cs="楷体"/>
        </w:rPr>
      </w:pPr>
      <w:r>
        <w:rPr>
          <w:rFonts w:ascii="SimHei" w:hAnsi="SimHei" w:cs="楷体" w:eastAsia="黑体"/>
          <w:sz w:val="24"/>
          <w:szCs w:val="24"/>
        </w:rPr>
        <w:t>附件</w:t>
      </w:r>
      <w:r>
        <w:rPr>
          <w:rFonts w:eastAsia="黑体" w:cs="楷体" w:ascii="SimHei" w:hAnsi="SimHei"/>
          <w:sz w:val="24"/>
          <w:szCs w:val="24"/>
        </w:rPr>
        <w:t>1</w:t>
      </w:r>
      <w:r>
        <w:rPr>
          <w:rFonts w:ascii="SimHei" w:hAnsi="SimHei" w:cs="楷体" w:eastAsia="黑体"/>
          <w:sz w:val="24"/>
          <w:szCs w:val="24"/>
        </w:rPr>
        <w:t>：《员工晋级申请表》</w:t>
      </w:r>
    </w:p>
    <w:tbl>
      <w:tblPr>
        <w:tblW w:w="5000" w:type="pct"/>
        <w:jc w:val="center"/>
        <w:tblInd w:w="0" w:type="dxa"/>
        <w:tblLayout w:type="fixed"/>
        <w:tblCellMar>
          <w:top w:w="0" w:type="dxa"/>
          <w:start w:w="108" w:type="dxa"/>
          <w:bottom w:w="0" w:type="dxa"/>
          <w:end w:w="108" w:type="dxa"/>
        </w:tblCellMar>
      </w:tblPr>
      <w:tblGrid>
        <w:gridCol w:w="2198"/>
        <w:gridCol w:w="6747"/>
      </w:tblGrid>
      <w:tr>
        <w:trPr/>
        <w:tc>
          <w:tcPr>
            <w:tcW w:w="8945"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firstLine="840"/>
              <w:jc w:val="both"/>
              <w:textAlignment w:val="auto"/>
              <w:rPr>
                <w:rFonts w:ascii="楷体" w:hAnsi="楷体" w:eastAsia="楷体" w:cs="楷体"/>
                <w:sz w:val="24"/>
                <w:szCs w:val="24"/>
              </w:rPr>
            </w:pPr>
            <w:r>
              <w:rPr>
                <w:rFonts w:ascii="SimHei" w:hAnsi="SimHei" w:cs="楷体" w:eastAsia="黑体"/>
                <w:sz w:val="24"/>
                <w:szCs w:val="24"/>
              </w:rPr>
              <w:t>姓名                 工号                 性别</w:t>
            </w:r>
          </w:p>
        </w:tc>
      </w:tr>
      <w:tr>
        <w:trPr/>
        <w:tc>
          <w:tcPr>
            <w:tcW w:w="8945"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现岗位        拟晋升岗位       现工资等级        拟晋升工资等级</w:t>
            </w:r>
          </w:p>
        </w:tc>
      </w:tr>
      <w:tr>
        <w:trPr>
          <w:trHeight w:val="4218" w:hRule="atLeast"/>
        </w:trPr>
        <w:tc>
          <w:tcPr>
            <w:tcW w:w="2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晋升申请理由</w:t>
            </w:r>
          </w:p>
        </w:tc>
        <w:tc>
          <w:tcPr>
            <w:tcW w:w="67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tc>
      </w:tr>
      <w:tr>
        <w:trPr>
          <w:trHeight w:val="1967" w:hRule="atLeast"/>
        </w:trPr>
        <w:tc>
          <w:tcPr>
            <w:tcW w:w="2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主管部门意见</w:t>
            </w:r>
          </w:p>
        </w:tc>
        <w:tc>
          <w:tcPr>
            <w:tcW w:w="67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tc>
      </w:tr>
      <w:tr>
        <w:trPr>
          <w:trHeight w:val="1826" w:hRule="atLeast"/>
        </w:trPr>
        <w:tc>
          <w:tcPr>
            <w:tcW w:w="2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人力资源部门意见</w:t>
            </w:r>
          </w:p>
        </w:tc>
        <w:tc>
          <w:tcPr>
            <w:tcW w:w="67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tc>
      </w:tr>
      <w:tr>
        <w:trPr>
          <w:trHeight w:val="1692" w:hRule="atLeast"/>
        </w:trPr>
        <w:tc>
          <w:tcPr>
            <w:tcW w:w="2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考评委员会意见</w:t>
            </w:r>
          </w:p>
        </w:tc>
        <w:tc>
          <w:tcPr>
            <w:tcW w:w="67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tc>
      </w:tr>
    </w:tbl>
    <w:p>
      <w:pPr>
        <w:pStyle w:val="Normal"/>
        <w:pageBreakBefore w:val="false"/>
        <w:tabs>
          <w:tab w:val="clear" w:pos="720"/>
          <w:tab w:val="left" w:pos="1204" w:leader="none"/>
          <w:tab w:val="left" w:pos="1440" w:leader="none"/>
        </w:tabs>
        <w:kinsoku w:val="true"/>
        <w:overflowPunct w:val="true"/>
        <w:autoSpaceDE w:val="false"/>
        <w:bidi w:val="0"/>
        <w:snapToGrid w:val="true"/>
        <w:spacing w:lineRule="auto" w:line="360"/>
        <w:ind w:start="0"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p>
      <w:pPr>
        <w:pStyle w:val="Normal"/>
        <w:pageBreakBefore w:val="false"/>
        <w:kinsoku w:val="true"/>
        <w:overflowPunct w:val="true"/>
        <w:bidi w:val="0"/>
        <w:snapToGrid w:val="tru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p>
      <w:pPr>
        <w:pStyle w:val="Normal"/>
        <w:pageBreakBefore w:val="false"/>
        <w:kinsoku w:val="true"/>
        <w:overflowPunct w:val="true"/>
        <w:bidi w:val="0"/>
        <w:snapToGrid w:val="true"/>
        <w:spacing w:lineRule="auto" w:line="360"/>
        <w:ind w:start="0" w:hanging="0"/>
        <w:jc w:val="both"/>
        <w:textAlignment w:val="auto"/>
        <w:rPr>
          <w:rFonts w:cs="楷体"/>
        </w:rPr>
      </w:pPr>
      <w:r>
        <w:rPr>
          <w:rFonts w:ascii="SimHei" w:hAnsi="SimHei" w:cs="楷体" w:eastAsia="黑体"/>
          <w:sz w:val="24"/>
          <w:szCs w:val="24"/>
        </w:rPr>
        <w:t>附件</w:t>
      </w:r>
      <w:r>
        <w:rPr>
          <w:rFonts w:eastAsia="黑体" w:cs="楷体" w:ascii="SimHei" w:hAnsi="SimHei"/>
          <w:sz w:val="24"/>
          <w:szCs w:val="24"/>
        </w:rPr>
        <w:t>2</w:t>
      </w:r>
      <w:r>
        <w:rPr>
          <w:rFonts w:ascii="SimHei" w:hAnsi="SimHei" w:cs="楷体" w:eastAsia="黑体"/>
          <w:sz w:val="24"/>
          <w:szCs w:val="24"/>
        </w:rPr>
        <w:t>：《员工晋升考评流程》</w:t>
      </w:r>
    </w:p>
    <w:tbl>
      <w:tblPr>
        <w:tblW w:w="8515" w:type="dxa"/>
        <w:jc w:val="center"/>
        <w:tblInd w:w="0" w:type="dxa"/>
        <w:tblLayout w:type="fixed"/>
        <w:tblCellMar>
          <w:top w:w="0" w:type="dxa"/>
          <w:start w:w="108" w:type="dxa"/>
          <w:bottom w:w="0" w:type="dxa"/>
          <w:end w:w="108" w:type="dxa"/>
        </w:tblCellMar>
      </w:tblPr>
      <w:tblGrid>
        <w:gridCol w:w="1056"/>
        <w:gridCol w:w="2596"/>
        <w:gridCol w:w="4863"/>
      </w:tblGrid>
      <w:tr>
        <w:trPr>
          <w:trHeight w:val="1145" w:hRule="atLeast"/>
        </w:trPr>
        <w:tc>
          <w:tcPr>
            <w:tcW w:w="3652"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考评程序</w:t>
            </w:r>
          </w:p>
        </w:tc>
        <w:tc>
          <w:tcPr>
            <w:tcW w:w="48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准备事项</w:t>
            </w:r>
          </w:p>
        </w:tc>
      </w:tr>
      <w:tr>
        <w:trPr>
          <w:trHeight w:val="1609"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提出申请</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lang w:val="en-US" w:eastAsia="en-US"/>
              </w:rPr>
            </w:pPr>
            <w:r>
              <w:rPr>
                <w:rFonts w:eastAsia="黑体" w:cs="楷体" w:ascii="SimHei" w:hAnsi="SimHei"/>
                <w:sz w:val="24"/>
                <w:szCs w:val="24"/>
                <w:lang w:val="en-US" w:eastAsia="en-US"/>
              </w:rPr>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每年</w:t>
            </w:r>
            <w:r>
              <w:rPr>
                <w:rFonts w:eastAsia="黑体" w:cs="楷体" w:ascii="SimHei" w:hAnsi="SimHei"/>
                <w:sz w:val="24"/>
                <w:szCs w:val="24"/>
              </w:rPr>
              <w:t>10</w:t>
            </w:r>
            <w:r>
              <w:rPr>
                <w:rFonts w:ascii="SimHei" w:hAnsi="SimHei" w:cs="楷体" w:eastAsia="黑体"/>
                <w:sz w:val="24"/>
                <w:szCs w:val="24"/>
              </w:rPr>
              <w:t>月，公司发布晋升考评公告，申请人员提交晋级申请表，人力资源部门统计分类申请晋升人员</w:t>
            </w:r>
          </w:p>
        </w:tc>
      </w:tr>
      <w:tr>
        <w:trPr>
          <w:trHeight w:val="1623"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确定考评名单</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人力资源部门根据晋升条件对申请人进行筛选，并将名单报送考评委员会审批</w:t>
            </w:r>
          </w:p>
        </w:tc>
      </w:tr>
      <w:tr>
        <w:trPr>
          <w:trHeight w:val="1574"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组织考评</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lang w:val="en-US" w:eastAsia="en-US"/>
              </w:rPr>
            </w:pPr>
            <w:r>
              <w:rPr>
                <w:rFonts w:eastAsia="黑体" w:cs="楷体" w:ascii="SimHei" w:hAnsi="SimHei"/>
                <w:sz w:val="24"/>
                <w:szCs w:val="24"/>
                <w:lang w:val="en-US" w:eastAsia="en-US"/>
              </w:rPr>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eastAsia="黑体" w:cs="楷体" w:ascii="SimHei" w:hAnsi="SimHei"/>
                <w:sz w:val="24"/>
                <w:szCs w:val="24"/>
              </w:rPr>
              <w:t>11</w:t>
            </w:r>
            <w:r>
              <w:rPr>
                <w:rFonts w:ascii="SimHei" w:hAnsi="SimHei" w:cs="楷体" w:eastAsia="黑体"/>
                <w:sz w:val="24"/>
                <w:szCs w:val="24"/>
              </w:rPr>
              <w:t>月－</w:t>
            </w:r>
            <w:r>
              <w:rPr>
                <w:rFonts w:eastAsia="黑体" w:cs="楷体" w:ascii="SimHei" w:hAnsi="SimHei"/>
                <w:sz w:val="24"/>
                <w:szCs w:val="24"/>
              </w:rPr>
              <w:t>12</w:t>
            </w:r>
            <w:r>
              <w:rPr>
                <w:rFonts w:ascii="SimHei" w:hAnsi="SimHei" w:cs="楷体" w:eastAsia="黑体"/>
                <w:sz w:val="24"/>
                <w:szCs w:val="24"/>
              </w:rPr>
              <w:t>月，考评委员会针对各序列人员分类组织开展考试、评价</w:t>
            </w:r>
          </w:p>
        </w:tc>
      </w:tr>
      <w:tr>
        <w:trPr>
          <w:trHeight w:val="2249"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公布和处</w:t>
            </w:r>
          </w:p>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理申诉</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eastAsia="黑体"/>
              </w:rPr>
            </w:r>
            <w:r>
              <w:rPr>
                <w:rFonts w:eastAsia="黑体" w:cs="楷体" w:ascii="SimHei" w:hAnsi="SimHei"/>
                <w:sz w:val="24"/>
                <w:szCs w:val="24"/>
              </w:rPr>
              <w:tab/>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次年</w:t>
            </w:r>
            <w:r>
              <w:rPr>
                <w:rFonts w:eastAsia="黑体" w:cs="楷体" w:ascii="SimHei" w:hAnsi="SimHei"/>
                <w:sz w:val="24"/>
                <w:szCs w:val="24"/>
              </w:rPr>
              <w:t>1</w:t>
            </w:r>
            <w:r>
              <w:rPr>
                <w:rFonts w:ascii="SimHei" w:hAnsi="SimHei" w:cs="楷体" w:eastAsia="黑体"/>
                <w:sz w:val="24"/>
                <w:szCs w:val="24"/>
              </w:rPr>
              <w:t>月，公布晋升人员名单，如有投诉，考评委员会进行核实调查，由人力资源部门牵头，调查后并公布调果结果</w:t>
            </w:r>
          </w:p>
        </w:tc>
      </w:tr>
      <w:tr>
        <w:trPr>
          <w:trHeight w:val="2111"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个人晋升资料存档</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lang w:val="en-US" w:eastAsia="en-US"/>
              </w:rPr>
            </w:pPr>
            <w:r>
              <w:rPr>
                <w:rFonts w:eastAsia="黑体" w:cs="楷体" w:ascii="SimHei" w:hAnsi="SimHei"/>
                <w:sz w:val="24"/>
                <w:szCs w:val="24"/>
                <w:lang w:val="en-US" w:eastAsia="en-US"/>
              </w:rPr>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人力资源部门负责将所有提名人员和评审晋升成功的人员资料分类存档，过装入个人档案</w:t>
            </w:r>
          </w:p>
        </w:tc>
      </w:tr>
      <w:tr>
        <w:trPr>
          <w:trHeight w:val="843" w:hRule="atLeast"/>
        </w:trPr>
        <w:tc>
          <w:tcPr>
            <w:tcW w:w="105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晋升</w:t>
            </w:r>
          </w:p>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完成</w:t>
            </w:r>
          </w:p>
        </w:tc>
        <w:tc>
          <w:tcPr>
            <w:tcW w:w="2596"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lang w:val="en-US" w:eastAsia="en-US"/>
              </w:rPr>
            </w:pPr>
            <w:r>
              <w:rPr>
                <w:rFonts w:eastAsia="黑体" w:cs="楷体" w:ascii="SimHei" w:hAnsi="SimHei"/>
                <w:sz w:val="24"/>
                <w:szCs w:val="24"/>
                <w:lang w:val="en-US" w:eastAsia="en-US"/>
              </w:rPr>
            </w:r>
          </w:p>
        </w:tc>
        <w:tc>
          <w:tcPr>
            <w:tcW w:w="4863"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204" w:leader="none"/>
                <w:tab w:val="left" w:pos="1440" w:leader="none"/>
              </w:tabs>
              <w:kinsoku w:val="true"/>
              <w:overflowPunct w:val="true"/>
              <w:autoSpaceDE w:val="false"/>
              <w:bidi w:val="0"/>
              <w:snapToGrid w:val="false"/>
              <w:spacing w:lineRule="auto" w:line="360"/>
              <w:ind w:start="0" w:hanging="0"/>
              <w:jc w:val="both"/>
              <w:textAlignment w:val="auto"/>
              <w:rPr>
                <w:rFonts w:ascii="楷体" w:hAnsi="楷体" w:eastAsia="楷体" w:cs="楷体"/>
                <w:sz w:val="24"/>
                <w:szCs w:val="24"/>
              </w:rPr>
            </w:pPr>
            <w:r>
              <w:rPr>
                <w:rFonts w:ascii="SimHei" w:hAnsi="SimHei" w:cs="楷体" w:eastAsia="黑体"/>
                <w:sz w:val="24"/>
                <w:szCs w:val="24"/>
              </w:rPr>
              <w:t>此年</w:t>
            </w:r>
            <w:r>
              <w:rPr>
                <w:rFonts w:eastAsia="黑体" w:cs="楷体" w:ascii="SimHei" w:hAnsi="SimHei"/>
                <w:sz w:val="24"/>
                <w:szCs w:val="24"/>
              </w:rPr>
              <w:t>1</w:t>
            </w:r>
            <w:r>
              <w:rPr>
                <w:rFonts w:ascii="SimHei" w:hAnsi="SimHei" w:cs="楷体" w:eastAsia="黑体"/>
                <w:sz w:val="24"/>
                <w:szCs w:val="24"/>
              </w:rPr>
              <w:t>月，正式开始新工作，调整其相关待遇福利</w:t>
            </w:r>
          </w:p>
        </w:tc>
      </w:tr>
    </w:tbl>
    <w:p>
      <w:pPr>
        <w:pStyle w:val="Style15"/>
        <w:pageBreakBefore w:val="false"/>
        <w:kinsoku w:val="true"/>
        <w:overflowPunct w:val="true"/>
        <w:autoSpaceDE w:val="false"/>
        <w:bidi w:val="0"/>
        <w:snapToGrid w:val="true"/>
        <w:spacing w:lineRule="auto" w:line="360"/>
        <w:ind w:start="0" w:hanging="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sectPr>
      <w:type w:val="continuous"/>
      <w:pgSz w:w="11893" w:h="16838"/>
      <w:pgMar w:left="1474" w:right="1474" w:header="0" w:top="850" w:footer="567" w:bottom="850"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Cambria">
    <w:charset w:val="00" w:characterSet="windows-1252"/>
    <w:family w:val="roman"/>
    <w:pitch w:val="default"/>
  </w:font>
  <w:font w:name="Heiti SC Light">
    <w:altName w:val="宋体"/>
    <w:charset w:val="86"/>
    <w:family w:val="auto"/>
    <w:pitch w:val="default"/>
  </w:font>
  <w:font w:name="Liberation Sans">
    <w:altName w:val="Arial"/>
    <w:charset w:val="01" w:characterSet="utf-8"/>
    <w:family w:val="swiss"/>
    <w:pitch w:val="variable"/>
  </w:font>
  <w:font w:name="宋体">
    <w:charset w:val="86"/>
    <w:family w:val="auto"/>
    <w:pitch w:val="default"/>
  </w:font>
  <w:font w:name="Arial">
    <w:charset w:val="00" w:characterSet="windows-1252"/>
    <w:family w:val="swiss"/>
    <w:pitch w:val="default"/>
  </w:font>
  <w:font w:name="楷体">
    <w:charset w:val="86"/>
    <w:family w:val="auto"/>
    <w:pitch w:val="default"/>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ascii="楷体" w:hAnsi="楷体" w:cs="楷体" w:eastAsia="楷体"/>
        <w:sz w:val="21"/>
        <w:szCs w:val="21"/>
      </w:rPr>
      <w:t>第</w:t>
    </w:r>
    <w:r>
      <w:rPr>
        <w:rFonts w:ascii="楷体" w:hAnsi="楷体" w:cs="楷体" w:eastAsia="楷体"/>
        <w:sz w:val="21"/>
        <w:szCs w:val="21"/>
      </w:rPr>
      <w:fldChar w:fldCharType="begin"/>
    </w:r>
    <w:r>
      <w:rPr>
        <w:sz w:val="21"/>
        <w:szCs w:val="21"/>
        <w:rFonts w:ascii="楷体" w:hAnsi="楷体" w:cs="楷体" w:eastAsia="楷体"/>
      </w:rPr>
      <w:instrText> PAGE \* ARABIC </w:instrText>
    </w:r>
    <w:r>
      <w:rPr>
        <w:sz w:val="21"/>
        <w:szCs w:val="21"/>
        <w:rFonts w:ascii="楷体" w:hAnsi="楷体" w:cs="楷体" w:eastAsia="楷体"/>
      </w:rPr>
      <w:fldChar w:fldCharType="separate"/>
    </w:r>
    <w:r>
      <w:rPr>
        <w:sz w:val="21"/>
        <w:szCs w:val="21"/>
        <w:rFonts w:ascii="楷体" w:hAnsi="楷体" w:cs="楷体" w:eastAsia="楷体"/>
      </w:rPr>
      <w:t>8</w:t>
    </w:r>
    <w:r>
      <w:rPr>
        <w:sz w:val="21"/>
        <w:szCs w:val="21"/>
        <w:rFonts w:ascii="楷体" w:hAnsi="楷体" w:cs="楷体" w:eastAsia="楷体"/>
      </w:rPr>
      <w:fldChar w:fldCharType="end"/>
    </w:r>
    <w:r>
      <w:rPr>
        <w:rFonts w:ascii="楷体" w:hAnsi="楷体" w:cs="楷体" w:eastAsia="楷体"/>
        <w:sz w:val="21"/>
        <w:szCs w:val="21"/>
      </w:rPr>
      <w:t>页，共</w:t>
    </w:r>
    <w:r>
      <w:rPr>
        <w:rFonts w:eastAsia="楷体" w:cs="楷体" w:ascii="楷体" w:hAnsi="楷体"/>
        <w:sz w:val="21"/>
        <w:szCs w:val="21"/>
      </w:rPr>
      <w:t>10</w:t>
    </w:r>
    <w:r>
      <w:rPr>
        <w:rFonts w:ascii="楷体" w:hAnsi="楷体" w:cs="楷体" w:eastAsia="楷体"/>
        <w:sz w:val="21"/>
        <w:szCs w:val="21"/>
      </w:rPr>
      <w:t>页</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0"/>
        </w:tabs>
        <w:ind w:start="8702" w:hanging="480"/>
      </w:pPr>
      <w:rPr>
        <w:b/>
      </w:rPr>
    </w:lvl>
    <w:lvl w:ilvl="1">
      <w:start w:val="1"/>
      <w:numFmt w:val="lowerLetter"/>
      <w:lvlText w:val="%2)"/>
      <w:lvlJc w:val="start"/>
      <w:pPr>
        <w:tabs>
          <w:tab w:val="num" w:pos="0"/>
        </w:tabs>
        <w:ind w:start="1520" w:hanging="480"/>
      </w:pPr>
      <w:rPr/>
    </w:lvl>
    <w:lvl w:ilvl="2">
      <w:start w:val="1"/>
      <w:numFmt w:val="lowerRoman"/>
      <w:lvlText w:val="%3."/>
      <w:lvlJc w:val="end"/>
      <w:pPr>
        <w:tabs>
          <w:tab w:val="num" w:pos="0"/>
        </w:tabs>
        <w:ind w:start="2000" w:hanging="480"/>
      </w:pPr>
      <w:rPr/>
    </w:lvl>
    <w:lvl w:ilvl="3">
      <w:start w:val="1"/>
      <w:numFmt w:val="decimal"/>
      <w:lvlText w:val="%4."/>
      <w:lvlJc w:val="start"/>
      <w:pPr>
        <w:tabs>
          <w:tab w:val="num" w:pos="0"/>
        </w:tabs>
        <w:ind w:start="2480" w:hanging="480"/>
      </w:pPr>
      <w:rPr/>
    </w:lvl>
    <w:lvl w:ilvl="4">
      <w:start w:val="1"/>
      <w:numFmt w:val="lowerLetter"/>
      <w:lvlText w:val="%5)"/>
      <w:lvlJc w:val="start"/>
      <w:pPr>
        <w:tabs>
          <w:tab w:val="num" w:pos="0"/>
        </w:tabs>
        <w:ind w:start="2960" w:hanging="480"/>
      </w:pPr>
      <w:rPr/>
    </w:lvl>
    <w:lvl w:ilvl="5">
      <w:start w:val="1"/>
      <w:numFmt w:val="lowerRoman"/>
      <w:lvlText w:val="%6."/>
      <w:lvlJc w:val="end"/>
      <w:pPr>
        <w:tabs>
          <w:tab w:val="num" w:pos="0"/>
        </w:tabs>
        <w:ind w:start="3440" w:hanging="480"/>
      </w:pPr>
      <w:rPr/>
    </w:lvl>
    <w:lvl w:ilvl="6">
      <w:start w:val="1"/>
      <w:numFmt w:val="decimal"/>
      <w:lvlText w:val="%7."/>
      <w:lvlJc w:val="start"/>
      <w:pPr>
        <w:tabs>
          <w:tab w:val="num" w:pos="0"/>
        </w:tabs>
        <w:ind w:start="3920" w:hanging="480"/>
      </w:pPr>
      <w:rPr/>
    </w:lvl>
    <w:lvl w:ilvl="7">
      <w:start w:val="1"/>
      <w:numFmt w:val="lowerLetter"/>
      <w:lvlText w:val="%8)"/>
      <w:lvlJc w:val="start"/>
      <w:pPr>
        <w:tabs>
          <w:tab w:val="num" w:pos="0"/>
        </w:tabs>
        <w:ind w:start="4400" w:hanging="480"/>
      </w:pPr>
      <w:rPr/>
    </w:lvl>
    <w:lvl w:ilvl="8">
      <w:start w:val="1"/>
      <w:numFmt w:val="lowerRoman"/>
      <w:lvlText w:val="%9."/>
      <w:lvlJc w:val="end"/>
      <w:pPr>
        <w:tabs>
          <w:tab w:val="num" w:pos="0"/>
        </w:tabs>
        <w:ind w:start="4880" w:hanging="480"/>
      </w:pPr>
      <w:rPr/>
    </w:lvl>
  </w:abstractNum>
  <w:abstractNum w:abstractNumId="3">
    <w:lvl w:ilvl="0">
      <w:start w:val="1"/>
      <w:numFmt w:val="chineseCountingThousand"/>
      <w:lvlText w:val="第%1条"/>
      <w:lvlJc w:val="start"/>
      <w:pPr>
        <w:tabs>
          <w:tab w:val="num" w:pos="0"/>
        </w:tabs>
        <w:ind w:start="8702" w:hanging="480"/>
      </w:pPr>
      <w:rPr>
        <w:b/>
      </w:rPr>
    </w:lvl>
    <w:lvl w:ilvl="1">
      <w:start w:val="1"/>
      <w:numFmt w:val="lowerLetter"/>
      <w:lvlText w:val="%2)"/>
      <w:lvlJc w:val="start"/>
      <w:pPr>
        <w:tabs>
          <w:tab w:val="num" w:pos="0"/>
        </w:tabs>
        <w:ind w:start="1520" w:hanging="480"/>
      </w:pPr>
      <w:rPr/>
    </w:lvl>
    <w:lvl w:ilvl="2">
      <w:start w:val="1"/>
      <w:numFmt w:val="lowerRoman"/>
      <w:lvlText w:val="%3."/>
      <w:lvlJc w:val="end"/>
      <w:pPr>
        <w:tabs>
          <w:tab w:val="num" w:pos="0"/>
        </w:tabs>
        <w:ind w:start="2000" w:hanging="480"/>
      </w:pPr>
      <w:rPr/>
    </w:lvl>
    <w:lvl w:ilvl="3">
      <w:start w:val="1"/>
      <w:numFmt w:val="decimal"/>
      <w:lvlText w:val="%4."/>
      <w:lvlJc w:val="start"/>
      <w:pPr>
        <w:tabs>
          <w:tab w:val="num" w:pos="0"/>
        </w:tabs>
        <w:ind w:start="2480" w:hanging="480"/>
      </w:pPr>
      <w:rPr/>
    </w:lvl>
    <w:lvl w:ilvl="4">
      <w:start w:val="1"/>
      <w:numFmt w:val="lowerLetter"/>
      <w:lvlText w:val="%5)"/>
      <w:lvlJc w:val="start"/>
      <w:pPr>
        <w:tabs>
          <w:tab w:val="num" w:pos="0"/>
        </w:tabs>
        <w:ind w:start="2960" w:hanging="480"/>
      </w:pPr>
      <w:rPr/>
    </w:lvl>
    <w:lvl w:ilvl="5">
      <w:start w:val="1"/>
      <w:numFmt w:val="lowerRoman"/>
      <w:lvlText w:val="%6."/>
      <w:lvlJc w:val="end"/>
      <w:pPr>
        <w:tabs>
          <w:tab w:val="num" w:pos="0"/>
        </w:tabs>
        <w:ind w:start="3440" w:hanging="480"/>
      </w:pPr>
      <w:rPr/>
    </w:lvl>
    <w:lvl w:ilvl="6">
      <w:start w:val="1"/>
      <w:numFmt w:val="decimal"/>
      <w:lvlText w:val="%7."/>
      <w:lvlJc w:val="start"/>
      <w:pPr>
        <w:tabs>
          <w:tab w:val="num" w:pos="0"/>
        </w:tabs>
        <w:ind w:start="3920" w:hanging="480"/>
      </w:pPr>
      <w:rPr/>
    </w:lvl>
    <w:lvl w:ilvl="7">
      <w:start w:val="1"/>
      <w:numFmt w:val="lowerLetter"/>
      <w:lvlText w:val="%8)"/>
      <w:lvlJc w:val="start"/>
      <w:pPr>
        <w:tabs>
          <w:tab w:val="num" w:pos="0"/>
        </w:tabs>
        <w:ind w:start="4400" w:hanging="480"/>
      </w:pPr>
      <w:rPr/>
    </w:lvl>
    <w:lvl w:ilvl="8">
      <w:start w:val="1"/>
      <w:numFmt w:val="lowerRoman"/>
      <w:lvlText w:val="%9."/>
      <w:lvlJc w:val="end"/>
      <w:pPr>
        <w:tabs>
          <w:tab w:val="num" w:pos="0"/>
        </w:tabs>
        <w:ind w:start="4880" w:hanging="4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kern w:val="0"/>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kern w:val="0"/>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Cambria" w:hAnsi="Cambria" w:cs="Cambria"/>
      <w:b/>
      <w:bCs/>
      <w:sz w:val="28"/>
      <w:szCs w:val="28"/>
    </w:rPr>
  </w:style>
  <w:style w:type="character" w:styleId="WW8Num1z0">
    <w:name w:val="WW8Num1z0"/>
    <w:qFormat/>
    <w:rPr>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0">
    <w:name w:val="默认段落字体"/>
    <w:qFormat/>
    <w:rPr/>
  </w:style>
  <w:style w:type="character" w:styleId="1Char">
    <w:name w:val="标题 1 Char"/>
    <w:qFormat/>
    <w:rPr>
      <w:b/>
      <w:bCs/>
      <w:kern w:val="2"/>
      <w:sz w:val="44"/>
      <w:szCs w:val="44"/>
    </w:rPr>
  </w:style>
  <w:style w:type="character" w:styleId="PageNumber">
    <w:name w:val="Page Number"/>
    <w:basedOn w:val="Style10"/>
    <w:rPr/>
  </w:style>
  <w:style w:type="character" w:styleId="3Char">
    <w:name w:val="标题 3 Char"/>
    <w:qFormat/>
    <w:rPr>
      <w:b/>
      <w:bCs/>
      <w:sz w:val="32"/>
      <w:szCs w:val="32"/>
    </w:rPr>
  </w:style>
  <w:style w:type="character" w:styleId="Char">
    <w:name w:val="页眉 Char"/>
    <w:qFormat/>
    <w:rPr>
      <w:sz w:val="18"/>
      <w:szCs w:val="18"/>
    </w:rPr>
  </w:style>
  <w:style w:type="character" w:styleId="Char1">
    <w:name w:val="正文文本 Char"/>
    <w:qFormat/>
    <w:rPr>
      <w:kern w:val="2"/>
      <w:sz w:val="21"/>
      <w:szCs w:val="22"/>
    </w:rPr>
  </w:style>
  <w:style w:type="character" w:styleId="Char2">
    <w:name w:val="文档结构图 Char"/>
    <w:qFormat/>
    <w:rPr>
      <w:rFonts w:ascii="Heiti SC Light;宋体" w:hAnsi="Heiti SC Light;宋体" w:eastAsia="Heiti SC Light;宋体"/>
      <w:sz w:val="24"/>
      <w:szCs w:val="24"/>
    </w:rPr>
  </w:style>
  <w:style w:type="character" w:styleId="3Char1">
    <w:name w:val="正文文本缩进 3 Char"/>
    <w:qFormat/>
    <w:rPr>
      <w:rFonts w:ascii="Times New Roman" w:hAnsi="Times New Roman" w:eastAsia="宋体" w:cs="Times New Roman"/>
      <w:sz w:val="24"/>
      <w:szCs w:val="24"/>
    </w:rPr>
  </w:style>
  <w:style w:type="character" w:styleId="Char3">
    <w:name w:val="批注框文本 Char"/>
    <w:qFormat/>
    <w:rPr>
      <w:rFonts w:ascii="Heiti SC Light;宋体" w:hAnsi="Heiti SC Light;宋体" w:eastAsia="Heiti SC Light;宋体"/>
      <w:sz w:val="18"/>
      <w:szCs w:val="18"/>
    </w:rPr>
  </w:style>
  <w:style w:type="character" w:styleId="Char4">
    <w:name w:val="页脚 Char"/>
    <w:qFormat/>
    <w:rPr>
      <w:sz w:val="18"/>
      <w:szCs w:val="18"/>
    </w:rPr>
  </w:style>
  <w:style w:type="character" w:styleId="InternetLink">
    <w:name w:val="Hyperlink"/>
    <w:rPr>
      <w:color w:val="0000FF"/>
      <w:u w:val="single"/>
    </w:rPr>
  </w:style>
  <w:style w:type="character" w:styleId="4Char">
    <w:name w:val="标题 4 Char"/>
    <w:qFormat/>
    <w:rPr>
      <w:rFonts w:ascii="Cambria" w:hAnsi="Cambria" w:eastAsia="宋体" w:cs="Times New Roman"/>
      <w:b/>
      <w:bCs/>
      <w:kern w:val="2"/>
      <w:sz w:val="28"/>
      <w:szCs w:val="28"/>
    </w:rPr>
  </w:style>
  <w:style w:type="character" w:styleId="Char5">
    <w:name w:val="日期 Char"/>
    <w:qFormat/>
    <w:rPr>
      <w:rFonts w:ascii="Times New Roman" w:hAnsi="Times New Roman" w:cs="Times New Roman"/>
      <w:kern w:val="2"/>
      <w:sz w:val="21"/>
    </w:rPr>
  </w:style>
  <w:style w:type="character" w:styleId="2Char">
    <w:name w:val="标题 2 Char"/>
    <w:qFormat/>
    <w:rPr>
      <w:rFonts w:ascii="Cambria" w:hAnsi="Cambria" w:eastAsia="宋体" w:cs="Times New Roman"/>
      <w:b/>
      <w:bCs/>
      <w:sz w:val="32"/>
      <w:szCs w:val="32"/>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snapToGrid w:val="false"/>
      <w:jc w:val="start"/>
    </w:pPr>
    <w:rPr>
      <w:kern w:val="0"/>
      <w:sz w:val="18"/>
      <w:szCs w:val="18"/>
    </w:rPr>
  </w:style>
  <w:style w:type="paragraph" w:styleId="Contents3">
    <w:name w:val="TOC 3"/>
    <w:basedOn w:val="Normal"/>
    <w:next w:val="Normal"/>
    <w:pPr>
      <w:ind w:start="840" w:hanging="0"/>
    </w:pPr>
    <w:rPr/>
  </w:style>
  <w:style w:type="paragraph" w:styleId="Contents2">
    <w:name w:val="TOC 2"/>
    <w:basedOn w:val="Normal"/>
    <w:next w:val="Normal"/>
    <w:pPr>
      <w:tabs>
        <w:tab w:val="clear" w:pos="720"/>
        <w:tab w:val="left" w:pos="1050" w:leader="none"/>
        <w:tab w:val="right" w:pos="8296" w:leader="dot"/>
      </w:tabs>
      <w:ind w:start="420" w:hanging="0"/>
    </w:pPr>
    <w:rPr/>
  </w:style>
  <w:style w:type="paragraph" w:styleId="3">
    <w:name w:val="正文文本缩进 3"/>
    <w:basedOn w:val="Normal"/>
    <w:qFormat/>
    <w:pPr>
      <w:spacing w:lineRule="auto" w:line="360"/>
      <w:ind w:start="1424" w:hanging="691"/>
    </w:pPr>
    <w:rPr>
      <w:rFonts w:ascii="Times New Roman" w:hAnsi="Times New Roman" w:cs="Times New Roman"/>
      <w:kern w:val="0"/>
      <w:sz w:val="24"/>
      <w:szCs w:val="24"/>
    </w:rPr>
  </w:style>
  <w:style w:type="paragraph" w:styleId="Style11">
    <w:name w:val="日期"/>
    <w:basedOn w:val="Normal"/>
    <w:next w:val="Normal"/>
    <w:qFormat/>
    <w:pPr/>
    <w:rPr>
      <w:rFonts w:ascii="Times New Roman" w:hAnsi="Times New Roman" w:cs="Times New Roman"/>
      <w:szCs w:val="20"/>
    </w:rPr>
  </w:style>
  <w:style w:type="paragraph" w:styleId="Header">
    <w:name w:val="Header"/>
    <w:basedOn w:val="Normal"/>
    <w:pPr>
      <w:pBdr>
        <w:bottom w:val="single" w:sz="6" w:space="1" w:color="000000"/>
      </w:pBdr>
      <w:tabs>
        <w:tab w:val="clear" w:pos="720"/>
        <w:tab w:val="center" w:pos="4153" w:leader="none"/>
        <w:tab w:val="right" w:pos="8306" w:leader="none"/>
      </w:tabs>
      <w:snapToGrid w:val="false"/>
      <w:jc w:val="center"/>
    </w:pPr>
    <w:rPr>
      <w:kern w:val="0"/>
      <w:sz w:val="18"/>
      <w:szCs w:val="18"/>
    </w:rPr>
  </w:style>
  <w:style w:type="paragraph" w:styleId="Style12">
    <w:name w:val="文档结构图"/>
    <w:basedOn w:val="Normal"/>
    <w:qFormat/>
    <w:pPr/>
    <w:rPr>
      <w:rFonts w:ascii="Heiti SC Light;宋体" w:hAnsi="Heiti SC Light;宋体" w:eastAsia="Heiti SC Light;宋体"/>
      <w:kern w:val="0"/>
      <w:sz w:val="24"/>
      <w:szCs w:val="24"/>
    </w:rPr>
  </w:style>
  <w:style w:type="paragraph" w:styleId="Style13">
    <w:name w:val="正文缩进"/>
    <w:basedOn w:val="Normal"/>
    <w:qFormat/>
    <w:pPr>
      <w:widowControl/>
      <w:jc w:val="start"/>
    </w:pPr>
    <w:rPr>
      <w:rFonts w:ascii="宋体" w:hAnsi="宋体" w:cs="Times New Roman"/>
      <w:kern w:val="0"/>
      <w:sz w:val="24"/>
      <w:szCs w:val="20"/>
    </w:rPr>
  </w:style>
  <w:style w:type="paragraph" w:styleId="Style14">
    <w:name w:val="批注框文本"/>
    <w:basedOn w:val="Normal"/>
    <w:qFormat/>
    <w:pPr/>
    <w:rPr>
      <w:rFonts w:ascii="Heiti SC Light;宋体" w:hAnsi="Heiti SC Light;宋体" w:eastAsia="Heiti SC Light;宋体"/>
      <w:kern w:val="0"/>
      <w:sz w:val="18"/>
      <w:szCs w:val="18"/>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eastAsia="宋体" w:cs="Times New Roman"/>
      <w:color w:val="365F91"/>
      <w:kern w:val="0"/>
      <w:sz w:val="28"/>
      <w:szCs w:val="28"/>
    </w:rPr>
  </w:style>
  <w:style w:type="paragraph" w:styleId="4">
    <w:name w:val="标题4"/>
    <w:basedOn w:val="Heading4"/>
    <w:qFormat/>
    <w:pPr>
      <w:widowControl/>
      <w:numPr>
        <w:ilvl w:val="0"/>
        <w:numId w:val="0"/>
      </w:numPr>
      <w:spacing w:lineRule="auto" w:line="412" w:before="360" w:after="290"/>
      <w:ind w:hanging="0"/>
      <w:jc w:val="start"/>
    </w:pPr>
    <w:rPr>
      <w:rFonts w:ascii="Arial" w:hAnsi="Arial" w:eastAsia="宋体" w:cs="Times New Roman"/>
      <w:bCs w:val="false"/>
      <w:kern w:val="0"/>
      <w:szCs w:val="20"/>
    </w:rPr>
  </w:style>
  <w:style w:type="paragraph" w:styleId="Contents1">
    <w:name w:val="TOC 1"/>
    <w:basedOn w:val="Normal"/>
    <w:next w:val="Normal"/>
    <w:pPr/>
    <w:rPr/>
  </w:style>
  <w:style w:type="paragraph" w:styleId="Style15">
    <w:name w:val="列出段落"/>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8640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2013-12-20T16:40:00Z</dcterms:created>
  <dc:creator>LBY</dc:creator>
  <dc:description/>
  <dc:language>en-US</dc:language>
  <cp:lastModifiedBy>91方案网～齐志锁</cp:lastModifiedBy>
  <dcterms:modified xsi:type="dcterms:W3CDTF">2020-04-13T11:28:57Z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