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widowControl w:val="0"/>
        <w:kinsoku/>
        <w:wordWrap/>
        <w:overflowPunct/>
        <w:topLinePunct w:val="0"/>
        <w:autoSpaceDE/>
        <w:autoSpaceDN/>
        <w:bidi w:val="0"/>
        <w:adjustRightInd w:val="0"/>
        <w:snapToGrid/>
        <w:spacing w:before="313" w:beforeLines="100" w:after="312" w:afterLines="100" w:line="360" w:lineRule="auto"/>
        <w:textAlignment w:val="baseline"/>
        <w:rPr>
          <w:rFonts w:hint="eastAsia" w:ascii="楷体" w:hAnsi="宋体" w:eastAsia="楷体"/>
          <w:color w:val="000000"/>
          <w:sz w:val="24"/>
        </w:rPr>
      </w:pPr>
      <w:bookmarkStart w:id="0" w:name="_GoBack"/>
      <w:bookmarkEnd w:id="0"/>
      <w:r>
        <w:rPr>
          <w:rFonts w:hint="eastAsia" w:ascii="SimHei" w:hAnsi="SimHei" w:eastAsia="黑体"/>
          <w:color w:val="000000"/>
          <w:sz w:val="36"/>
        </w:rPr>
        <w:t>企业奖金管理制度</w:t>
      </w:r>
    </w:p>
    <w:p>
      <w:pPr>
        <w:pStyle w:val="2"/>
        <w:spacing w:before="0" w:after="0" w:line="360" w:lineRule="auto"/>
        <w:ind w:firstLine="424" w:firstLineChars="151"/>
        <w:rPr>
          <w:rFonts w:ascii="楷体" w:hAnsi="宋体" w:eastAsia="楷体"/>
          <w:color w:val="000000"/>
          <w:sz w:val="24"/>
          <w:szCs w:val="21"/>
        </w:rPr>
      </w:pPr>
      <w:r>
        <w:rPr>
          <w:rFonts w:hint="eastAsia" w:ascii="SimHei" w:hAnsi="SimHei" w:eastAsia="黑体"/>
          <w:color w:val="000000"/>
          <w:sz w:val="28"/>
          <w:szCs w:val="21"/>
        </w:rPr>
        <w:t>一、</w:t>
      </w:r>
      <w:r>
        <w:rPr>
          <w:rFonts w:ascii="SimHei" w:hAnsi="SimHei" w:eastAsia="黑体"/>
          <w:color w:val="000000"/>
          <w:sz w:val="28"/>
          <w:szCs w:val="21"/>
        </w:rPr>
        <w:t>总则</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第一条</w:t>
      </w:r>
      <w:r>
        <w:rPr>
          <w:rFonts w:hint="eastAsia" w:ascii="SimHei" w:hAnsi="SimHei" w:eastAsia="黑体"/>
          <w:color w:val="000000"/>
          <w:sz w:val="24"/>
          <w:szCs w:val="21"/>
        </w:rPr>
        <w:t xml:space="preserve">  </w:t>
      </w:r>
      <w:r>
        <w:rPr>
          <w:rFonts w:ascii="SimHei" w:hAnsi="SimHei" w:eastAsia="黑体"/>
          <w:color w:val="000000"/>
          <w:sz w:val="24"/>
          <w:szCs w:val="21"/>
        </w:rPr>
        <w:t>目的</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为加强各部门达成本年度预定经营目标，并充分掌握各职层所分担的勤务责任，以达到本年度的营业利润为目的，特颁布各部门别奖金核发办法。</w:t>
      </w:r>
    </w:p>
    <w:p>
      <w:pPr>
        <w:pStyle w:val="10"/>
        <w:spacing w:line="360" w:lineRule="auto"/>
        <w:ind w:firstLine="480" w:firstLineChars="200"/>
        <w:jc w:val="both"/>
        <w:rPr>
          <w:rFonts w:hint="eastAsia" w:ascii="楷体" w:hAnsi="宋体" w:eastAsia="楷体"/>
          <w:color w:val="000000"/>
          <w:sz w:val="24"/>
          <w:szCs w:val="21"/>
        </w:rPr>
      </w:pPr>
      <w:r>
        <w:rPr>
          <w:rFonts w:ascii="SimHei" w:hAnsi="SimHei" w:eastAsia="黑体"/>
          <w:color w:val="000000"/>
          <w:sz w:val="24"/>
          <w:szCs w:val="21"/>
        </w:rPr>
        <w:t>第二条</w:t>
      </w:r>
      <w:r>
        <w:rPr>
          <w:rFonts w:hint="eastAsia" w:ascii="SimHei" w:hAnsi="SimHei" w:eastAsia="黑体"/>
          <w:color w:val="000000"/>
          <w:sz w:val="24"/>
          <w:szCs w:val="21"/>
        </w:rPr>
        <w:t xml:space="preserve">  </w:t>
      </w:r>
      <w:r>
        <w:rPr>
          <w:rFonts w:ascii="SimHei" w:hAnsi="SimHei" w:eastAsia="黑体"/>
          <w:color w:val="000000"/>
          <w:sz w:val="24"/>
          <w:szCs w:val="21"/>
        </w:rPr>
        <w:t>适用</w:t>
      </w:r>
      <w:r>
        <w:rPr>
          <w:rFonts w:hint="eastAsia" w:ascii="SimHei" w:hAnsi="SimHei" w:eastAsia="黑体"/>
          <w:color w:val="000000"/>
          <w:sz w:val="24"/>
          <w:szCs w:val="21"/>
        </w:rPr>
        <w:t>部门</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(一)生产部门</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(二)营业部门</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(三)开发部门</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(四)管理部门</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第三条</w:t>
      </w:r>
      <w:r>
        <w:rPr>
          <w:rFonts w:hint="eastAsia" w:ascii="SimHei" w:hAnsi="SimHei" w:eastAsia="黑体"/>
          <w:color w:val="000000"/>
          <w:sz w:val="24"/>
          <w:szCs w:val="21"/>
        </w:rPr>
        <w:t xml:space="preserve">  </w:t>
      </w:r>
      <w:r>
        <w:rPr>
          <w:rFonts w:ascii="SimHei" w:hAnsi="SimHei" w:eastAsia="黑体"/>
          <w:color w:val="000000"/>
          <w:sz w:val="24"/>
          <w:szCs w:val="21"/>
        </w:rPr>
        <w:t>计算期间</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各部门考核计算期间乃依照会计年度1月1日起至12月31日为止，并于每年年初计算前年度各部门考绩成绩，并依其考绩分数支付奖金。</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第四条</w:t>
      </w:r>
      <w:r>
        <w:rPr>
          <w:rFonts w:hint="eastAsia" w:ascii="SimHei" w:hAnsi="SimHei" w:eastAsia="黑体"/>
          <w:color w:val="000000"/>
          <w:sz w:val="24"/>
          <w:szCs w:val="21"/>
        </w:rPr>
        <w:t xml:space="preserve">  </w:t>
      </w:r>
      <w:r>
        <w:rPr>
          <w:rFonts w:ascii="SimHei" w:hAnsi="SimHei" w:eastAsia="黑体"/>
          <w:color w:val="000000"/>
          <w:sz w:val="24"/>
          <w:szCs w:val="21"/>
        </w:rPr>
        <w:t>奖金支付方式</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各部门奖金支付，按每年分两次发放；原则上于每年月及月支付。其计算期间如下：</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(一)上期(月)奖金：从</w:t>
      </w:r>
      <w:r>
        <w:rPr>
          <w:rFonts w:hint="eastAsia" w:ascii="SimHei" w:hAnsi="SimHei" w:eastAsia="黑体"/>
          <w:color w:val="000000"/>
          <w:sz w:val="24"/>
          <w:szCs w:val="21"/>
        </w:rPr>
        <w:t xml:space="preserve"> </w:t>
      </w:r>
      <w:r>
        <w:rPr>
          <w:rFonts w:ascii="SimHei" w:hAnsi="SimHei" w:eastAsia="黑体"/>
          <w:color w:val="000000"/>
          <w:sz w:val="24"/>
          <w:szCs w:val="21"/>
        </w:rPr>
        <w:t>月</w:t>
      </w:r>
      <w:r>
        <w:rPr>
          <w:rFonts w:hint="eastAsia" w:ascii="SimHei" w:hAnsi="SimHei" w:eastAsia="黑体"/>
          <w:color w:val="000000"/>
          <w:sz w:val="24"/>
          <w:szCs w:val="21"/>
        </w:rPr>
        <w:t xml:space="preserve"> </w:t>
      </w:r>
      <w:r>
        <w:rPr>
          <w:rFonts w:ascii="SimHei" w:hAnsi="SimHei" w:eastAsia="黑体"/>
          <w:color w:val="000000"/>
          <w:sz w:val="24"/>
          <w:szCs w:val="21"/>
        </w:rPr>
        <w:t>日起至</w:t>
      </w:r>
      <w:r>
        <w:rPr>
          <w:rFonts w:hint="eastAsia" w:ascii="SimHei" w:hAnsi="SimHei" w:eastAsia="黑体"/>
          <w:color w:val="000000"/>
          <w:sz w:val="24"/>
          <w:szCs w:val="21"/>
        </w:rPr>
        <w:t xml:space="preserve"> </w:t>
      </w:r>
      <w:r>
        <w:rPr>
          <w:rFonts w:ascii="SimHei" w:hAnsi="SimHei" w:eastAsia="黑体"/>
          <w:color w:val="000000"/>
          <w:sz w:val="24"/>
          <w:szCs w:val="21"/>
        </w:rPr>
        <w:t>月</w:t>
      </w:r>
      <w:r>
        <w:rPr>
          <w:rFonts w:hint="eastAsia" w:ascii="SimHei" w:hAnsi="SimHei" w:eastAsia="黑体"/>
          <w:color w:val="000000"/>
          <w:sz w:val="24"/>
          <w:szCs w:val="21"/>
        </w:rPr>
        <w:t xml:space="preserve"> </w:t>
      </w:r>
      <w:r>
        <w:rPr>
          <w:rFonts w:ascii="SimHei" w:hAnsi="SimHei" w:eastAsia="黑体"/>
          <w:color w:val="000000"/>
          <w:sz w:val="24"/>
          <w:szCs w:val="21"/>
        </w:rPr>
        <w:t>日止，并于月份与薪资合并发放。</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(二)下期(月)奖金：从</w:t>
      </w:r>
      <w:r>
        <w:rPr>
          <w:rFonts w:hint="eastAsia" w:ascii="SimHei" w:hAnsi="SimHei" w:eastAsia="黑体"/>
          <w:color w:val="000000"/>
          <w:sz w:val="24"/>
          <w:szCs w:val="21"/>
        </w:rPr>
        <w:t xml:space="preserve"> </w:t>
      </w:r>
      <w:r>
        <w:rPr>
          <w:rFonts w:ascii="SimHei" w:hAnsi="SimHei" w:eastAsia="黑体"/>
          <w:color w:val="000000"/>
          <w:sz w:val="24"/>
          <w:szCs w:val="21"/>
        </w:rPr>
        <w:t>月</w:t>
      </w:r>
      <w:r>
        <w:rPr>
          <w:rFonts w:hint="eastAsia" w:ascii="SimHei" w:hAnsi="SimHei" w:eastAsia="黑体"/>
          <w:color w:val="000000"/>
          <w:sz w:val="24"/>
          <w:szCs w:val="21"/>
        </w:rPr>
        <w:t xml:space="preserve"> </w:t>
      </w:r>
      <w:r>
        <w:rPr>
          <w:rFonts w:ascii="SimHei" w:hAnsi="SimHei" w:eastAsia="黑体"/>
          <w:color w:val="000000"/>
          <w:sz w:val="24"/>
          <w:szCs w:val="21"/>
        </w:rPr>
        <w:t>日起至</w:t>
      </w:r>
      <w:r>
        <w:rPr>
          <w:rFonts w:hint="eastAsia" w:ascii="SimHei" w:hAnsi="SimHei" w:eastAsia="黑体"/>
          <w:color w:val="000000"/>
          <w:sz w:val="24"/>
          <w:szCs w:val="21"/>
        </w:rPr>
        <w:t xml:space="preserve"> </w:t>
      </w:r>
      <w:r>
        <w:rPr>
          <w:rFonts w:ascii="SimHei" w:hAnsi="SimHei" w:eastAsia="黑体"/>
          <w:color w:val="000000"/>
          <w:sz w:val="24"/>
          <w:szCs w:val="21"/>
        </w:rPr>
        <w:t>月</w:t>
      </w:r>
      <w:r>
        <w:rPr>
          <w:rFonts w:hint="eastAsia" w:ascii="SimHei" w:hAnsi="SimHei" w:eastAsia="黑体"/>
          <w:color w:val="000000"/>
          <w:sz w:val="24"/>
          <w:szCs w:val="21"/>
        </w:rPr>
        <w:t xml:space="preserve"> </w:t>
      </w:r>
      <w:r>
        <w:rPr>
          <w:rFonts w:ascii="SimHei" w:hAnsi="SimHei" w:eastAsia="黑体"/>
          <w:color w:val="000000"/>
          <w:sz w:val="24"/>
          <w:szCs w:val="21"/>
        </w:rPr>
        <w:t>日止，并于月份与农历春节奖金合并发放。</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第五条</w:t>
      </w:r>
      <w:r>
        <w:rPr>
          <w:rFonts w:hint="eastAsia" w:ascii="SimHei" w:hAnsi="SimHei" w:eastAsia="黑体"/>
          <w:color w:val="000000"/>
          <w:sz w:val="24"/>
          <w:szCs w:val="21"/>
        </w:rPr>
        <w:t xml:space="preserve">  </w:t>
      </w:r>
      <w:r>
        <w:rPr>
          <w:rFonts w:ascii="SimHei" w:hAnsi="SimHei" w:eastAsia="黑体"/>
          <w:color w:val="000000"/>
          <w:sz w:val="24"/>
          <w:szCs w:val="21"/>
        </w:rPr>
        <w:t>计算单位</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奖金计算时以元为单位，若计算时有元以下的尾数产生时，一律以四舍五入计算至元为计算单位。</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第六条</w:t>
      </w:r>
      <w:r>
        <w:rPr>
          <w:rFonts w:hint="eastAsia" w:ascii="SimHei" w:hAnsi="SimHei" w:eastAsia="黑体"/>
          <w:color w:val="000000"/>
          <w:sz w:val="24"/>
          <w:szCs w:val="21"/>
        </w:rPr>
        <w:t xml:space="preserve">  </w:t>
      </w:r>
      <w:r>
        <w:rPr>
          <w:rFonts w:ascii="SimHei" w:hAnsi="SimHei" w:eastAsia="黑体"/>
          <w:color w:val="000000"/>
          <w:sz w:val="24"/>
          <w:szCs w:val="21"/>
        </w:rPr>
        <w:t>离职或遭解雇时的处理</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员工基于私人理由，而向公司申请离职时或受惩戒解雇时的奖金，一律拒绝支付。</w:t>
      </w:r>
    </w:p>
    <w:p>
      <w:pPr>
        <w:pStyle w:val="2"/>
        <w:spacing w:before="0" w:after="0" w:line="360" w:lineRule="auto"/>
        <w:ind w:firstLine="424" w:firstLineChars="151"/>
        <w:rPr>
          <w:rFonts w:ascii="楷体" w:hAnsi="宋体" w:eastAsia="楷体"/>
          <w:color w:val="000000"/>
          <w:sz w:val="24"/>
          <w:szCs w:val="21"/>
        </w:rPr>
      </w:pPr>
      <w:r>
        <w:rPr>
          <w:rFonts w:hint="eastAsia" w:ascii="SimHei" w:hAnsi="SimHei" w:eastAsia="黑体"/>
          <w:color w:val="000000"/>
          <w:sz w:val="28"/>
          <w:szCs w:val="21"/>
        </w:rPr>
        <w:t>二、</w:t>
      </w:r>
      <w:r>
        <w:rPr>
          <w:rFonts w:ascii="SimHei" w:hAnsi="SimHei" w:eastAsia="黑体"/>
          <w:color w:val="000000"/>
          <w:sz w:val="28"/>
          <w:szCs w:val="21"/>
        </w:rPr>
        <w:t>考绩评定方式</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第七条</w:t>
      </w:r>
      <w:r>
        <w:rPr>
          <w:rFonts w:hint="eastAsia" w:ascii="SimHei" w:hAnsi="SimHei" w:eastAsia="黑体"/>
          <w:color w:val="000000"/>
          <w:sz w:val="24"/>
          <w:szCs w:val="21"/>
        </w:rPr>
        <w:t xml:space="preserve">  </w:t>
      </w:r>
      <w:r>
        <w:rPr>
          <w:rFonts w:ascii="SimHei" w:hAnsi="SimHei" w:eastAsia="黑体"/>
          <w:color w:val="000000"/>
          <w:sz w:val="24"/>
          <w:szCs w:val="21"/>
        </w:rPr>
        <w:t>考绩评定表</w:t>
      </w:r>
    </w:p>
    <w:p>
      <w:pPr>
        <w:pStyle w:val="10"/>
        <w:spacing w:line="360" w:lineRule="auto"/>
        <w:ind w:firstLine="480" w:firstLineChars="200"/>
        <w:jc w:val="both"/>
        <w:rPr>
          <w:rFonts w:hint="eastAsia" w:ascii="楷体" w:hAnsi="宋体" w:eastAsia="楷体"/>
          <w:color w:val="000000"/>
          <w:sz w:val="24"/>
          <w:szCs w:val="21"/>
        </w:rPr>
      </w:pPr>
      <w:r>
        <w:rPr>
          <w:rFonts w:ascii="SimHei" w:hAnsi="SimHei" w:eastAsia="黑体"/>
          <w:color w:val="000000"/>
          <w:sz w:val="24"/>
          <w:szCs w:val="21"/>
        </w:rPr>
        <w:t>各部门考绩评核项目及评分比率如</w:t>
      </w:r>
      <w:r>
        <w:rPr>
          <w:rFonts w:hint="eastAsia" w:ascii="SimHei" w:hAnsi="SimHei" w:eastAsia="黑体"/>
          <w:color w:val="000000"/>
          <w:sz w:val="24"/>
          <w:szCs w:val="21"/>
        </w:rPr>
        <w:t>下</w:t>
      </w:r>
      <w:r>
        <w:rPr>
          <w:rFonts w:ascii="SimHei" w:hAnsi="SimHei" w:eastAsia="黑体"/>
          <w:color w:val="000000"/>
          <w:sz w:val="24"/>
          <w:szCs w:val="21"/>
        </w:rPr>
        <w:t>表-</w:t>
      </w:r>
      <w:r>
        <w:rPr>
          <w:rFonts w:hint="eastAsia" w:ascii="SimHei" w:hAnsi="SimHei" w:eastAsia="黑体"/>
          <w:color w:val="000000"/>
          <w:sz w:val="24"/>
          <w:szCs w:val="21"/>
        </w:rPr>
        <w:t>1</w:t>
      </w:r>
    </w:p>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表-1</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3"/>
        <w:gridCol w:w="2843"/>
        <w:gridCol w:w="2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2843" w:type="dxa"/>
            <w:noWrap w:val="0"/>
            <w:vAlign w:val="top"/>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考核项目</w:t>
            </w:r>
          </w:p>
        </w:tc>
        <w:tc>
          <w:tcPr>
            <w:tcW w:w="2843" w:type="dxa"/>
            <w:noWrap w:val="0"/>
            <w:vAlign w:val="top"/>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得分</w:t>
            </w:r>
          </w:p>
        </w:tc>
        <w:tc>
          <w:tcPr>
            <w:tcW w:w="2645" w:type="dxa"/>
            <w:noWrap w:val="0"/>
            <w:vAlign w:val="top"/>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附注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2843" w:type="dxa"/>
            <w:noWrap w:val="0"/>
            <w:vAlign w:val="top"/>
          </w:tcPr>
          <w:p>
            <w:pPr>
              <w:pStyle w:val="10"/>
              <w:spacing w:line="360" w:lineRule="auto"/>
              <w:jc w:val="both"/>
              <w:rPr>
                <w:rFonts w:hint="eastAsia" w:ascii="楷体" w:hAnsi="宋体" w:eastAsia="楷体"/>
                <w:color w:val="000000"/>
                <w:sz w:val="24"/>
                <w:szCs w:val="21"/>
              </w:rPr>
            </w:pPr>
            <w:r>
              <w:rPr>
                <w:rFonts w:hint="eastAsia" w:ascii="SimHei" w:hAnsi="SimHei" w:eastAsia="黑体"/>
                <w:color w:val="000000"/>
                <w:sz w:val="24"/>
                <w:szCs w:val="21"/>
              </w:rPr>
              <w:t>1.基准率</w:t>
            </w:r>
          </w:p>
        </w:tc>
        <w:tc>
          <w:tcPr>
            <w:tcW w:w="2843" w:type="dxa"/>
            <w:noWrap w:val="0"/>
            <w:vAlign w:val="top"/>
          </w:tcPr>
          <w:p>
            <w:pPr>
              <w:pStyle w:val="10"/>
              <w:spacing w:line="360" w:lineRule="auto"/>
              <w:jc w:val="center"/>
              <w:rPr>
                <w:rFonts w:hint="eastAsia" w:ascii="楷体" w:hAnsi="宋体" w:eastAsia="楷体"/>
                <w:color w:val="000000"/>
                <w:sz w:val="24"/>
                <w:szCs w:val="21"/>
              </w:rPr>
            </w:pPr>
          </w:p>
        </w:tc>
        <w:tc>
          <w:tcPr>
            <w:tcW w:w="2645" w:type="dxa"/>
            <w:noWrap w:val="0"/>
            <w:vAlign w:val="top"/>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保障项目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2843" w:type="dxa"/>
            <w:noWrap w:val="0"/>
            <w:vAlign w:val="top"/>
          </w:tcPr>
          <w:p>
            <w:pPr>
              <w:pStyle w:val="10"/>
              <w:spacing w:line="360" w:lineRule="auto"/>
              <w:jc w:val="both"/>
              <w:rPr>
                <w:rFonts w:hint="eastAsia" w:ascii="楷体" w:hAnsi="宋体" w:eastAsia="楷体"/>
                <w:color w:val="000000"/>
                <w:sz w:val="24"/>
                <w:szCs w:val="21"/>
              </w:rPr>
            </w:pPr>
            <w:r>
              <w:rPr>
                <w:rFonts w:hint="eastAsia" w:ascii="SimHei" w:hAnsi="SimHei" w:eastAsia="黑体"/>
                <w:color w:val="000000"/>
                <w:sz w:val="24"/>
                <w:szCs w:val="21"/>
              </w:rPr>
              <w:t>2.销售目标达成率</w:t>
            </w:r>
          </w:p>
          <w:p>
            <w:pPr>
              <w:pStyle w:val="10"/>
              <w:spacing w:line="360" w:lineRule="auto"/>
              <w:jc w:val="both"/>
              <w:rPr>
                <w:rFonts w:hint="eastAsia" w:ascii="楷体" w:hAnsi="宋体" w:eastAsia="楷体"/>
                <w:color w:val="000000"/>
                <w:sz w:val="24"/>
                <w:szCs w:val="21"/>
              </w:rPr>
            </w:pPr>
            <w:r>
              <w:rPr>
                <w:rFonts w:hint="eastAsia" w:ascii="SimHei" w:hAnsi="SimHei" w:eastAsia="黑体"/>
                <w:color w:val="000000"/>
                <w:sz w:val="24"/>
                <w:szCs w:val="21"/>
              </w:rPr>
              <w:t>3．销售增长率</w:t>
            </w:r>
          </w:p>
          <w:p>
            <w:pPr>
              <w:pStyle w:val="10"/>
              <w:spacing w:line="360" w:lineRule="auto"/>
              <w:jc w:val="both"/>
              <w:rPr>
                <w:rFonts w:hint="eastAsia" w:ascii="楷体" w:hAnsi="宋体" w:eastAsia="楷体"/>
                <w:color w:val="000000"/>
                <w:sz w:val="24"/>
                <w:szCs w:val="21"/>
              </w:rPr>
            </w:pPr>
            <w:r>
              <w:rPr>
                <w:rFonts w:hint="eastAsia" w:ascii="SimHei" w:hAnsi="SimHei" w:eastAsia="黑体"/>
                <w:color w:val="000000"/>
                <w:sz w:val="24"/>
                <w:szCs w:val="21"/>
              </w:rPr>
              <w:t>4．投资报酬率</w:t>
            </w:r>
          </w:p>
          <w:p>
            <w:pPr>
              <w:pStyle w:val="10"/>
              <w:spacing w:line="360" w:lineRule="auto"/>
              <w:jc w:val="both"/>
              <w:rPr>
                <w:rFonts w:hint="eastAsia" w:ascii="楷体" w:hAnsi="宋体" w:eastAsia="楷体"/>
                <w:color w:val="000000"/>
                <w:sz w:val="24"/>
                <w:szCs w:val="21"/>
              </w:rPr>
            </w:pPr>
            <w:r>
              <w:rPr>
                <w:rFonts w:hint="eastAsia" w:ascii="SimHei" w:hAnsi="SimHei" w:eastAsia="黑体"/>
                <w:color w:val="000000"/>
                <w:sz w:val="24"/>
                <w:szCs w:val="21"/>
              </w:rPr>
              <w:t>5．附加价值提拔率</w:t>
            </w:r>
          </w:p>
        </w:tc>
        <w:tc>
          <w:tcPr>
            <w:tcW w:w="2843" w:type="dxa"/>
            <w:noWrap w:val="0"/>
            <w:vAlign w:val="top"/>
          </w:tcPr>
          <w:p>
            <w:pPr>
              <w:pStyle w:val="10"/>
              <w:spacing w:line="360" w:lineRule="auto"/>
              <w:jc w:val="center"/>
              <w:rPr>
                <w:rFonts w:hint="eastAsia" w:ascii="楷体" w:hAnsi="宋体" w:eastAsia="楷体"/>
                <w:color w:val="000000"/>
                <w:sz w:val="24"/>
                <w:szCs w:val="21"/>
              </w:rPr>
            </w:pPr>
          </w:p>
        </w:tc>
        <w:tc>
          <w:tcPr>
            <w:tcW w:w="2645" w:type="dxa"/>
            <w:noWrap w:val="0"/>
            <w:vAlign w:val="top"/>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2-5项需由各部门共同努力，才能达成的项目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2843" w:type="dxa"/>
            <w:noWrap w:val="0"/>
            <w:vAlign w:val="top"/>
          </w:tcPr>
          <w:p>
            <w:pPr>
              <w:pStyle w:val="10"/>
              <w:spacing w:line="360" w:lineRule="auto"/>
              <w:jc w:val="both"/>
              <w:rPr>
                <w:rFonts w:hint="eastAsia" w:ascii="楷体" w:hAnsi="宋体" w:eastAsia="楷体"/>
                <w:color w:val="000000"/>
                <w:sz w:val="24"/>
                <w:szCs w:val="21"/>
              </w:rPr>
            </w:pPr>
            <w:r>
              <w:rPr>
                <w:rFonts w:hint="eastAsia" w:ascii="SimHei" w:hAnsi="SimHei" w:eastAsia="黑体"/>
                <w:color w:val="000000"/>
                <w:sz w:val="24"/>
                <w:szCs w:val="21"/>
              </w:rPr>
              <w:t>6．业绩率</w:t>
            </w:r>
          </w:p>
        </w:tc>
        <w:tc>
          <w:tcPr>
            <w:tcW w:w="2843" w:type="dxa"/>
            <w:noWrap w:val="0"/>
            <w:vAlign w:val="top"/>
          </w:tcPr>
          <w:p>
            <w:pPr>
              <w:pStyle w:val="10"/>
              <w:spacing w:line="360" w:lineRule="auto"/>
              <w:jc w:val="center"/>
              <w:rPr>
                <w:rFonts w:hint="eastAsia" w:ascii="楷体" w:hAnsi="宋体" w:eastAsia="楷体"/>
                <w:color w:val="000000"/>
                <w:sz w:val="24"/>
                <w:szCs w:val="21"/>
              </w:rPr>
            </w:pPr>
          </w:p>
        </w:tc>
        <w:tc>
          <w:tcPr>
            <w:tcW w:w="2645" w:type="dxa"/>
            <w:noWrap w:val="0"/>
            <w:vAlign w:val="top"/>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由各部门独立控制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2843" w:type="dxa"/>
            <w:noWrap w:val="0"/>
            <w:vAlign w:val="top"/>
          </w:tcPr>
          <w:p>
            <w:pPr>
              <w:pStyle w:val="10"/>
              <w:spacing w:line="360" w:lineRule="auto"/>
              <w:jc w:val="both"/>
              <w:rPr>
                <w:rFonts w:hint="eastAsia" w:ascii="楷体" w:hAnsi="宋体" w:eastAsia="楷体"/>
                <w:color w:val="000000"/>
                <w:sz w:val="24"/>
                <w:szCs w:val="21"/>
              </w:rPr>
            </w:pPr>
            <w:r>
              <w:rPr>
                <w:rFonts w:hint="eastAsia" w:ascii="SimHei" w:hAnsi="SimHei" w:eastAsia="黑体"/>
                <w:color w:val="000000"/>
                <w:sz w:val="24"/>
                <w:szCs w:val="21"/>
              </w:rPr>
              <w:t>合计</w:t>
            </w:r>
          </w:p>
        </w:tc>
        <w:tc>
          <w:tcPr>
            <w:tcW w:w="2843" w:type="dxa"/>
            <w:noWrap w:val="0"/>
            <w:vAlign w:val="top"/>
          </w:tcPr>
          <w:p>
            <w:pPr>
              <w:pStyle w:val="10"/>
              <w:spacing w:line="360" w:lineRule="auto"/>
              <w:jc w:val="center"/>
              <w:rPr>
                <w:rFonts w:hint="eastAsia" w:ascii="楷体" w:hAnsi="宋体" w:eastAsia="楷体"/>
                <w:color w:val="000000"/>
                <w:sz w:val="24"/>
                <w:szCs w:val="21"/>
              </w:rPr>
            </w:pPr>
          </w:p>
        </w:tc>
        <w:tc>
          <w:tcPr>
            <w:tcW w:w="2645" w:type="dxa"/>
            <w:noWrap w:val="0"/>
            <w:vAlign w:val="top"/>
          </w:tcPr>
          <w:p>
            <w:pPr>
              <w:pStyle w:val="10"/>
              <w:spacing w:line="360" w:lineRule="auto"/>
              <w:jc w:val="center"/>
              <w:rPr>
                <w:rFonts w:ascii="楷体" w:hAnsi="宋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2843" w:type="dxa"/>
            <w:noWrap w:val="0"/>
            <w:vAlign w:val="top"/>
          </w:tcPr>
          <w:p>
            <w:pPr>
              <w:pStyle w:val="10"/>
              <w:spacing w:line="360" w:lineRule="auto"/>
              <w:jc w:val="both"/>
              <w:rPr>
                <w:rFonts w:hint="eastAsia" w:ascii="楷体" w:hAnsi="宋体" w:eastAsia="楷体"/>
                <w:color w:val="000000"/>
                <w:sz w:val="24"/>
                <w:szCs w:val="21"/>
              </w:rPr>
            </w:pPr>
            <w:r>
              <w:rPr>
                <w:rFonts w:hint="eastAsia" w:ascii="SimHei" w:hAnsi="SimHei" w:eastAsia="黑体"/>
                <w:color w:val="000000"/>
                <w:sz w:val="24"/>
                <w:szCs w:val="21"/>
              </w:rPr>
              <w:t>7．预留调整</w:t>
            </w:r>
          </w:p>
        </w:tc>
        <w:tc>
          <w:tcPr>
            <w:tcW w:w="2843" w:type="dxa"/>
            <w:noWrap w:val="0"/>
            <w:vAlign w:val="top"/>
          </w:tcPr>
          <w:p>
            <w:pPr>
              <w:pStyle w:val="10"/>
              <w:spacing w:line="360" w:lineRule="auto"/>
              <w:jc w:val="center"/>
              <w:rPr>
                <w:rFonts w:hint="eastAsia" w:ascii="楷体" w:hAnsi="宋体" w:eastAsia="楷体"/>
                <w:color w:val="000000"/>
                <w:sz w:val="24"/>
                <w:szCs w:val="21"/>
              </w:rPr>
            </w:pPr>
          </w:p>
        </w:tc>
        <w:tc>
          <w:tcPr>
            <w:tcW w:w="2645" w:type="dxa"/>
            <w:noWrap w:val="0"/>
            <w:vAlign w:val="top"/>
          </w:tcPr>
          <w:p>
            <w:pPr>
              <w:pStyle w:val="10"/>
              <w:spacing w:line="360" w:lineRule="auto"/>
              <w:jc w:val="center"/>
              <w:rPr>
                <w:rFonts w:ascii="楷体" w:hAnsi="宋体" w:eastAsia="楷体"/>
                <w:color w:val="000000"/>
                <w:sz w:val="24"/>
                <w:szCs w:val="21"/>
              </w:rPr>
            </w:pPr>
          </w:p>
        </w:tc>
      </w:tr>
    </w:tbl>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第八条</w:t>
      </w:r>
      <w:r>
        <w:rPr>
          <w:rFonts w:hint="eastAsia" w:ascii="SimHei" w:hAnsi="SimHei" w:eastAsia="黑体"/>
          <w:color w:val="000000"/>
          <w:sz w:val="24"/>
          <w:szCs w:val="21"/>
        </w:rPr>
        <w:t xml:space="preserve">  </w:t>
      </w:r>
      <w:r>
        <w:rPr>
          <w:rFonts w:ascii="SimHei" w:hAnsi="SimHei" w:eastAsia="黑体"/>
          <w:color w:val="000000"/>
          <w:sz w:val="24"/>
          <w:szCs w:val="21"/>
        </w:rPr>
        <w:t>基准率</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各部门考绩分数如享有分的基准率，其主要目的乃在于保障员工不论身置任何职务或任何部门，皆可享有全体同仁共同努力的成果，并能与公司的发展，作为共同努力。</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第九条</w:t>
      </w:r>
      <w:r>
        <w:rPr>
          <w:rFonts w:hint="eastAsia" w:ascii="SimHei" w:hAnsi="SimHei" w:eastAsia="黑体"/>
          <w:color w:val="000000"/>
          <w:sz w:val="24"/>
          <w:szCs w:val="21"/>
        </w:rPr>
        <w:t xml:space="preserve">  </w:t>
      </w:r>
      <w:r>
        <w:rPr>
          <w:rFonts w:ascii="SimHei" w:hAnsi="SimHei" w:eastAsia="黑体"/>
          <w:color w:val="000000"/>
          <w:sz w:val="24"/>
          <w:szCs w:val="21"/>
        </w:rPr>
        <w:t>销售目标达成率</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(一)营业部门：依据各营业部门销售净所得与预定销售目标相除后所得的成绩，再与对各生产单位预定生产销售目标所达成比率，按下列方式进行评核：</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1.销售目标达成率×％＝A</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2.对生产部门所承诺的生产销售目标达成率×％＝B</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3.A＋B＝营业部门销售目标达成率分数</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(二)生产部门：除考虑营业部门所允诺的生产销售目标外，各生产部门间的附加价值亦须一并考虑，其评核规定如下：</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1.有附加价值的评核规定包括下列两项：</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(1)当期附加价值净值÷外购附加价的成本×％＝附加价值利益</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(2)附加价值利益÷附加价值预定目标×加权平均数＝附加价值达成率</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2.无附加价值者，则依照各营业部门预定销售比例计算。</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(三)其他，各部门考绩计算则依照营业部门的评核考绩计算。</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第十条</w:t>
      </w:r>
      <w:r>
        <w:rPr>
          <w:rFonts w:hint="eastAsia" w:ascii="SimHei" w:hAnsi="SimHei" w:eastAsia="黑体"/>
          <w:color w:val="000000"/>
          <w:sz w:val="24"/>
          <w:szCs w:val="21"/>
        </w:rPr>
        <w:t xml:space="preserve">  </w:t>
      </w:r>
      <w:r>
        <w:rPr>
          <w:rFonts w:ascii="SimHei" w:hAnsi="SimHei" w:eastAsia="黑体"/>
          <w:color w:val="000000"/>
          <w:sz w:val="24"/>
          <w:szCs w:val="21"/>
        </w:rPr>
        <w:t>销售增长率</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(一)营业部门：各部门销售增长比例，则应就当期实际销售额与目标销售额相比较后所得即为销售增长率，其评核规定如下：</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1.销售增长率的考核分数＝分(考核基准)×达成率</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2.达成率＝A＋B</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(1)A＝1＋(实际值－目标值)</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(2)B＝该部门占公司实际销售比例×部门实际增长率全公司实际增长率</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(3)公司实际增长率若低于％时，则最低评核标准仍以％计算。</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3.当该期的预定目标值呈负成长时，则不论该项评核分数如何皆不予以计算。</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(二)生产部门：依照与营业部门预定的销售目标评核，但生产部门若有附加价值产生时，则加算附加价值的评核。</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(三)其他各部门考绩的计算，则依照营业部门的评核标准计算。</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第十一条</w:t>
      </w:r>
      <w:r>
        <w:rPr>
          <w:rFonts w:hint="eastAsia" w:ascii="SimHei" w:hAnsi="SimHei" w:eastAsia="黑体"/>
          <w:color w:val="000000"/>
          <w:sz w:val="24"/>
          <w:szCs w:val="21"/>
        </w:rPr>
        <w:t xml:space="preserve">  </w:t>
      </w:r>
      <w:r>
        <w:rPr>
          <w:rFonts w:ascii="SimHei" w:hAnsi="SimHei" w:eastAsia="黑体"/>
          <w:color w:val="000000"/>
          <w:sz w:val="24"/>
          <w:szCs w:val="21"/>
        </w:rPr>
        <w:t>投资报酬率</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公司视前年度营业成长比例由董事会议通过后，所制定各部门年度损益目标及投资报酬率，其标准如下：</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(一)评分基准</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投资报酬率×考核分数标准＝投资报酬率评定分数</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(二)营业部门投资报酬率</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税前纯利使用资产＝营业部门投资报酬率</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(三)管理部门</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全公司年度税前纯益总资产＝管理部门投资报酬率</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(四)其他各部门的投资报酬率则由经营企划部门评核后，设定各部门目标达成标准后，呈报总经理评定后实施。</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第十二条</w:t>
      </w:r>
      <w:r>
        <w:rPr>
          <w:rFonts w:hint="eastAsia" w:ascii="SimHei" w:hAnsi="SimHei" w:eastAsia="黑体"/>
          <w:color w:val="000000"/>
          <w:sz w:val="24"/>
          <w:szCs w:val="21"/>
        </w:rPr>
        <w:t xml:space="preserve">  </w:t>
      </w:r>
      <w:r>
        <w:rPr>
          <w:rFonts w:ascii="SimHei" w:hAnsi="SimHei" w:eastAsia="黑体"/>
          <w:color w:val="000000"/>
          <w:sz w:val="24"/>
          <w:szCs w:val="21"/>
        </w:rPr>
        <w:t>附加价值提取率</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本公司所支付的奖金乃由附加价值利益中，提出％～％的净所得(须扣除该项的管销费用及销货成本)作为奖金的分配额，其评定方式如下：</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(一)当期附加价值实际产生及销售额＞预定目标时，则依照原订的考核分数分计算。</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(二)当期附加价值实际产生及销售额＜预定目标时，则依照原订的基准分数×达成率。</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(三)经营企划部门在计算出各部门目标值后，呈报总经理评定后实施。</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第十三条</w:t>
      </w:r>
      <w:r>
        <w:rPr>
          <w:rFonts w:hint="eastAsia" w:ascii="SimHei" w:hAnsi="SimHei" w:eastAsia="黑体"/>
          <w:color w:val="000000"/>
          <w:sz w:val="24"/>
          <w:szCs w:val="21"/>
        </w:rPr>
        <w:t xml:space="preserve">  </w:t>
      </w:r>
      <w:r>
        <w:rPr>
          <w:rFonts w:ascii="SimHei" w:hAnsi="SimHei" w:eastAsia="黑体"/>
          <w:color w:val="000000"/>
          <w:sz w:val="24"/>
          <w:szCs w:val="21"/>
        </w:rPr>
        <w:t>业绩率</w:t>
      </w:r>
    </w:p>
    <w:p>
      <w:pPr>
        <w:pStyle w:val="10"/>
        <w:spacing w:line="360" w:lineRule="auto"/>
        <w:ind w:firstLine="480" w:firstLineChars="200"/>
        <w:jc w:val="both"/>
        <w:rPr>
          <w:rFonts w:hint="eastAsia" w:ascii="楷体" w:hAnsi="宋体" w:eastAsia="楷体"/>
          <w:color w:val="000000"/>
          <w:sz w:val="24"/>
          <w:szCs w:val="21"/>
        </w:rPr>
      </w:pPr>
      <w:r>
        <w:rPr>
          <w:rFonts w:ascii="SimHei" w:hAnsi="SimHei" w:eastAsia="黑体"/>
          <w:color w:val="000000"/>
          <w:sz w:val="24"/>
          <w:szCs w:val="21"/>
        </w:rPr>
        <w:t>各部门的经营可由经营企划部门视各部门所负责的职务分别设定目标及评核项目，以作为该项达成率的考绩分数，则为各部门对公司的贡献程度(业绩率)，其评核标准如表</w:t>
      </w:r>
      <w:r>
        <w:rPr>
          <w:rFonts w:hint="eastAsia" w:ascii="SimHei" w:hAnsi="SimHei" w:eastAsia="黑体"/>
          <w:color w:val="000000"/>
          <w:sz w:val="24"/>
          <w:szCs w:val="21"/>
        </w:rPr>
        <w:t>-</w:t>
      </w:r>
      <w:r>
        <w:rPr>
          <w:rFonts w:ascii="SimHei" w:hAnsi="SimHei" w:eastAsia="黑体"/>
          <w:color w:val="000000"/>
          <w:sz w:val="24"/>
          <w:szCs w:val="21"/>
        </w:rPr>
        <w:t>2，</w:t>
      </w:r>
      <w:r>
        <w:rPr>
          <w:rFonts w:hint="eastAsia" w:ascii="SimHei" w:hAnsi="SimHei" w:eastAsia="黑体"/>
          <w:color w:val="000000"/>
          <w:sz w:val="24"/>
          <w:szCs w:val="21"/>
        </w:rPr>
        <w:t>表-</w:t>
      </w:r>
      <w:r>
        <w:rPr>
          <w:rFonts w:ascii="SimHei" w:hAnsi="SimHei" w:eastAsia="黑体"/>
          <w:color w:val="000000"/>
          <w:sz w:val="24"/>
          <w:szCs w:val="21"/>
        </w:rPr>
        <w:t>3，</w:t>
      </w:r>
      <w:r>
        <w:rPr>
          <w:rFonts w:hint="eastAsia" w:ascii="SimHei" w:hAnsi="SimHei" w:eastAsia="黑体"/>
          <w:color w:val="000000"/>
          <w:sz w:val="24"/>
          <w:szCs w:val="21"/>
        </w:rPr>
        <w:t>表-</w:t>
      </w:r>
      <w:r>
        <w:rPr>
          <w:rFonts w:ascii="SimHei" w:hAnsi="SimHei" w:eastAsia="黑体"/>
          <w:color w:val="000000"/>
          <w:sz w:val="24"/>
          <w:szCs w:val="21"/>
        </w:rPr>
        <w:t>4</w:t>
      </w:r>
      <w:r>
        <w:rPr>
          <w:rFonts w:hint="eastAsia" w:ascii="SimHei" w:hAnsi="SimHei" w:eastAsia="黑体"/>
          <w:color w:val="000000"/>
          <w:sz w:val="24"/>
          <w:szCs w:val="21"/>
        </w:rPr>
        <w:t>。</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(一)营业部门业绩率</w:t>
      </w:r>
    </w:p>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表-2</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1051"/>
        <w:gridCol w:w="1138"/>
        <w:gridCol w:w="1138"/>
        <w:gridCol w:w="1138"/>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2397" w:type="dxa"/>
            <w:noWrap w:val="0"/>
            <w:vAlign w:val="top"/>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考核项目</w:t>
            </w:r>
          </w:p>
        </w:tc>
        <w:tc>
          <w:tcPr>
            <w:tcW w:w="1051" w:type="dxa"/>
            <w:noWrap w:val="0"/>
            <w:vAlign w:val="center"/>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A部门</w:t>
            </w:r>
          </w:p>
        </w:tc>
        <w:tc>
          <w:tcPr>
            <w:tcW w:w="1138" w:type="dxa"/>
            <w:noWrap w:val="0"/>
            <w:vAlign w:val="center"/>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B部门</w:t>
            </w:r>
          </w:p>
        </w:tc>
        <w:tc>
          <w:tcPr>
            <w:tcW w:w="1138" w:type="dxa"/>
            <w:noWrap w:val="0"/>
            <w:vAlign w:val="center"/>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C部门</w:t>
            </w:r>
          </w:p>
        </w:tc>
        <w:tc>
          <w:tcPr>
            <w:tcW w:w="1138" w:type="dxa"/>
            <w:noWrap w:val="0"/>
            <w:vAlign w:val="center"/>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D部门</w:t>
            </w:r>
          </w:p>
        </w:tc>
        <w:tc>
          <w:tcPr>
            <w:tcW w:w="1139" w:type="dxa"/>
            <w:noWrap w:val="0"/>
            <w:vAlign w:val="center"/>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E部门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2397" w:type="dxa"/>
            <w:noWrap w:val="0"/>
            <w:vAlign w:val="top"/>
          </w:tcPr>
          <w:p>
            <w:pPr>
              <w:pStyle w:val="10"/>
              <w:numPr>
                <w:ilvl w:val="0"/>
                <w:numId w:val="1"/>
              </w:numPr>
              <w:tabs>
                <w:tab w:val="left" w:pos="-121"/>
                <w:tab w:val="left" w:pos="407"/>
                <w:tab w:val="left" w:pos="446"/>
                <w:tab w:val="clear" w:pos="360"/>
                <w:tab w:val="clear" w:pos="916"/>
                <w:tab w:val="clear" w:pos="1832"/>
              </w:tabs>
              <w:spacing w:line="360" w:lineRule="auto"/>
              <w:ind w:left="21" w:firstLine="0"/>
              <w:jc w:val="both"/>
              <w:rPr>
                <w:rFonts w:hint="eastAsia" w:ascii="楷体" w:hAnsi="宋体" w:eastAsia="楷体"/>
                <w:color w:val="000000"/>
                <w:sz w:val="24"/>
                <w:szCs w:val="21"/>
              </w:rPr>
            </w:pPr>
            <w:r>
              <w:rPr>
                <w:rFonts w:hint="eastAsia" w:ascii="SimHei" w:hAnsi="SimHei" w:eastAsia="黑体"/>
                <w:color w:val="000000"/>
                <w:sz w:val="24"/>
                <w:szCs w:val="21"/>
              </w:rPr>
              <w:t>平均薪资销售额</w:t>
            </w:r>
          </w:p>
          <w:p>
            <w:pPr>
              <w:pStyle w:val="10"/>
              <w:numPr>
                <w:ilvl w:val="0"/>
                <w:numId w:val="1"/>
              </w:numPr>
              <w:tabs>
                <w:tab w:val="left" w:pos="-121"/>
                <w:tab w:val="left" w:pos="407"/>
                <w:tab w:val="left" w:pos="446"/>
                <w:tab w:val="clear" w:pos="360"/>
                <w:tab w:val="clear" w:pos="916"/>
                <w:tab w:val="clear" w:pos="1832"/>
              </w:tabs>
              <w:spacing w:line="360" w:lineRule="auto"/>
              <w:ind w:left="21" w:firstLine="0"/>
              <w:jc w:val="both"/>
              <w:rPr>
                <w:rFonts w:hint="eastAsia" w:ascii="楷体" w:hAnsi="宋体" w:eastAsia="楷体"/>
                <w:color w:val="000000"/>
                <w:sz w:val="24"/>
                <w:szCs w:val="21"/>
              </w:rPr>
            </w:pPr>
            <w:r>
              <w:rPr>
                <w:rFonts w:hint="eastAsia" w:ascii="SimHei" w:hAnsi="SimHei" w:eastAsia="黑体"/>
                <w:color w:val="000000"/>
                <w:sz w:val="24"/>
                <w:szCs w:val="21"/>
              </w:rPr>
              <w:t>营销费用比率</w:t>
            </w:r>
          </w:p>
          <w:p>
            <w:pPr>
              <w:pStyle w:val="10"/>
              <w:numPr>
                <w:ilvl w:val="0"/>
                <w:numId w:val="1"/>
              </w:numPr>
              <w:tabs>
                <w:tab w:val="left" w:pos="-121"/>
                <w:tab w:val="left" w:pos="407"/>
                <w:tab w:val="left" w:pos="446"/>
                <w:tab w:val="clear" w:pos="360"/>
                <w:tab w:val="clear" w:pos="916"/>
                <w:tab w:val="clear" w:pos="1832"/>
              </w:tabs>
              <w:spacing w:line="360" w:lineRule="auto"/>
              <w:ind w:left="21" w:firstLine="0"/>
              <w:jc w:val="both"/>
              <w:rPr>
                <w:rFonts w:hint="eastAsia" w:ascii="楷体" w:hAnsi="宋体" w:eastAsia="楷体"/>
                <w:color w:val="000000"/>
                <w:sz w:val="24"/>
                <w:szCs w:val="21"/>
              </w:rPr>
            </w:pPr>
            <w:r>
              <w:rPr>
                <w:rFonts w:hint="eastAsia" w:ascii="SimHei" w:hAnsi="SimHei" w:eastAsia="黑体"/>
                <w:color w:val="000000"/>
                <w:sz w:val="24"/>
                <w:szCs w:val="21"/>
              </w:rPr>
              <w:t>奖金运用成本控制</w:t>
            </w:r>
          </w:p>
          <w:p>
            <w:pPr>
              <w:pStyle w:val="10"/>
              <w:numPr>
                <w:ilvl w:val="0"/>
                <w:numId w:val="1"/>
              </w:numPr>
              <w:tabs>
                <w:tab w:val="left" w:pos="-121"/>
                <w:tab w:val="left" w:pos="407"/>
                <w:tab w:val="left" w:pos="446"/>
                <w:tab w:val="clear" w:pos="360"/>
                <w:tab w:val="clear" w:pos="916"/>
                <w:tab w:val="clear" w:pos="1832"/>
              </w:tabs>
              <w:spacing w:line="360" w:lineRule="auto"/>
              <w:ind w:left="21" w:firstLine="0"/>
              <w:jc w:val="both"/>
              <w:rPr>
                <w:rFonts w:hint="eastAsia" w:ascii="楷体" w:hAnsi="宋体" w:eastAsia="楷体"/>
                <w:color w:val="000000"/>
                <w:sz w:val="24"/>
                <w:szCs w:val="21"/>
              </w:rPr>
            </w:pPr>
            <w:r>
              <w:rPr>
                <w:rFonts w:hint="eastAsia" w:ascii="SimHei" w:hAnsi="SimHei" w:eastAsia="黑体"/>
                <w:color w:val="000000"/>
                <w:sz w:val="24"/>
                <w:szCs w:val="21"/>
              </w:rPr>
              <w:t>应收账款比率</w:t>
            </w:r>
          </w:p>
          <w:p>
            <w:pPr>
              <w:pStyle w:val="10"/>
              <w:numPr>
                <w:ilvl w:val="0"/>
                <w:numId w:val="1"/>
              </w:numPr>
              <w:tabs>
                <w:tab w:val="left" w:pos="-121"/>
                <w:tab w:val="left" w:pos="407"/>
                <w:tab w:val="left" w:pos="446"/>
                <w:tab w:val="clear" w:pos="360"/>
                <w:tab w:val="clear" w:pos="916"/>
                <w:tab w:val="clear" w:pos="1832"/>
              </w:tabs>
              <w:spacing w:line="360" w:lineRule="auto"/>
              <w:ind w:left="21" w:firstLine="0"/>
              <w:jc w:val="both"/>
              <w:rPr>
                <w:rFonts w:hint="eastAsia" w:ascii="楷体" w:hAnsi="宋体" w:eastAsia="楷体"/>
                <w:color w:val="000000"/>
                <w:sz w:val="24"/>
                <w:szCs w:val="21"/>
              </w:rPr>
            </w:pPr>
            <w:r>
              <w:rPr>
                <w:rFonts w:hint="eastAsia" w:ascii="SimHei" w:hAnsi="SimHei" w:eastAsia="黑体"/>
                <w:color w:val="000000"/>
                <w:sz w:val="24"/>
                <w:szCs w:val="21"/>
              </w:rPr>
              <w:t>应收票据比率</w:t>
            </w:r>
          </w:p>
          <w:p>
            <w:pPr>
              <w:pStyle w:val="10"/>
              <w:numPr>
                <w:ilvl w:val="0"/>
                <w:numId w:val="1"/>
              </w:numPr>
              <w:tabs>
                <w:tab w:val="left" w:pos="-121"/>
                <w:tab w:val="left" w:pos="407"/>
                <w:tab w:val="left" w:pos="446"/>
                <w:tab w:val="clear" w:pos="360"/>
                <w:tab w:val="clear" w:pos="916"/>
                <w:tab w:val="clear" w:pos="1832"/>
              </w:tabs>
              <w:spacing w:line="360" w:lineRule="auto"/>
              <w:ind w:left="21" w:firstLine="0"/>
              <w:jc w:val="both"/>
              <w:rPr>
                <w:rFonts w:hint="eastAsia" w:ascii="楷体" w:hAnsi="宋体" w:eastAsia="楷体"/>
                <w:color w:val="000000"/>
                <w:sz w:val="24"/>
                <w:szCs w:val="21"/>
              </w:rPr>
            </w:pPr>
            <w:r>
              <w:rPr>
                <w:rFonts w:hint="eastAsia" w:ascii="SimHei" w:hAnsi="SimHei" w:eastAsia="黑体"/>
                <w:color w:val="000000"/>
                <w:sz w:val="24"/>
                <w:szCs w:val="21"/>
              </w:rPr>
              <w:t>促销商品达成率</w:t>
            </w:r>
          </w:p>
          <w:p>
            <w:pPr>
              <w:pStyle w:val="10"/>
              <w:numPr>
                <w:ilvl w:val="0"/>
                <w:numId w:val="1"/>
              </w:numPr>
              <w:tabs>
                <w:tab w:val="left" w:pos="-121"/>
                <w:tab w:val="left" w:pos="407"/>
                <w:tab w:val="left" w:pos="446"/>
                <w:tab w:val="clear" w:pos="360"/>
                <w:tab w:val="clear" w:pos="916"/>
                <w:tab w:val="clear" w:pos="1832"/>
              </w:tabs>
              <w:spacing w:line="360" w:lineRule="auto"/>
              <w:ind w:left="21" w:firstLine="0"/>
              <w:jc w:val="both"/>
              <w:rPr>
                <w:rFonts w:hint="eastAsia" w:ascii="楷体" w:hAnsi="宋体" w:eastAsia="楷体"/>
                <w:color w:val="000000"/>
                <w:sz w:val="24"/>
                <w:szCs w:val="21"/>
              </w:rPr>
            </w:pPr>
            <w:r>
              <w:rPr>
                <w:rFonts w:hint="eastAsia" w:ascii="SimHei" w:hAnsi="SimHei" w:eastAsia="黑体"/>
                <w:color w:val="000000"/>
                <w:sz w:val="24"/>
                <w:szCs w:val="21"/>
              </w:rPr>
              <w:t>市场占有率</w:t>
            </w:r>
          </w:p>
          <w:p>
            <w:pPr>
              <w:pStyle w:val="10"/>
              <w:numPr>
                <w:ilvl w:val="0"/>
                <w:numId w:val="1"/>
              </w:numPr>
              <w:tabs>
                <w:tab w:val="left" w:pos="-121"/>
                <w:tab w:val="left" w:pos="407"/>
                <w:tab w:val="left" w:pos="446"/>
                <w:tab w:val="clear" w:pos="360"/>
                <w:tab w:val="clear" w:pos="916"/>
                <w:tab w:val="clear" w:pos="1832"/>
              </w:tabs>
              <w:spacing w:line="360" w:lineRule="auto"/>
              <w:ind w:left="21" w:firstLine="0"/>
              <w:jc w:val="both"/>
              <w:rPr>
                <w:rFonts w:hint="eastAsia" w:ascii="楷体" w:hAnsi="宋体" w:eastAsia="楷体"/>
                <w:color w:val="000000"/>
                <w:sz w:val="24"/>
                <w:szCs w:val="21"/>
              </w:rPr>
            </w:pPr>
            <w:r>
              <w:rPr>
                <w:rFonts w:hint="eastAsia" w:ascii="SimHei" w:hAnsi="SimHei" w:eastAsia="黑体"/>
                <w:color w:val="000000"/>
                <w:sz w:val="24"/>
                <w:szCs w:val="21"/>
              </w:rPr>
              <w:t>呆账损失比率</w:t>
            </w:r>
          </w:p>
          <w:p>
            <w:pPr>
              <w:pStyle w:val="10"/>
              <w:numPr>
                <w:ilvl w:val="0"/>
                <w:numId w:val="1"/>
              </w:numPr>
              <w:tabs>
                <w:tab w:val="left" w:pos="-121"/>
                <w:tab w:val="left" w:pos="407"/>
                <w:tab w:val="left" w:pos="446"/>
                <w:tab w:val="clear" w:pos="360"/>
                <w:tab w:val="clear" w:pos="916"/>
                <w:tab w:val="clear" w:pos="1832"/>
              </w:tabs>
              <w:spacing w:line="360" w:lineRule="auto"/>
              <w:ind w:left="21" w:firstLine="0"/>
              <w:jc w:val="both"/>
              <w:rPr>
                <w:rFonts w:hint="eastAsia" w:ascii="楷体" w:hAnsi="宋体" w:eastAsia="楷体"/>
                <w:color w:val="000000"/>
                <w:sz w:val="24"/>
                <w:szCs w:val="21"/>
              </w:rPr>
            </w:pPr>
            <w:r>
              <w:rPr>
                <w:rFonts w:hint="eastAsia" w:ascii="SimHei" w:hAnsi="SimHei" w:eastAsia="黑体"/>
                <w:color w:val="000000"/>
                <w:sz w:val="24"/>
                <w:szCs w:val="21"/>
              </w:rPr>
              <w:t>存货控制比率</w:t>
            </w:r>
          </w:p>
        </w:tc>
        <w:tc>
          <w:tcPr>
            <w:tcW w:w="1051" w:type="dxa"/>
            <w:noWrap w:val="0"/>
            <w:vAlign w:val="center"/>
          </w:tcPr>
          <w:p>
            <w:pPr>
              <w:pStyle w:val="10"/>
              <w:spacing w:line="360" w:lineRule="auto"/>
              <w:jc w:val="center"/>
              <w:rPr>
                <w:rFonts w:hint="eastAsia" w:ascii="楷体" w:hAnsi="宋体" w:eastAsia="楷体"/>
                <w:color w:val="000000"/>
                <w:sz w:val="24"/>
                <w:szCs w:val="21"/>
              </w:rPr>
            </w:pPr>
          </w:p>
        </w:tc>
        <w:tc>
          <w:tcPr>
            <w:tcW w:w="1138" w:type="dxa"/>
            <w:noWrap w:val="0"/>
            <w:vAlign w:val="center"/>
          </w:tcPr>
          <w:p>
            <w:pPr>
              <w:pStyle w:val="10"/>
              <w:spacing w:line="360" w:lineRule="auto"/>
              <w:jc w:val="center"/>
              <w:rPr>
                <w:rFonts w:hint="eastAsia" w:ascii="楷体" w:hAnsi="宋体" w:eastAsia="楷体"/>
                <w:color w:val="000000"/>
                <w:sz w:val="24"/>
                <w:szCs w:val="21"/>
              </w:rPr>
            </w:pPr>
          </w:p>
        </w:tc>
        <w:tc>
          <w:tcPr>
            <w:tcW w:w="1138" w:type="dxa"/>
            <w:noWrap w:val="0"/>
            <w:vAlign w:val="center"/>
          </w:tcPr>
          <w:p>
            <w:pPr>
              <w:pStyle w:val="10"/>
              <w:spacing w:line="360" w:lineRule="auto"/>
              <w:jc w:val="center"/>
              <w:rPr>
                <w:rFonts w:hint="eastAsia" w:ascii="楷体" w:hAnsi="宋体" w:eastAsia="楷体"/>
                <w:color w:val="000000"/>
                <w:sz w:val="24"/>
                <w:szCs w:val="21"/>
              </w:rPr>
            </w:pPr>
          </w:p>
        </w:tc>
        <w:tc>
          <w:tcPr>
            <w:tcW w:w="1138" w:type="dxa"/>
            <w:noWrap w:val="0"/>
            <w:vAlign w:val="center"/>
          </w:tcPr>
          <w:p>
            <w:pPr>
              <w:pStyle w:val="10"/>
              <w:spacing w:line="360" w:lineRule="auto"/>
              <w:jc w:val="center"/>
              <w:rPr>
                <w:rFonts w:hint="eastAsia" w:ascii="楷体" w:hAnsi="宋体" w:eastAsia="楷体"/>
                <w:color w:val="000000"/>
                <w:sz w:val="24"/>
                <w:szCs w:val="21"/>
              </w:rPr>
            </w:pPr>
          </w:p>
        </w:tc>
        <w:tc>
          <w:tcPr>
            <w:tcW w:w="1139" w:type="dxa"/>
            <w:noWrap w:val="0"/>
            <w:vAlign w:val="center"/>
          </w:tcPr>
          <w:p>
            <w:pPr>
              <w:pStyle w:val="10"/>
              <w:spacing w:line="360" w:lineRule="auto"/>
              <w:jc w:val="center"/>
              <w:rPr>
                <w:rFonts w:hint="eastAsia" w:ascii="楷体" w:hAnsi="宋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2397" w:type="dxa"/>
            <w:noWrap w:val="0"/>
            <w:vAlign w:val="top"/>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合计</w:t>
            </w:r>
          </w:p>
        </w:tc>
        <w:tc>
          <w:tcPr>
            <w:tcW w:w="1051" w:type="dxa"/>
            <w:noWrap w:val="0"/>
            <w:vAlign w:val="center"/>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100</w:t>
            </w:r>
          </w:p>
        </w:tc>
        <w:tc>
          <w:tcPr>
            <w:tcW w:w="1138" w:type="dxa"/>
            <w:noWrap w:val="0"/>
            <w:vAlign w:val="center"/>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100</w:t>
            </w:r>
          </w:p>
        </w:tc>
        <w:tc>
          <w:tcPr>
            <w:tcW w:w="1138" w:type="dxa"/>
            <w:noWrap w:val="0"/>
            <w:vAlign w:val="center"/>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100</w:t>
            </w:r>
          </w:p>
        </w:tc>
        <w:tc>
          <w:tcPr>
            <w:tcW w:w="1138" w:type="dxa"/>
            <w:noWrap w:val="0"/>
            <w:vAlign w:val="center"/>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100</w:t>
            </w:r>
          </w:p>
        </w:tc>
        <w:tc>
          <w:tcPr>
            <w:tcW w:w="1139" w:type="dxa"/>
            <w:noWrap w:val="0"/>
            <w:vAlign w:val="center"/>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100</w:t>
            </w:r>
          </w:p>
        </w:tc>
      </w:tr>
    </w:tbl>
    <w:p>
      <w:pPr>
        <w:pStyle w:val="10"/>
        <w:spacing w:line="360" w:lineRule="auto"/>
        <w:ind w:firstLine="480" w:firstLineChars="200"/>
        <w:jc w:val="both"/>
        <w:rPr>
          <w:rFonts w:hint="eastAsia" w:ascii="楷体" w:hAnsi="宋体" w:eastAsia="楷体"/>
          <w:color w:val="000000"/>
          <w:sz w:val="24"/>
          <w:szCs w:val="21"/>
        </w:rPr>
      </w:pPr>
      <w:r>
        <w:rPr>
          <w:rFonts w:ascii="SimHei" w:hAnsi="SimHei" w:eastAsia="黑体"/>
          <w:color w:val="000000"/>
          <w:sz w:val="24"/>
          <w:szCs w:val="21"/>
        </w:rPr>
        <w:t>(二)生产部门业绩率</w:t>
      </w:r>
    </w:p>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表-3</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9"/>
        <w:gridCol w:w="992"/>
        <w:gridCol w:w="1055"/>
        <w:gridCol w:w="1138"/>
        <w:gridCol w:w="1138"/>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2539" w:type="dxa"/>
            <w:noWrap w:val="0"/>
            <w:vAlign w:val="top"/>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考核项目</w:t>
            </w:r>
          </w:p>
        </w:tc>
        <w:tc>
          <w:tcPr>
            <w:tcW w:w="992" w:type="dxa"/>
            <w:noWrap w:val="0"/>
            <w:vAlign w:val="top"/>
          </w:tcPr>
          <w:p>
            <w:pPr>
              <w:pStyle w:val="10"/>
              <w:spacing w:line="360" w:lineRule="auto"/>
              <w:jc w:val="center"/>
              <w:rPr>
                <w:rFonts w:hint="eastAsia" w:ascii="楷体" w:hAnsi="宋体" w:eastAsia="楷体"/>
                <w:color w:val="000000"/>
                <w:sz w:val="24"/>
                <w:szCs w:val="21"/>
              </w:rPr>
            </w:pPr>
            <w:r>
              <w:rPr>
                <w:rFonts w:ascii="SimHei" w:hAnsi="SimHei" w:eastAsia="黑体"/>
                <w:color w:val="000000"/>
                <w:sz w:val="24"/>
                <w:szCs w:val="21"/>
              </w:rPr>
              <w:t>A</w:t>
            </w:r>
            <w:r>
              <w:rPr>
                <w:rFonts w:hint="eastAsia" w:ascii="SimHei" w:hAnsi="SimHei" w:eastAsia="黑体"/>
                <w:color w:val="000000"/>
                <w:sz w:val="24"/>
                <w:szCs w:val="21"/>
              </w:rPr>
              <w:t>厂</w:t>
            </w:r>
          </w:p>
        </w:tc>
        <w:tc>
          <w:tcPr>
            <w:tcW w:w="1055" w:type="dxa"/>
            <w:noWrap w:val="0"/>
            <w:vAlign w:val="top"/>
          </w:tcPr>
          <w:p>
            <w:pPr>
              <w:pStyle w:val="10"/>
              <w:spacing w:line="360" w:lineRule="auto"/>
              <w:jc w:val="center"/>
              <w:rPr>
                <w:rFonts w:hint="eastAsia" w:ascii="楷体" w:hAnsi="宋体" w:eastAsia="楷体"/>
                <w:color w:val="000000"/>
                <w:sz w:val="24"/>
                <w:szCs w:val="21"/>
              </w:rPr>
            </w:pPr>
            <w:r>
              <w:rPr>
                <w:rFonts w:ascii="SimHei" w:hAnsi="SimHei" w:eastAsia="黑体"/>
                <w:color w:val="000000"/>
                <w:sz w:val="24"/>
                <w:szCs w:val="21"/>
              </w:rPr>
              <w:t>B</w:t>
            </w:r>
            <w:r>
              <w:rPr>
                <w:rFonts w:hint="eastAsia" w:ascii="SimHei" w:hAnsi="SimHei" w:eastAsia="黑体"/>
                <w:color w:val="000000"/>
                <w:sz w:val="24"/>
                <w:szCs w:val="21"/>
              </w:rPr>
              <w:t>厂</w:t>
            </w:r>
          </w:p>
        </w:tc>
        <w:tc>
          <w:tcPr>
            <w:tcW w:w="1138" w:type="dxa"/>
            <w:noWrap w:val="0"/>
            <w:vAlign w:val="top"/>
          </w:tcPr>
          <w:p>
            <w:pPr>
              <w:pStyle w:val="10"/>
              <w:spacing w:line="360" w:lineRule="auto"/>
              <w:jc w:val="center"/>
              <w:rPr>
                <w:rFonts w:hint="eastAsia" w:ascii="楷体" w:hAnsi="宋体" w:eastAsia="楷体"/>
                <w:color w:val="000000"/>
                <w:sz w:val="24"/>
                <w:szCs w:val="21"/>
              </w:rPr>
            </w:pPr>
            <w:r>
              <w:rPr>
                <w:rFonts w:ascii="SimHei" w:hAnsi="SimHei" w:eastAsia="黑体"/>
                <w:color w:val="000000"/>
                <w:sz w:val="24"/>
                <w:szCs w:val="21"/>
              </w:rPr>
              <w:t>C</w:t>
            </w:r>
            <w:r>
              <w:rPr>
                <w:rFonts w:hint="eastAsia" w:ascii="SimHei" w:hAnsi="SimHei" w:eastAsia="黑体"/>
                <w:color w:val="000000"/>
                <w:sz w:val="24"/>
                <w:szCs w:val="21"/>
              </w:rPr>
              <w:t>厂</w:t>
            </w:r>
          </w:p>
        </w:tc>
        <w:tc>
          <w:tcPr>
            <w:tcW w:w="1138" w:type="dxa"/>
            <w:noWrap w:val="0"/>
            <w:vAlign w:val="top"/>
          </w:tcPr>
          <w:p>
            <w:pPr>
              <w:pStyle w:val="10"/>
              <w:spacing w:line="360" w:lineRule="auto"/>
              <w:jc w:val="center"/>
              <w:rPr>
                <w:rFonts w:hint="eastAsia" w:ascii="楷体" w:hAnsi="宋体" w:eastAsia="楷体"/>
                <w:color w:val="000000"/>
                <w:sz w:val="24"/>
                <w:szCs w:val="21"/>
              </w:rPr>
            </w:pPr>
            <w:r>
              <w:rPr>
                <w:rFonts w:ascii="SimHei" w:hAnsi="SimHei" w:eastAsia="黑体"/>
                <w:color w:val="000000"/>
                <w:sz w:val="24"/>
                <w:szCs w:val="21"/>
              </w:rPr>
              <w:t>D</w:t>
            </w:r>
            <w:r>
              <w:rPr>
                <w:rFonts w:hint="eastAsia" w:ascii="SimHei" w:hAnsi="SimHei" w:eastAsia="黑体"/>
                <w:color w:val="000000"/>
                <w:sz w:val="24"/>
                <w:szCs w:val="21"/>
              </w:rPr>
              <w:t>厂</w:t>
            </w:r>
          </w:p>
        </w:tc>
        <w:tc>
          <w:tcPr>
            <w:tcW w:w="1139" w:type="dxa"/>
            <w:noWrap w:val="0"/>
            <w:vAlign w:val="top"/>
          </w:tcPr>
          <w:p>
            <w:pPr>
              <w:pStyle w:val="10"/>
              <w:spacing w:line="360" w:lineRule="auto"/>
              <w:jc w:val="center"/>
              <w:rPr>
                <w:rFonts w:hint="eastAsia" w:ascii="楷体" w:hAnsi="宋体" w:eastAsia="楷体"/>
                <w:color w:val="000000"/>
                <w:sz w:val="24"/>
                <w:szCs w:val="21"/>
              </w:rPr>
            </w:pPr>
            <w:r>
              <w:rPr>
                <w:rFonts w:ascii="SimHei" w:hAnsi="SimHei" w:eastAsia="黑体"/>
                <w:color w:val="000000"/>
                <w:sz w:val="24"/>
                <w:szCs w:val="21"/>
              </w:rPr>
              <w:t>E</w:t>
            </w:r>
            <w:r>
              <w:rPr>
                <w:rFonts w:hint="eastAsia" w:ascii="SimHei" w:hAnsi="SimHei" w:eastAsia="黑体"/>
                <w:color w:val="000000"/>
                <w:sz w:val="24"/>
                <w:szCs w:val="21"/>
              </w:rPr>
              <w:t>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2539" w:type="dxa"/>
            <w:noWrap w:val="0"/>
            <w:vAlign w:val="top"/>
          </w:tcPr>
          <w:p>
            <w:pPr>
              <w:pStyle w:val="10"/>
              <w:numPr>
                <w:ilvl w:val="0"/>
                <w:numId w:val="2"/>
              </w:numPr>
              <w:tabs>
                <w:tab w:val="left" w:pos="21"/>
                <w:tab w:val="left" w:pos="265"/>
                <w:tab w:val="clear" w:pos="360"/>
                <w:tab w:val="clear" w:pos="916"/>
              </w:tabs>
              <w:spacing w:line="360" w:lineRule="auto"/>
              <w:ind w:left="0" w:firstLine="0"/>
              <w:jc w:val="both"/>
              <w:rPr>
                <w:rFonts w:hint="eastAsia" w:ascii="楷体" w:hAnsi="宋体" w:eastAsia="楷体"/>
                <w:color w:val="000000"/>
                <w:sz w:val="24"/>
                <w:szCs w:val="21"/>
              </w:rPr>
            </w:pPr>
            <w:r>
              <w:rPr>
                <w:rFonts w:hint="eastAsia" w:ascii="SimHei" w:hAnsi="SimHei" w:eastAsia="黑体"/>
                <w:color w:val="000000"/>
                <w:sz w:val="24"/>
                <w:szCs w:val="21"/>
              </w:rPr>
              <w:t>平均薪资生产量</w:t>
            </w:r>
          </w:p>
          <w:p>
            <w:pPr>
              <w:pStyle w:val="10"/>
              <w:numPr>
                <w:ilvl w:val="0"/>
                <w:numId w:val="2"/>
              </w:numPr>
              <w:tabs>
                <w:tab w:val="left" w:pos="21"/>
                <w:tab w:val="left" w:pos="265"/>
                <w:tab w:val="clear" w:pos="360"/>
                <w:tab w:val="clear" w:pos="916"/>
              </w:tabs>
              <w:spacing w:line="360" w:lineRule="auto"/>
              <w:ind w:left="0" w:firstLine="0"/>
              <w:jc w:val="both"/>
              <w:rPr>
                <w:rFonts w:hint="eastAsia" w:ascii="楷体" w:hAnsi="宋体" w:eastAsia="楷体"/>
                <w:color w:val="000000"/>
                <w:sz w:val="24"/>
                <w:szCs w:val="21"/>
              </w:rPr>
            </w:pPr>
            <w:r>
              <w:rPr>
                <w:rFonts w:hint="eastAsia" w:ascii="SimHei" w:hAnsi="SimHei" w:eastAsia="黑体"/>
                <w:color w:val="000000"/>
                <w:sz w:val="24"/>
                <w:szCs w:val="21"/>
              </w:rPr>
              <w:t>不良品成本率</w:t>
            </w:r>
          </w:p>
          <w:p>
            <w:pPr>
              <w:pStyle w:val="10"/>
              <w:numPr>
                <w:ilvl w:val="0"/>
                <w:numId w:val="2"/>
              </w:numPr>
              <w:tabs>
                <w:tab w:val="left" w:pos="21"/>
                <w:tab w:val="left" w:pos="265"/>
                <w:tab w:val="clear" w:pos="360"/>
                <w:tab w:val="clear" w:pos="916"/>
              </w:tabs>
              <w:spacing w:line="360" w:lineRule="auto"/>
              <w:ind w:left="0" w:firstLine="0"/>
              <w:jc w:val="both"/>
              <w:rPr>
                <w:rFonts w:hint="eastAsia" w:ascii="楷体" w:hAnsi="宋体" w:eastAsia="楷体"/>
                <w:color w:val="000000"/>
                <w:sz w:val="24"/>
                <w:szCs w:val="21"/>
              </w:rPr>
            </w:pPr>
            <w:r>
              <w:rPr>
                <w:rFonts w:hint="eastAsia" w:ascii="SimHei" w:hAnsi="SimHei" w:eastAsia="黑体"/>
                <w:color w:val="000000"/>
                <w:sz w:val="24"/>
                <w:szCs w:val="21"/>
              </w:rPr>
              <w:t>不良品回收率</w:t>
            </w:r>
          </w:p>
          <w:p>
            <w:pPr>
              <w:pStyle w:val="10"/>
              <w:numPr>
                <w:ilvl w:val="0"/>
                <w:numId w:val="2"/>
              </w:numPr>
              <w:tabs>
                <w:tab w:val="left" w:pos="21"/>
                <w:tab w:val="left" w:pos="265"/>
                <w:tab w:val="clear" w:pos="360"/>
                <w:tab w:val="clear" w:pos="916"/>
              </w:tabs>
              <w:spacing w:line="360" w:lineRule="auto"/>
              <w:ind w:left="0" w:firstLine="0"/>
              <w:jc w:val="both"/>
              <w:rPr>
                <w:rFonts w:hint="eastAsia" w:ascii="楷体" w:hAnsi="宋体" w:eastAsia="楷体"/>
                <w:color w:val="000000"/>
                <w:sz w:val="24"/>
                <w:szCs w:val="21"/>
              </w:rPr>
            </w:pPr>
            <w:r>
              <w:rPr>
                <w:rFonts w:hint="eastAsia" w:ascii="SimHei" w:hAnsi="SimHei" w:eastAsia="黑体"/>
                <w:color w:val="000000"/>
                <w:sz w:val="24"/>
                <w:szCs w:val="21"/>
              </w:rPr>
              <w:t>成本降低达成率</w:t>
            </w:r>
          </w:p>
          <w:p>
            <w:pPr>
              <w:pStyle w:val="10"/>
              <w:numPr>
                <w:ilvl w:val="0"/>
                <w:numId w:val="2"/>
              </w:numPr>
              <w:tabs>
                <w:tab w:val="left" w:pos="21"/>
                <w:tab w:val="left" w:pos="265"/>
                <w:tab w:val="clear" w:pos="360"/>
                <w:tab w:val="clear" w:pos="916"/>
              </w:tabs>
              <w:spacing w:line="360" w:lineRule="auto"/>
              <w:ind w:left="0" w:firstLine="0"/>
              <w:jc w:val="both"/>
              <w:rPr>
                <w:rFonts w:hint="eastAsia" w:ascii="楷体" w:hAnsi="宋体" w:eastAsia="楷体"/>
                <w:color w:val="000000"/>
                <w:sz w:val="24"/>
                <w:szCs w:val="21"/>
              </w:rPr>
            </w:pPr>
            <w:r>
              <w:rPr>
                <w:rFonts w:hint="eastAsia" w:ascii="SimHei" w:hAnsi="SimHei" w:eastAsia="黑体"/>
                <w:color w:val="000000"/>
                <w:sz w:val="24"/>
                <w:szCs w:val="21"/>
              </w:rPr>
              <w:t>新产品开发达成率</w:t>
            </w:r>
          </w:p>
          <w:p>
            <w:pPr>
              <w:pStyle w:val="10"/>
              <w:numPr>
                <w:ilvl w:val="0"/>
                <w:numId w:val="2"/>
              </w:numPr>
              <w:tabs>
                <w:tab w:val="left" w:pos="21"/>
                <w:tab w:val="left" w:pos="265"/>
                <w:tab w:val="clear" w:pos="360"/>
                <w:tab w:val="clear" w:pos="916"/>
              </w:tabs>
              <w:spacing w:line="360" w:lineRule="auto"/>
              <w:ind w:left="0" w:firstLine="0"/>
              <w:jc w:val="both"/>
              <w:rPr>
                <w:rFonts w:hint="eastAsia" w:ascii="楷体" w:hAnsi="宋体" w:eastAsia="楷体"/>
                <w:color w:val="000000"/>
                <w:sz w:val="24"/>
                <w:szCs w:val="21"/>
              </w:rPr>
            </w:pPr>
            <w:r>
              <w:rPr>
                <w:rFonts w:hint="eastAsia" w:ascii="SimHei" w:hAnsi="SimHei" w:eastAsia="黑体"/>
                <w:color w:val="000000"/>
                <w:sz w:val="24"/>
                <w:szCs w:val="21"/>
              </w:rPr>
              <w:t>经营资金成本控制</w:t>
            </w:r>
          </w:p>
          <w:p>
            <w:pPr>
              <w:pStyle w:val="10"/>
              <w:numPr>
                <w:ilvl w:val="0"/>
                <w:numId w:val="2"/>
              </w:numPr>
              <w:tabs>
                <w:tab w:val="left" w:pos="21"/>
                <w:tab w:val="left" w:pos="265"/>
                <w:tab w:val="clear" w:pos="360"/>
                <w:tab w:val="clear" w:pos="916"/>
              </w:tabs>
              <w:spacing w:line="360" w:lineRule="auto"/>
              <w:ind w:left="0" w:firstLine="0"/>
              <w:jc w:val="both"/>
              <w:rPr>
                <w:rFonts w:hint="eastAsia" w:ascii="楷体" w:hAnsi="宋体" w:eastAsia="楷体"/>
                <w:color w:val="000000"/>
                <w:sz w:val="24"/>
                <w:szCs w:val="21"/>
              </w:rPr>
            </w:pPr>
            <w:r>
              <w:rPr>
                <w:rFonts w:hint="eastAsia" w:ascii="SimHei" w:hAnsi="SimHei" w:eastAsia="黑体"/>
                <w:color w:val="000000"/>
                <w:sz w:val="24"/>
                <w:szCs w:val="21"/>
              </w:rPr>
              <w:t>生产效率达成率</w:t>
            </w:r>
          </w:p>
          <w:p>
            <w:pPr>
              <w:pStyle w:val="10"/>
              <w:numPr>
                <w:ilvl w:val="0"/>
                <w:numId w:val="2"/>
              </w:numPr>
              <w:tabs>
                <w:tab w:val="left" w:pos="21"/>
                <w:tab w:val="left" w:pos="265"/>
                <w:tab w:val="clear" w:pos="360"/>
                <w:tab w:val="clear" w:pos="916"/>
              </w:tabs>
              <w:spacing w:line="360" w:lineRule="auto"/>
              <w:ind w:left="0" w:firstLine="0"/>
              <w:jc w:val="both"/>
              <w:rPr>
                <w:rFonts w:hint="eastAsia" w:ascii="楷体" w:hAnsi="宋体" w:eastAsia="楷体"/>
                <w:color w:val="000000"/>
                <w:sz w:val="24"/>
                <w:szCs w:val="21"/>
              </w:rPr>
            </w:pPr>
            <w:r>
              <w:rPr>
                <w:rFonts w:hint="eastAsia" w:ascii="SimHei" w:hAnsi="SimHei" w:eastAsia="黑体"/>
                <w:color w:val="000000"/>
                <w:sz w:val="24"/>
                <w:szCs w:val="21"/>
              </w:rPr>
              <w:t>物料控制达成率</w:t>
            </w:r>
          </w:p>
          <w:p>
            <w:pPr>
              <w:pStyle w:val="10"/>
              <w:numPr>
                <w:ilvl w:val="0"/>
                <w:numId w:val="2"/>
              </w:numPr>
              <w:tabs>
                <w:tab w:val="left" w:pos="21"/>
                <w:tab w:val="left" w:pos="265"/>
                <w:tab w:val="clear" w:pos="360"/>
                <w:tab w:val="clear" w:pos="916"/>
              </w:tabs>
              <w:spacing w:line="360" w:lineRule="auto"/>
              <w:ind w:left="0" w:firstLine="0"/>
              <w:jc w:val="both"/>
              <w:rPr>
                <w:rFonts w:hint="eastAsia" w:ascii="楷体" w:hAnsi="宋体" w:eastAsia="楷体"/>
                <w:color w:val="000000"/>
                <w:sz w:val="24"/>
                <w:szCs w:val="21"/>
              </w:rPr>
            </w:pPr>
            <w:r>
              <w:rPr>
                <w:rFonts w:hint="eastAsia" w:ascii="SimHei" w:hAnsi="SimHei" w:eastAsia="黑体"/>
                <w:color w:val="000000"/>
                <w:sz w:val="24"/>
                <w:szCs w:val="21"/>
              </w:rPr>
              <w:t>提案建议达成率</w:t>
            </w:r>
          </w:p>
        </w:tc>
        <w:tc>
          <w:tcPr>
            <w:tcW w:w="992" w:type="dxa"/>
            <w:noWrap w:val="0"/>
            <w:vAlign w:val="top"/>
          </w:tcPr>
          <w:p>
            <w:pPr>
              <w:pStyle w:val="10"/>
              <w:spacing w:line="360" w:lineRule="auto"/>
              <w:jc w:val="center"/>
              <w:rPr>
                <w:rFonts w:hint="eastAsia" w:ascii="楷体" w:hAnsi="宋体" w:eastAsia="楷体"/>
                <w:color w:val="000000"/>
                <w:sz w:val="24"/>
                <w:szCs w:val="21"/>
              </w:rPr>
            </w:pPr>
          </w:p>
        </w:tc>
        <w:tc>
          <w:tcPr>
            <w:tcW w:w="1055" w:type="dxa"/>
            <w:noWrap w:val="0"/>
            <w:vAlign w:val="top"/>
          </w:tcPr>
          <w:p>
            <w:pPr>
              <w:pStyle w:val="10"/>
              <w:spacing w:line="360" w:lineRule="auto"/>
              <w:jc w:val="center"/>
              <w:rPr>
                <w:rFonts w:hint="eastAsia" w:ascii="楷体" w:hAnsi="宋体" w:eastAsia="楷体"/>
                <w:color w:val="000000"/>
                <w:sz w:val="24"/>
                <w:szCs w:val="21"/>
              </w:rPr>
            </w:pPr>
          </w:p>
        </w:tc>
        <w:tc>
          <w:tcPr>
            <w:tcW w:w="1138" w:type="dxa"/>
            <w:noWrap w:val="0"/>
            <w:vAlign w:val="top"/>
          </w:tcPr>
          <w:p>
            <w:pPr>
              <w:pStyle w:val="10"/>
              <w:spacing w:line="360" w:lineRule="auto"/>
              <w:jc w:val="center"/>
              <w:rPr>
                <w:rFonts w:hint="eastAsia" w:ascii="楷体" w:hAnsi="宋体" w:eastAsia="楷体"/>
                <w:color w:val="000000"/>
                <w:sz w:val="24"/>
                <w:szCs w:val="21"/>
              </w:rPr>
            </w:pPr>
          </w:p>
        </w:tc>
        <w:tc>
          <w:tcPr>
            <w:tcW w:w="1138" w:type="dxa"/>
            <w:noWrap w:val="0"/>
            <w:vAlign w:val="top"/>
          </w:tcPr>
          <w:p>
            <w:pPr>
              <w:pStyle w:val="10"/>
              <w:spacing w:line="360" w:lineRule="auto"/>
              <w:jc w:val="center"/>
              <w:rPr>
                <w:rFonts w:hint="eastAsia" w:ascii="楷体" w:hAnsi="宋体" w:eastAsia="楷体"/>
                <w:color w:val="000000"/>
                <w:sz w:val="24"/>
                <w:szCs w:val="21"/>
              </w:rPr>
            </w:pPr>
          </w:p>
        </w:tc>
        <w:tc>
          <w:tcPr>
            <w:tcW w:w="1139" w:type="dxa"/>
            <w:noWrap w:val="0"/>
            <w:vAlign w:val="top"/>
          </w:tcPr>
          <w:p>
            <w:pPr>
              <w:pStyle w:val="10"/>
              <w:spacing w:line="360" w:lineRule="auto"/>
              <w:jc w:val="center"/>
              <w:rPr>
                <w:rFonts w:hint="eastAsia" w:ascii="楷体" w:hAnsi="宋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2539" w:type="dxa"/>
            <w:noWrap w:val="0"/>
            <w:vAlign w:val="top"/>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合计</w:t>
            </w:r>
          </w:p>
        </w:tc>
        <w:tc>
          <w:tcPr>
            <w:tcW w:w="992" w:type="dxa"/>
            <w:noWrap w:val="0"/>
            <w:vAlign w:val="top"/>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100</w:t>
            </w:r>
          </w:p>
        </w:tc>
        <w:tc>
          <w:tcPr>
            <w:tcW w:w="1055" w:type="dxa"/>
            <w:noWrap w:val="0"/>
            <w:vAlign w:val="top"/>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100</w:t>
            </w:r>
          </w:p>
        </w:tc>
        <w:tc>
          <w:tcPr>
            <w:tcW w:w="1138" w:type="dxa"/>
            <w:noWrap w:val="0"/>
            <w:vAlign w:val="top"/>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100</w:t>
            </w:r>
          </w:p>
        </w:tc>
        <w:tc>
          <w:tcPr>
            <w:tcW w:w="1138" w:type="dxa"/>
            <w:noWrap w:val="0"/>
            <w:vAlign w:val="top"/>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100</w:t>
            </w:r>
          </w:p>
        </w:tc>
        <w:tc>
          <w:tcPr>
            <w:tcW w:w="1139" w:type="dxa"/>
            <w:noWrap w:val="0"/>
            <w:vAlign w:val="top"/>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100</w:t>
            </w:r>
          </w:p>
        </w:tc>
      </w:tr>
    </w:tbl>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(三)开发部门业绩率</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1.开发目标达成率：包括新产品研究、开发、质量、规格、性能及成本等开发项目的目标达成率，在经由商品科评核后，以业绩率的百分比计算。</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2.开发计划达成率</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(1)开发计划应于每半年检视一次，计划进度经核定通过后，应作定期性业务分析及评核。</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(2)计算期间遭命令终止研究时，仍应视开发前实际达成率评核。</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(3)原计划案的外的企划若因执行上较他案达成困难者，可视其达成难易度评核后，乘以为实际评估分数。</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(4)开发计划达成率占业绩率的％。</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3.经费控制</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开发部门所需的经费预算，可按年度编列的预算进行经费控制，并对该期间经费控制比率予以评核。经费控制占业绩率的20％。</w:t>
      </w:r>
    </w:p>
    <w:p>
      <w:pPr>
        <w:pStyle w:val="10"/>
        <w:spacing w:line="360" w:lineRule="auto"/>
        <w:ind w:firstLine="480" w:firstLineChars="200"/>
        <w:jc w:val="both"/>
        <w:rPr>
          <w:rFonts w:hint="eastAsia" w:ascii="楷体" w:hAnsi="宋体" w:eastAsia="楷体"/>
          <w:color w:val="000000"/>
          <w:sz w:val="24"/>
          <w:szCs w:val="21"/>
        </w:rPr>
      </w:pPr>
      <w:r>
        <w:rPr>
          <w:rFonts w:ascii="SimHei" w:hAnsi="SimHei" w:eastAsia="黑体"/>
          <w:color w:val="000000"/>
          <w:sz w:val="24"/>
          <w:szCs w:val="21"/>
        </w:rPr>
        <w:t>(四)管理部门业绩率：</w:t>
      </w:r>
    </w:p>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表-4</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9"/>
        <w:gridCol w:w="980"/>
        <w:gridCol w:w="1004"/>
        <w:gridCol w:w="1520"/>
        <w:gridCol w:w="1004"/>
        <w:gridCol w:w="1176"/>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669" w:type="dxa"/>
            <w:noWrap w:val="0"/>
            <w:vAlign w:val="top"/>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评核项目</w:t>
            </w:r>
          </w:p>
        </w:tc>
        <w:tc>
          <w:tcPr>
            <w:tcW w:w="980" w:type="dxa"/>
            <w:noWrap w:val="0"/>
            <w:vAlign w:val="top"/>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人事部</w:t>
            </w:r>
          </w:p>
        </w:tc>
        <w:tc>
          <w:tcPr>
            <w:tcW w:w="1004" w:type="dxa"/>
            <w:noWrap w:val="0"/>
            <w:vAlign w:val="top"/>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总务科</w:t>
            </w:r>
          </w:p>
        </w:tc>
        <w:tc>
          <w:tcPr>
            <w:tcW w:w="1520" w:type="dxa"/>
            <w:noWrap w:val="0"/>
            <w:vAlign w:val="top"/>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质量管理科</w:t>
            </w:r>
          </w:p>
        </w:tc>
        <w:tc>
          <w:tcPr>
            <w:tcW w:w="1004" w:type="dxa"/>
            <w:noWrap w:val="0"/>
            <w:vAlign w:val="top"/>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商品科</w:t>
            </w:r>
          </w:p>
        </w:tc>
        <w:tc>
          <w:tcPr>
            <w:tcW w:w="1176" w:type="dxa"/>
            <w:noWrap w:val="0"/>
            <w:vAlign w:val="top"/>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稽核科</w:t>
            </w:r>
          </w:p>
        </w:tc>
        <w:tc>
          <w:tcPr>
            <w:tcW w:w="1176" w:type="dxa"/>
            <w:noWrap w:val="0"/>
            <w:vAlign w:val="top"/>
          </w:tcPr>
          <w:p>
            <w:pPr>
              <w:pStyle w:val="10"/>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幕僚室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669" w:type="dxa"/>
            <w:noWrap w:val="0"/>
            <w:vAlign w:val="top"/>
          </w:tcPr>
          <w:p>
            <w:pPr>
              <w:pStyle w:val="10"/>
              <w:numPr>
                <w:ilvl w:val="0"/>
                <w:numId w:val="3"/>
              </w:numPr>
              <w:tabs>
                <w:tab w:val="left" w:pos="1"/>
                <w:tab w:val="left" w:pos="245"/>
                <w:tab w:val="clear" w:pos="360"/>
                <w:tab w:val="clear" w:pos="916"/>
              </w:tabs>
              <w:spacing w:line="360" w:lineRule="auto"/>
              <w:ind w:left="1" w:firstLine="0"/>
              <w:jc w:val="center"/>
              <w:rPr>
                <w:rFonts w:hint="eastAsia" w:ascii="楷体" w:hAnsi="宋体" w:eastAsia="楷体"/>
                <w:color w:val="000000"/>
                <w:sz w:val="24"/>
                <w:szCs w:val="21"/>
              </w:rPr>
            </w:pPr>
            <w:r>
              <w:rPr>
                <w:rFonts w:hint="eastAsia" w:ascii="SimHei" w:hAnsi="SimHei" w:eastAsia="黑体"/>
                <w:color w:val="000000"/>
                <w:sz w:val="24"/>
                <w:szCs w:val="21"/>
              </w:rPr>
              <w:t>专案进度</w:t>
            </w:r>
          </w:p>
          <w:p>
            <w:pPr>
              <w:pStyle w:val="10"/>
              <w:numPr>
                <w:ilvl w:val="0"/>
                <w:numId w:val="3"/>
              </w:numPr>
              <w:tabs>
                <w:tab w:val="left" w:pos="1"/>
                <w:tab w:val="left" w:pos="245"/>
                <w:tab w:val="clear" w:pos="360"/>
                <w:tab w:val="clear" w:pos="916"/>
              </w:tabs>
              <w:spacing w:line="360" w:lineRule="auto"/>
              <w:ind w:left="1" w:firstLine="0"/>
              <w:jc w:val="center"/>
              <w:rPr>
                <w:rFonts w:hint="eastAsia" w:ascii="楷体" w:hAnsi="宋体" w:eastAsia="楷体"/>
                <w:color w:val="000000"/>
                <w:sz w:val="24"/>
                <w:szCs w:val="21"/>
              </w:rPr>
            </w:pPr>
            <w:r>
              <w:rPr>
                <w:rFonts w:hint="eastAsia" w:ascii="SimHei" w:hAnsi="SimHei" w:eastAsia="黑体"/>
                <w:color w:val="000000"/>
                <w:sz w:val="24"/>
                <w:szCs w:val="21"/>
              </w:rPr>
              <w:t>费用控制</w:t>
            </w:r>
          </w:p>
          <w:p>
            <w:pPr>
              <w:pStyle w:val="10"/>
              <w:numPr>
                <w:ilvl w:val="0"/>
                <w:numId w:val="3"/>
              </w:numPr>
              <w:tabs>
                <w:tab w:val="left" w:pos="1"/>
                <w:tab w:val="left" w:pos="245"/>
                <w:tab w:val="clear" w:pos="360"/>
                <w:tab w:val="clear" w:pos="916"/>
              </w:tabs>
              <w:spacing w:line="360" w:lineRule="auto"/>
              <w:ind w:left="1" w:firstLine="0"/>
              <w:jc w:val="center"/>
              <w:rPr>
                <w:rFonts w:hint="eastAsia" w:ascii="楷体" w:hAnsi="宋体" w:eastAsia="楷体"/>
                <w:color w:val="000000"/>
                <w:sz w:val="24"/>
                <w:szCs w:val="21"/>
              </w:rPr>
            </w:pPr>
            <w:r>
              <w:rPr>
                <w:rFonts w:hint="eastAsia" w:ascii="SimHei" w:hAnsi="SimHei" w:eastAsia="黑体"/>
                <w:color w:val="000000"/>
                <w:sz w:val="24"/>
                <w:szCs w:val="21"/>
              </w:rPr>
              <w:t>专案提议</w:t>
            </w:r>
          </w:p>
          <w:p>
            <w:pPr>
              <w:pStyle w:val="10"/>
              <w:numPr>
                <w:ilvl w:val="0"/>
                <w:numId w:val="3"/>
              </w:numPr>
              <w:tabs>
                <w:tab w:val="left" w:pos="1"/>
                <w:tab w:val="left" w:pos="245"/>
                <w:tab w:val="clear" w:pos="360"/>
                <w:tab w:val="clear" w:pos="916"/>
              </w:tabs>
              <w:spacing w:line="360" w:lineRule="auto"/>
              <w:ind w:left="1" w:firstLine="0"/>
              <w:jc w:val="center"/>
              <w:rPr>
                <w:rFonts w:hint="eastAsia" w:ascii="楷体" w:hAnsi="宋体" w:eastAsia="楷体"/>
                <w:color w:val="000000"/>
                <w:sz w:val="24"/>
                <w:szCs w:val="21"/>
              </w:rPr>
            </w:pPr>
            <w:r>
              <w:rPr>
                <w:rFonts w:hint="eastAsia" w:ascii="SimHei" w:hAnsi="SimHei" w:eastAsia="黑体"/>
                <w:color w:val="000000"/>
                <w:sz w:val="24"/>
                <w:szCs w:val="21"/>
              </w:rPr>
              <w:t>奖金控制</w:t>
            </w:r>
          </w:p>
          <w:p>
            <w:pPr>
              <w:pStyle w:val="10"/>
              <w:numPr>
                <w:ilvl w:val="0"/>
                <w:numId w:val="3"/>
              </w:numPr>
              <w:tabs>
                <w:tab w:val="left" w:pos="1"/>
                <w:tab w:val="left" w:pos="245"/>
                <w:tab w:val="clear" w:pos="360"/>
                <w:tab w:val="clear" w:pos="916"/>
              </w:tabs>
              <w:spacing w:line="360" w:lineRule="auto"/>
              <w:ind w:left="1" w:firstLine="0"/>
              <w:jc w:val="center"/>
              <w:rPr>
                <w:rFonts w:hint="eastAsia" w:ascii="楷体" w:hAnsi="宋体" w:eastAsia="楷体"/>
                <w:color w:val="000000"/>
                <w:sz w:val="24"/>
                <w:szCs w:val="21"/>
              </w:rPr>
            </w:pPr>
            <w:r>
              <w:rPr>
                <w:rFonts w:hint="eastAsia" w:ascii="SimHei" w:hAnsi="SimHei" w:eastAsia="黑体"/>
                <w:color w:val="000000"/>
                <w:sz w:val="24"/>
                <w:szCs w:val="21"/>
              </w:rPr>
              <w:t>目标达成</w:t>
            </w:r>
          </w:p>
          <w:p>
            <w:pPr>
              <w:pStyle w:val="10"/>
              <w:tabs>
                <w:tab w:val="left" w:pos="245"/>
              </w:tabs>
              <w:spacing w:line="360" w:lineRule="auto"/>
              <w:jc w:val="center"/>
              <w:rPr>
                <w:rFonts w:hint="eastAsia" w:ascii="楷体" w:hAnsi="宋体" w:eastAsia="楷体"/>
                <w:color w:val="000000"/>
                <w:sz w:val="24"/>
                <w:szCs w:val="21"/>
              </w:rPr>
            </w:pPr>
            <w:r>
              <w:rPr>
                <w:rFonts w:hint="eastAsia" w:ascii="SimHei" w:hAnsi="SimHei" w:eastAsia="黑体"/>
                <w:color w:val="000000"/>
                <w:sz w:val="24"/>
                <w:szCs w:val="21"/>
              </w:rPr>
              <w:t>合计</w:t>
            </w:r>
          </w:p>
        </w:tc>
        <w:tc>
          <w:tcPr>
            <w:tcW w:w="980" w:type="dxa"/>
            <w:noWrap w:val="0"/>
            <w:vAlign w:val="top"/>
          </w:tcPr>
          <w:p>
            <w:pPr>
              <w:pStyle w:val="10"/>
              <w:spacing w:line="360" w:lineRule="auto"/>
              <w:jc w:val="center"/>
              <w:rPr>
                <w:rFonts w:hint="eastAsia" w:ascii="楷体" w:hAnsi="宋体" w:eastAsia="楷体"/>
                <w:color w:val="000000"/>
                <w:sz w:val="24"/>
                <w:szCs w:val="21"/>
              </w:rPr>
            </w:pPr>
          </w:p>
        </w:tc>
        <w:tc>
          <w:tcPr>
            <w:tcW w:w="1004" w:type="dxa"/>
            <w:noWrap w:val="0"/>
            <w:vAlign w:val="top"/>
          </w:tcPr>
          <w:p>
            <w:pPr>
              <w:pStyle w:val="10"/>
              <w:spacing w:line="360" w:lineRule="auto"/>
              <w:jc w:val="center"/>
              <w:rPr>
                <w:rFonts w:hint="eastAsia" w:ascii="楷体" w:hAnsi="宋体" w:eastAsia="楷体"/>
                <w:color w:val="000000"/>
                <w:sz w:val="24"/>
                <w:szCs w:val="21"/>
              </w:rPr>
            </w:pPr>
          </w:p>
        </w:tc>
        <w:tc>
          <w:tcPr>
            <w:tcW w:w="1520" w:type="dxa"/>
            <w:noWrap w:val="0"/>
            <w:vAlign w:val="top"/>
          </w:tcPr>
          <w:p>
            <w:pPr>
              <w:pStyle w:val="10"/>
              <w:spacing w:line="360" w:lineRule="auto"/>
              <w:jc w:val="center"/>
              <w:rPr>
                <w:rFonts w:hint="eastAsia" w:ascii="楷体" w:hAnsi="宋体" w:eastAsia="楷体"/>
                <w:color w:val="000000"/>
                <w:sz w:val="24"/>
                <w:szCs w:val="21"/>
              </w:rPr>
            </w:pPr>
          </w:p>
        </w:tc>
        <w:tc>
          <w:tcPr>
            <w:tcW w:w="1004" w:type="dxa"/>
            <w:noWrap w:val="0"/>
            <w:vAlign w:val="top"/>
          </w:tcPr>
          <w:p>
            <w:pPr>
              <w:pStyle w:val="10"/>
              <w:spacing w:line="360" w:lineRule="auto"/>
              <w:jc w:val="center"/>
              <w:rPr>
                <w:rFonts w:hint="eastAsia" w:ascii="楷体" w:hAnsi="宋体" w:eastAsia="楷体"/>
                <w:color w:val="000000"/>
                <w:sz w:val="24"/>
                <w:szCs w:val="21"/>
              </w:rPr>
            </w:pPr>
          </w:p>
        </w:tc>
        <w:tc>
          <w:tcPr>
            <w:tcW w:w="1176" w:type="dxa"/>
            <w:noWrap w:val="0"/>
            <w:vAlign w:val="top"/>
          </w:tcPr>
          <w:p>
            <w:pPr>
              <w:pStyle w:val="10"/>
              <w:spacing w:line="360" w:lineRule="auto"/>
              <w:jc w:val="center"/>
              <w:rPr>
                <w:rFonts w:hint="eastAsia" w:ascii="楷体" w:hAnsi="宋体" w:eastAsia="楷体"/>
                <w:color w:val="000000"/>
                <w:sz w:val="24"/>
                <w:szCs w:val="21"/>
              </w:rPr>
            </w:pPr>
          </w:p>
        </w:tc>
        <w:tc>
          <w:tcPr>
            <w:tcW w:w="1176" w:type="dxa"/>
            <w:noWrap w:val="0"/>
            <w:vAlign w:val="top"/>
          </w:tcPr>
          <w:p>
            <w:pPr>
              <w:pStyle w:val="10"/>
              <w:spacing w:line="360" w:lineRule="auto"/>
              <w:jc w:val="center"/>
              <w:rPr>
                <w:rFonts w:hint="eastAsia" w:ascii="楷体" w:hAnsi="宋体" w:eastAsia="楷体"/>
                <w:color w:val="000000"/>
                <w:sz w:val="24"/>
                <w:szCs w:val="21"/>
              </w:rPr>
            </w:pPr>
          </w:p>
        </w:tc>
      </w:tr>
    </w:tbl>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第十四条</w:t>
      </w:r>
      <w:r>
        <w:rPr>
          <w:rFonts w:hint="eastAsia" w:ascii="SimHei" w:hAnsi="SimHei" w:eastAsia="黑体"/>
          <w:color w:val="000000"/>
          <w:sz w:val="24"/>
          <w:szCs w:val="21"/>
        </w:rPr>
        <w:t xml:space="preserve">  </w:t>
      </w:r>
      <w:r>
        <w:rPr>
          <w:rFonts w:ascii="SimHei" w:hAnsi="SimHei" w:eastAsia="黑体"/>
          <w:color w:val="000000"/>
          <w:sz w:val="24"/>
          <w:szCs w:val="21"/>
        </w:rPr>
        <w:t>预留调整</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该项评估系保留给最高主管针对市场变动及社会经济结构变化时，对各部门职务责任度及管理控制等因素，予以裁定评核。其评核标准则视其需要程度给予分的考绩评比。</w:t>
      </w:r>
    </w:p>
    <w:p>
      <w:pPr>
        <w:pStyle w:val="2"/>
        <w:spacing w:before="0" w:after="0" w:line="360" w:lineRule="auto"/>
        <w:ind w:firstLine="424" w:firstLineChars="151"/>
        <w:rPr>
          <w:rFonts w:ascii="楷体" w:hAnsi="宋体" w:eastAsia="楷体"/>
          <w:color w:val="000000"/>
          <w:sz w:val="24"/>
          <w:szCs w:val="21"/>
        </w:rPr>
      </w:pPr>
      <w:r>
        <w:rPr>
          <w:rFonts w:hint="eastAsia" w:ascii="SimHei" w:hAnsi="SimHei" w:eastAsia="黑体"/>
          <w:color w:val="000000"/>
          <w:sz w:val="28"/>
          <w:szCs w:val="21"/>
        </w:rPr>
        <w:t>三、</w:t>
      </w:r>
      <w:r>
        <w:rPr>
          <w:rFonts w:ascii="SimHei" w:hAnsi="SimHei" w:eastAsia="黑体"/>
          <w:color w:val="000000"/>
          <w:sz w:val="28"/>
          <w:szCs w:val="21"/>
        </w:rPr>
        <w:t>附则</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第十五条</w:t>
      </w:r>
      <w:r>
        <w:rPr>
          <w:rFonts w:hint="eastAsia" w:ascii="SimHei" w:hAnsi="SimHei" w:eastAsia="黑体"/>
          <w:color w:val="000000"/>
          <w:sz w:val="24"/>
          <w:szCs w:val="21"/>
        </w:rPr>
        <w:t xml:space="preserve">  </w:t>
      </w:r>
      <w:r>
        <w:rPr>
          <w:rFonts w:ascii="SimHei" w:hAnsi="SimHei" w:eastAsia="黑体"/>
          <w:color w:val="000000"/>
          <w:sz w:val="24"/>
          <w:szCs w:val="21"/>
        </w:rPr>
        <w:t>修订</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各部门对于本规则有任何疑义产生时，则由各部门主管汇整后，呈报人事科代为释疑义；尚若有修订的必要时，则应由人事科提列改善建议方案后，呈报总经理评核。</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第十六条</w:t>
      </w:r>
      <w:r>
        <w:rPr>
          <w:rFonts w:hint="eastAsia" w:ascii="SimHei" w:hAnsi="SimHei" w:eastAsia="黑体"/>
          <w:color w:val="000000"/>
          <w:sz w:val="24"/>
          <w:szCs w:val="21"/>
        </w:rPr>
        <w:t xml:space="preserve">  </w:t>
      </w:r>
      <w:r>
        <w:rPr>
          <w:rFonts w:ascii="SimHei" w:hAnsi="SimHei" w:eastAsia="黑体"/>
          <w:color w:val="000000"/>
          <w:sz w:val="24"/>
          <w:szCs w:val="21"/>
        </w:rPr>
        <w:t>施行</w:t>
      </w:r>
    </w:p>
    <w:p>
      <w:pPr>
        <w:pStyle w:val="10"/>
        <w:spacing w:line="360" w:lineRule="auto"/>
        <w:ind w:firstLine="480" w:firstLineChars="200"/>
        <w:jc w:val="both"/>
        <w:rPr>
          <w:rFonts w:ascii="楷体" w:hAnsi="宋体" w:eastAsia="楷体"/>
          <w:color w:val="000000"/>
          <w:sz w:val="24"/>
          <w:szCs w:val="21"/>
        </w:rPr>
      </w:pPr>
      <w:r>
        <w:rPr>
          <w:rFonts w:ascii="SimHei" w:hAnsi="SimHei" w:eastAsia="黑体"/>
          <w:color w:val="000000"/>
          <w:sz w:val="24"/>
          <w:szCs w:val="21"/>
        </w:rPr>
        <w:t>本规则自</w:t>
      </w:r>
      <w:r>
        <w:rPr>
          <w:rFonts w:hint="eastAsia" w:ascii="SimHei" w:hAnsi="SimHei" w:eastAsia="黑体"/>
          <w:color w:val="000000"/>
          <w:sz w:val="24"/>
          <w:szCs w:val="21"/>
        </w:rPr>
        <w:t xml:space="preserve">    </w:t>
      </w:r>
      <w:r>
        <w:rPr>
          <w:rFonts w:ascii="SimHei" w:hAnsi="SimHei" w:eastAsia="黑体"/>
          <w:color w:val="000000"/>
          <w:sz w:val="24"/>
          <w:szCs w:val="21"/>
        </w:rPr>
        <w:t>年</w:t>
      </w:r>
      <w:r>
        <w:rPr>
          <w:rFonts w:hint="eastAsia" w:ascii="SimHei" w:hAnsi="SimHei" w:eastAsia="黑体"/>
          <w:color w:val="000000"/>
          <w:sz w:val="24"/>
          <w:szCs w:val="21"/>
        </w:rPr>
        <w:t xml:space="preserve">    </w:t>
      </w:r>
      <w:r>
        <w:rPr>
          <w:rFonts w:ascii="SimHei" w:hAnsi="SimHei" w:eastAsia="黑体"/>
          <w:color w:val="000000"/>
          <w:sz w:val="24"/>
          <w:szCs w:val="21"/>
        </w:rPr>
        <w:t>月</w:t>
      </w:r>
      <w:r>
        <w:rPr>
          <w:rFonts w:hint="eastAsia" w:ascii="SimHei" w:hAnsi="SimHei" w:eastAsia="黑体"/>
          <w:color w:val="000000"/>
          <w:sz w:val="24"/>
          <w:szCs w:val="21"/>
        </w:rPr>
        <w:t xml:space="preserve">    </w:t>
      </w:r>
      <w:r>
        <w:rPr>
          <w:rFonts w:ascii="SimHei" w:hAnsi="SimHei" w:eastAsia="黑体"/>
          <w:color w:val="000000"/>
          <w:sz w:val="24"/>
          <w:szCs w:val="21"/>
        </w:rPr>
        <w:t>日起实施。</w:t>
      </w:r>
    </w:p>
    <w:sectPr>
      <w:footerReference r:id="rId3" w:type="even"/>
      <w:pgSz w:w="11906" w:h="16838"/>
      <w:pgMar w:top="850" w:right="1474" w:bottom="850"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Arial Unicode MS">
    <w:panose1 w:val="020B0604020202020204"/>
    <w:charset w:val="86"/>
    <w:family w:val="swiss"/>
    <w:pitch w:val="default"/>
    <w:sig w:usb0="FFFFFFFF" w:usb1="E9FFFFFF" w:usb2="0000003F" w:usb3="00000000" w:csb0="603F01FF" w:csb1="FFFF0000"/>
  </w:font>
  <w:font w:name="_x000B__x000C_">
    <w:altName w:val="Times New Roman"/>
    <w:panose1 w:val="00000000000000000000"/>
    <w:charset w:val="00"/>
    <w:family w:val="roman"/>
    <w:pitch w:val="default"/>
    <w:sig w:usb0="00000000" w:usb1="00000000" w:usb2="00000000" w:usb3="00000000" w:csb0="00040001" w:csb1="00000000"/>
  </w:font>
  <w:font w:name="Courier New">
    <w:panose1 w:val="02070309020205020404"/>
    <w:charset w:val="00"/>
    <w:family w:val="modern"/>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6"/>
      </w:rPr>
    </w:pPr>
    <w:r>
      <w:fldChar w:fldCharType="begin"/>
    </w:r>
    <w:r>
      <w:rPr>
        <w:rStyle w:val="16"/>
      </w:rPr>
      <w:instrText xml:space="preserve">PAGE  </w:instrText>
    </w:r>
    <w:r>
      <w:fldChar w:fldCharType="end"/>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62478"/>
    <w:multiLevelType w:val="multilevel"/>
    <w:tmpl w:val="10D62478"/>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6B032F6C"/>
    <w:multiLevelType w:val="multilevel"/>
    <w:tmpl w:val="6B032F6C"/>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71F817DB"/>
    <w:multiLevelType w:val="multilevel"/>
    <w:tmpl w:val="71F817DB"/>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35"/>
    <w:rsid w:val="002F687E"/>
    <w:rsid w:val="00342B62"/>
    <w:rsid w:val="004E1E10"/>
    <w:rsid w:val="007E3E6B"/>
    <w:rsid w:val="00871035"/>
    <w:rsid w:val="00B106CF"/>
    <w:rsid w:val="00B36896"/>
    <w:rsid w:val="00B5766A"/>
    <w:rsid w:val="00B75F29"/>
    <w:rsid w:val="00C3781F"/>
    <w:rsid w:val="00C40044"/>
    <w:rsid w:val="00ED13C6"/>
    <w:rsid w:val="11187B99"/>
    <w:rsid w:val="7590416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name="Normal Indent"/>
    <w:lsdException w:uiPriority="99" w:name="footnote text"/>
    <w:lsdException w:uiPriority="99" w:name="annotation text"/>
    <w:lsdException w:unhideWhenUsed="0" w:uiPriority="0" w:name="header"/>
    <w:lsdException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nhideWhenUsed="0" w:uiPriority="0" w:name="Default Paragraph Font"/>
    <w:lsdException w:uiPriority="99" w:name="Body Text"/>
    <w:lsdException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name="Hyperlink"/>
    <w:lsdException w:unhideWhenUsed="0" w:uiPriority="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90"/>
    <w:qFormat/>
    <w:uiPriority w:val="0"/>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paragraph" w:styleId="4">
    <w:name w:val="heading 4"/>
    <w:basedOn w:val="1"/>
    <w:qFormat/>
    <w:uiPriority w:val="0"/>
    <w:pPr>
      <w:widowControl/>
      <w:spacing w:before="100" w:beforeAutospacing="1" w:after="100" w:afterAutospacing="1"/>
      <w:jc w:val="left"/>
      <w:outlineLvl w:val="3"/>
    </w:pPr>
    <w:rPr>
      <w:rFonts w:hint="eastAsia" w:ascii="宋体" w:hAnsi="宋体"/>
      <w:b/>
      <w:bCs/>
      <w:kern w:val="0"/>
      <w:sz w:val="24"/>
    </w:rPr>
  </w:style>
  <w:style w:type="character" w:default="1" w:styleId="14">
    <w:name w:val="Default Paragraph Font"/>
    <w:semiHidden/>
    <w:uiPriority w:val="0"/>
  </w:style>
  <w:style w:type="table" w:default="1" w:styleId="13">
    <w:name w:val="Normal Table"/>
    <w:unhideWhenUsed/>
    <w:uiPriority w:val="99"/>
    <w:tblPr>
      <w:tblStyle w:val="13"/>
      <w:tblCellMar>
        <w:top w:w="0" w:type="dxa"/>
        <w:left w:w="108" w:type="dxa"/>
        <w:bottom w:w="0" w:type="dxa"/>
        <w:right w:w="108" w:type="dxa"/>
      </w:tblCellMar>
    </w:tblPr>
  </w:style>
  <w:style w:type="paragraph" w:styleId="5">
    <w:name w:val="Normal Indent"/>
    <w:basedOn w:val="1"/>
    <w:semiHidden/>
    <w:uiPriority w:val="0"/>
    <w:pPr>
      <w:ind w:firstLine="420"/>
    </w:pPr>
    <w:rPr>
      <w:szCs w:val="20"/>
    </w:rPr>
  </w:style>
  <w:style w:type="paragraph" w:styleId="6">
    <w:name w:val="Body Text Indent"/>
    <w:basedOn w:val="1"/>
    <w:semiHidden/>
    <w:uiPriority w:val="0"/>
    <w:pPr>
      <w:ind w:left="416"/>
    </w:pPr>
    <w:rPr>
      <w:rFonts w:ascii="宋体" w:hAnsi="宋体"/>
      <w:szCs w:val="20"/>
    </w:rPr>
  </w:style>
  <w:style w:type="paragraph" w:styleId="7">
    <w:name w:val="Date"/>
    <w:basedOn w:val="1"/>
    <w:next w:val="1"/>
    <w:semiHidden/>
    <w:uiPriority w:val="0"/>
    <w:pPr>
      <w:ind w:left="100" w:leftChars="2500"/>
    </w:pPr>
  </w:style>
  <w:style w:type="paragraph" w:styleId="8">
    <w:name w:val="footer"/>
    <w:basedOn w:val="1"/>
    <w:semiHidden/>
    <w:uiPriority w:val="0"/>
    <w:pPr>
      <w:tabs>
        <w:tab w:val="center" w:pos="4153"/>
        <w:tab w:val="right" w:pos="8306"/>
      </w:tabs>
      <w:snapToGrid w:val="0"/>
      <w:jc w:val="left"/>
    </w:pPr>
    <w:rPr>
      <w:sz w:val="18"/>
      <w:szCs w:val="18"/>
    </w:rPr>
  </w:style>
  <w:style w:type="paragraph" w:styleId="9">
    <w:name w:val="header"/>
    <w:basedOn w:val="1"/>
    <w:semiHidden/>
    <w:uiPriority w:val="0"/>
    <w:pPr>
      <w:tabs>
        <w:tab w:val="center" w:pos="4153"/>
        <w:tab w:val="right" w:pos="8306"/>
      </w:tabs>
      <w:snapToGrid w:val="0"/>
      <w:jc w:val="center"/>
    </w:pPr>
    <w:rPr>
      <w:sz w:val="18"/>
      <w:szCs w:val="18"/>
    </w:rPr>
  </w:style>
  <w:style w:type="paragraph" w:styleId="10">
    <w:name w:val="HTML Preformatted"/>
    <w:basedOn w:val="1"/>
    <w:semiHidden/>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kern w:val="0"/>
      <w:sz w:val="20"/>
      <w:szCs w:val="20"/>
    </w:rPr>
  </w:style>
  <w:style w:type="paragraph" w:styleId="11">
    <w:name w:val="Normal (Web)"/>
    <w:basedOn w:val="1"/>
    <w:semiHidden/>
    <w:uiPriority w:val="0"/>
    <w:pPr>
      <w:widowControl/>
      <w:spacing w:before="100" w:beforeAutospacing="1" w:after="100" w:afterAutospacing="1"/>
      <w:jc w:val="left"/>
    </w:pPr>
    <w:rPr>
      <w:rFonts w:ascii="宋体" w:hAnsi="宋体"/>
      <w:kern w:val="0"/>
      <w:sz w:val="24"/>
    </w:rPr>
  </w:style>
  <w:style w:type="paragraph" w:styleId="12">
    <w:name w:val="Title"/>
    <w:basedOn w:val="1"/>
    <w:next w:val="1"/>
    <w:link w:val="89"/>
    <w:qFormat/>
    <w:uiPriority w:val="0"/>
    <w:pPr>
      <w:adjustRightInd w:val="0"/>
      <w:spacing w:before="240" w:after="60" w:line="312" w:lineRule="atLeast"/>
      <w:jc w:val="center"/>
      <w:textAlignment w:val="baseline"/>
      <w:outlineLvl w:val="0"/>
    </w:pPr>
    <w:rPr>
      <w:rFonts w:ascii="Cambria" w:hAnsi="Cambria"/>
      <w:b/>
      <w:bCs/>
      <w:kern w:val="0"/>
      <w:sz w:val="32"/>
      <w:szCs w:val="32"/>
    </w:rPr>
  </w:style>
  <w:style w:type="character" w:styleId="15">
    <w:name w:val="Strong"/>
    <w:basedOn w:val="14"/>
    <w:qFormat/>
    <w:uiPriority w:val="0"/>
    <w:rPr>
      <w:b/>
      <w:bCs/>
    </w:rPr>
  </w:style>
  <w:style w:type="character" w:styleId="16">
    <w:name w:val="page number"/>
    <w:basedOn w:val="14"/>
    <w:unhideWhenUsed/>
    <w:uiPriority w:val="99"/>
  </w:style>
  <w:style w:type="character" w:styleId="17">
    <w:name w:val="FollowedHyperlink"/>
    <w:basedOn w:val="14"/>
    <w:semiHidden/>
    <w:uiPriority w:val="0"/>
    <w:rPr>
      <w:color w:val="800080"/>
      <w:u w:val="single"/>
    </w:rPr>
  </w:style>
  <w:style w:type="character" w:styleId="18">
    <w:name w:val="Hyperlink"/>
    <w:basedOn w:val="14"/>
    <w:semiHidden/>
    <w:uiPriority w:val="0"/>
    <w:rPr>
      <w:color w:val="0000FF"/>
      <w:u w:val="single"/>
    </w:rPr>
  </w:style>
  <w:style w:type="paragraph" w:customStyle="1" w:styleId="19">
    <w:name w:val="font12"/>
    <w:basedOn w:val="1"/>
    <w:uiPriority w:val="0"/>
    <w:pPr>
      <w:widowControl/>
      <w:spacing w:before="100" w:beforeAutospacing="1" w:after="100" w:afterAutospacing="1"/>
      <w:jc w:val="left"/>
    </w:pPr>
    <w:rPr>
      <w:rFonts w:hint="eastAsia" w:ascii="宋体" w:hAnsi="宋体"/>
      <w:b/>
      <w:bCs/>
      <w:kern w:val="0"/>
      <w:szCs w:val="21"/>
      <w:u w:val="single"/>
    </w:rPr>
  </w:style>
  <w:style w:type="paragraph" w:customStyle="1" w:styleId="20">
    <w:name w:val="xl55"/>
    <w:basedOn w:val="1"/>
    <w:uiPriority w:val="0"/>
    <w:pPr>
      <w:widowControl/>
      <w:pBdr>
        <w:top w:val="single" w:color="auto" w:sz="4" w:space="0"/>
        <w:left w:val="double" w:color="auto" w:sz="6" w:space="0"/>
        <w:bottom w:val="double" w:color="auto" w:sz="6" w:space="0"/>
      </w:pBdr>
      <w:spacing w:before="100" w:beforeAutospacing="1" w:after="100" w:afterAutospacing="1"/>
      <w:jc w:val="left"/>
      <w:textAlignment w:val="center"/>
    </w:pPr>
    <w:rPr>
      <w:rFonts w:ascii="宋体" w:hAnsi="宋体"/>
      <w:kern w:val="0"/>
      <w:szCs w:val="21"/>
    </w:rPr>
  </w:style>
  <w:style w:type="paragraph" w:customStyle="1" w:styleId="21">
    <w:name w:val="font8"/>
    <w:basedOn w:val="1"/>
    <w:uiPriority w:val="0"/>
    <w:pPr>
      <w:widowControl/>
      <w:spacing w:before="100" w:beforeAutospacing="1" w:after="100" w:afterAutospacing="1"/>
      <w:jc w:val="left"/>
    </w:pPr>
    <w:rPr>
      <w:rFonts w:hint="eastAsia" w:ascii="宋体" w:hAnsi="宋体"/>
      <w:kern w:val="0"/>
      <w:szCs w:val="21"/>
    </w:rPr>
  </w:style>
  <w:style w:type="paragraph" w:customStyle="1" w:styleId="22">
    <w:name w:val="xl51"/>
    <w:basedOn w:val="1"/>
    <w:uiPriority w:val="0"/>
    <w:pPr>
      <w:widowControl/>
      <w:pBdr>
        <w:top w:val="double" w:color="auto" w:sz="6" w:space="0"/>
        <w:left w:val="double" w:color="auto" w:sz="6" w:space="0"/>
        <w:bottom w:val="single" w:color="auto" w:sz="4" w:space="0"/>
      </w:pBdr>
      <w:spacing w:before="100" w:beforeAutospacing="1" w:after="100" w:afterAutospacing="1"/>
      <w:jc w:val="left"/>
      <w:textAlignment w:val="center"/>
    </w:pPr>
    <w:rPr>
      <w:b/>
      <w:bCs/>
      <w:kern w:val="0"/>
      <w:szCs w:val="21"/>
    </w:rPr>
  </w:style>
  <w:style w:type="paragraph" w:customStyle="1" w:styleId="23">
    <w:name w:val="line18"/>
    <w:basedOn w:val="1"/>
    <w:uiPriority w:val="0"/>
    <w:pPr>
      <w:widowControl/>
      <w:spacing w:before="100" w:beforeAutospacing="1" w:after="100" w:afterAutospacing="1" w:line="270" w:lineRule="atLeast"/>
      <w:jc w:val="left"/>
    </w:pPr>
    <w:rPr>
      <w:rFonts w:ascii="_x000B__x000C_" w:hAnsi="_x000B__x000C_"/>
      <w:color w:val="333333"/>
      <w:kern w:val="0"/>
      <w:sz w:val="18"/>
      <w:szCs w:val="18"/>
    </w:rPr>
  </w:style>
  <w:style w:type="paragraph" w:customStyle="1" w:styleId="24">
    <w:name w:val="xl47"/>
    <w:basedOn w:val="1"/>
    <w:uiPriority w:val="0"/>
    <w:pPr>
      <w:widowControl/>
      <w:spacing w:before="100" w:beforeAutospacing="1" w:after="100" w:afterAutospacing="1"/>
      <w:jc w:val="center"/>
      <w:textAlignment w:val="center"/>
    </w:pPr>
    <w:rPr>
      <w:rFonts w:ascii="宋体" w:hAnsi="宋体"/>
      <w:b/>
      <w:bCs/>
      <w:kern w:val="0"/>
      <w:szCs w:val="21"/>
    </w:rPr>
  </w:style>
  <w:style w:type="paragraph" w:customStyle="1" w:styleId="25">
    <w:name w:val="xl43"/>
    <w:basedOn w:val="1"/>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26">
    <w:name w:val="xl39"/>
    <w:basedOn w:val="1"/>
    <w:uiPriority w:val="0"/>
    <w:pPr>
      <w:widowControl/>
      <w:pBdr>
        <w:top w:val="single" w:color="auto" w:sz="4" w:space="0"/>
        <w:left w:val="single" w:color="auto" w:sz="4" w:space="0"/>
        <w:bottom w:val="single" w:color="auto" w:sz="4" w:space="0"/>
        <w:right w:val="double" w:color="auto" w:sz="6" w:space="0"/>
      </w:pBdr>
      <w:spacing w:before="100" w:beforeAutospacing="1" w:after="100" w:afterAutospacing="1"/>
      <w:jc w:val="center"/>
      <w:textAlignment w:val="center"/>
    </w:pPr>
    <w:rPr>
      <w:rFonts w:ascii="宋体" w:hAnsi="宋体"/>
      <w:kern w:val="0"/>
      <w:szCs w:val="21"/>
    </w:rPr>
  </w:style>
  <w:style w:type="paragraph" w:customStyle="1" w:styleId="27">
    <w:name w:val="xl35"/>
    <w:basedOn w:val="1"/>
    <w:uiPriority w:val="0"/>
    <w:pPr>
      <w:widowControl/>
      <w:pBdr>
        <w:left w:val="single" w:color="auto" w:sz="4" w:space="0"/>
        <w:bottom w:val="single" w:color="auto" w:sz="4" w:space="0"/>
        <w:right w:val="double" w:color="auto" w:sz="6" w:space="0"/>
      </w:pBdr>
      <w:spacing w:before="100" w:beforeAutospacing="1" w:after="100" w:afterAutospacing="1"/>
      <w:jc w:val="center"/>
      <w:textAlignment w:val="center"/>
    </w:pPr>
    <w:rPr>
      <w:rFonts w:ascii="宋体" w:hAnsi="宋体"/>
      <w:b/>
      <w:bCs/>
      <w:kern w:val="0"/>
      <w:szCs w:val="21"/>
    </w:rPr>
  </w:style>
  <w:style w:type="paragraph" w:customStyle="1" w:styleId="28">
    <w:name w:val="xl31"/>
    <w:basedOn w:val="1"/>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rFonts w:ascii="宋体" w:hAnsi="宋体"/>
      <w:kern w:val="0"/>
      <w:szCs w:val="21"/>
    </w:rPr>
  </w:style>
  <w:style w:type="paragraph" w:customStyle="1" w:styleId="29">
    <w:name w:val="xl27"/>
    <w:basedOn w:val="1"/>
    <w:uiPriority w:val="0"/>
    <w:pPr>
      <w:widowControl/>
      <w:pBdr>
        <w:top w:val="double" w:color="auto" w:sz="6"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Cs w:val="21"/>
    </w:rPr>
  </w:style>
  <w:style w:type="paragraph" w:customStyle="1" w:styleId="30">
    <w:name w:val="xl24"/>
    <w:basedOn w:val="1"/>
    <w:uiPriority w:val="0"/>
    <w:pPr>
      <w:widowControl/>
      <w:spacing w:before="100" w:beforeAutospacing="1" w:after="100" w:afterAutospacing="1"/>
      <w:jc w:val="center"/>
    </w:pPr>
    <w:rPr>
      <w:rFonts w:ascii="宋体" w:hAnsi="宋体"/>
      <w:b/>
      <w:bCs/>
      <w:kern w:val="0"/>
      <w:sz w:val="32"/>
      <w:szCs w:val="32"/>
    </w:rPr>
  </w:style>
  <w:style w:type="paragraph" w:customStyle="1" w:styleId="31">
    <w:name w:val="xl56"/>
    <w:basedOn w:val="1"/>
    <w:uiPriority w:val="0"/>
    <w:pPr>
      <w:widowControl/>
      <w:pBdr>
        <w:top w:val="single" w:color="auto" w:sz="4" w:space="0"/>
        <w:bottom w:val="double" w:color="auto" w:sz="6" w:space="0"/>
      </w:pBdr>
      <w:spacing w:before="100" w:beforeAutospacing="1" w:after="100" w:afterAutospacing="1"/>
      <w:jc w:val="left"/>
      <w:textAlignment w:val="center"/>
    </w:pPr>
    <w:rPr>
      <w:rFonts w:ascii="宋体" w:hAnsi="宋体"/>
      <w:kern w:val="0"/>
      <w:szCs w:val="21"/>
    </w:rPr>
  </w:style>
  <w:style w:type="paragraph" w:customStyle="1" w:styleId="32">
    <w:name w:val="Plain Text"/>
    <w:basedOn w:val="1"/>
    <w:uiPriority w:val="0"/>
    <w:pPr>
      <w:adjustRightInd w:val="0"/>
      <w:textAlignment w:val="baseline"/>
    </w:pPr>
    <w:rPr>
      <w:rFonts w:ascii="宋体" w:hAnsi="Courier New"/>
      <w:szCs w:val="20"/>
    </w:rPr>
  </w:style>
  <w:style w:type="paragraph" w:customStyle="1" w:styleId="33">
    <w:name w:val="font9"/>
    <w:basedOn w:val="1"/>
    <w:uiPriority w:val="0"/>
    <w:pPr>
      <w:widowControl/>
      <w:spacing w:before="100" w:beforeAutospacing="1" w:after="100" w:afterAutospacing="1"/>
      <w:jc w:val="left"/>
    </w:pPr>
    <w:rPr>
      <w:rFonts w:hint="eastAsia" w:ascii="宋体" w:hAnsi="宋体"/>
      <w:b/>
      <w:bCs/>
      <w:kern w:val="0"/>
      <w:szCs w:val="21"/>
    </w:rPr>
  </w:style>
  <w:style w:type="paragraph" w:customStyle="1" w:styleId="34">
    <w:name w:val="xl52"/>
    <w:basedOn w:val="1"/>
    <w:uiPriority w:val="0"/>
    <w:pPr>
      <w:widowControl/>
      <w:pBdr>
        <w:top w:val="double" w:color="auto" w:sz="6" w:space="0"/>
        <w:bottom w:val="single" w:color="auto" w:sz="4" w:space="0"/>
      </w:pBdr>
      <w:spacing w:before="100" w:beforeAutospacing="1" w:after="100" w:afterAutospacing="1"/>
      <w:jc w:val="left"/>
      <w:textAlignment w:val="center"/>
    </w:pPr>
    <w:rPr>
      <w:b/>
      <w:bCs/>
      <w:kern w:val="0"/>
      <w:szCs w:val="21"/>
    </w:rPr>
  </w:style>
  <w:style w:type="paragraph" w:customStyle="1" w:styleId="35">
    <w:name w:val="font5"/>
    <w:basedOn w:val="1"/>
    <w:uiPriority w:val="0"/>
    <w:pPr>
      <w:widowControl/>
      <w:spacing w:before="100" w:beforeAutospacing="1" w:after="100" w:afterAutospacing="1"/>
      <w:jc w:val="left"/>
    </w:pPr>
    <w:rPr>
      <w:rFonts w:hint="eastAsia" w:ascii="宋体" w:hAnsi="宋体"/>
      <w:b/>
      <w:bCs/>
      <w:kern w:val="0"/>
      <w:sz w:val="32"/>
      <w:szCs w:val="32"/>
    </w:rPr>
  </w:style>
  <w:style w:type="paragraph" w:customStyle="1" w:styleId="36">
    <w:name w:val="xl48"/>
    <w:basedOn w:val="1"/>
    <w:uiPriority w:val="0"/>
    <w:pPr>
      <w:widowControl/>
      <w:spacing w:before="100" w:beforeAutospacing="1" w:after="100" w:afterAutospacing="1"/>
      <w:jc w:val="center"/>
      <w:textAlignment w:val="center"/>
    </w:pPr>
    <w:rPr>
      <w:b/>
      <w:bCs/>
      <w:kern w:val="0"/>
      <w:szCs w:val="21"/>
    </w:rPr>
  </w:style>
  <w:style w:type="paragraph" w:customStyle="1" w:styleId="37">
    <w:name w:val="xl44"/>
    <w:basedOn w:val="1"/>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textAlignment w:val="center"/>
    </w:pPr>
    <w:rPr>
      <w:kern w:val="0"/>
      <w:szCs w:val="21"/>
    </w:rPr>
  </w:style>
  <w:style w:type="paragraph" w:customStyle="1" w:styleId="38">
    <w:name w:val="xl40"/>
    <w:basedOn w:val="1"/>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39">
    <w:name w:val="xl36"/>
    <w:basedOn w:val="1"/>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40">
    <w:name w:val="xl32"/>
    <w:basedOn w:val="1"/>
    <w:uiPriority w:val="0"/>
    <w:pPr>
      <w:widowControl/>
      <w:pBdr>
        <w:top w:val="single" w:color="auto" w:sz="4" w:space="0"/>
        <w:left w:val="single" w:color="auto" w:sz="4" w:space="0"/>
        <w:bottom w:val="single" w:color="auto" w:sz="8" w:space="0"/>
        <w:right w:val="double" w:color="auto" w:sz="6" w:space="0"/>
      </w:pBdr>
      <w:spacing w:before="100" w:beforeAutospacing="1" w:after="100" w:afterAutospacing="1"/>
      <w:jc w:val="left"/>
      <w:textAlignment w:val="center"/>
    </w:pPr>
    <w:rPr>
      <w:rFonts w:ascii="宋体" w:hAnsi="宋体"/>
      <w:kern w:val="0"/>
      <w:szCs w:val="21"/>
    </w:rPr>
  </w:style>
  <w:style w:type="paragraph" w:customStyle="1" w:styleId="41">
    <w:name w:val="xl28"/>
    <w:basedOn w:val="1"/>
    <w:uiPriority w:val="0"/>
    <w:pPr>
      <w:widowControl/>
      <w:pBdr>
        <w:top w:val="double" w:color="auto" w:sz="6"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kern w:val="0"/>
      <w:szCs w:val="21"/>
    </w:rPr>
  </w:style>
  <w:style w:type="paragraph" w:customStyle="1" w:styleId="42">
    <w:name w:val="xl25"/>
    <w:basedOn w:val="1"/>
    <w:uiPriority w:val="0"/>
    <w:pPr>
      <w:widowControl/>
      <w:pBdr>
        <w:top w:val="double" w:color="auto" w:sz="6"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43">
    <w:name w:val="xl57"/>
    <w:basedOn w:val="1"/>
    <w:uiPriority w:val="0"/>
    <w:pPr>
      <w:widowControl/>
      <w:pBdr>
        <w:top w:val="single" w:color="auto" w:sz="4" w:space="0"/>
        <w:bottom w:val="double" w:color="auto" w:sz="6" w:space="0"/>
        <w:right w:val="double" w:color="auto" w:sz="6" w:space="0"/>
      </w:pBdr>
      <w:spacing w:before="100" w:beforeAutospacing="1" w:after="100" w:afterAutospacing="1"/>
      <w:jc w:val="left"/>
      <w:textAlignment w:val="center"/>
    </w:pPr>
    <w:rPr>
      <w:rFonts w:ascii="宋体" w:hAnsi="宋体"/>
      <w:kern w:val="0"/>
      <w:szCs w:val="21"/>
    </w:rPr>
  </w:style>
  <w:style w:type="paragraph" w:customStyle="1" w:styleId="44">
    <w:name w:val="font10"/>
    <w:basedOn w:val="1"/>
    <w:uiPriority w:val="0"/>
    <w:pPr>
      <w:widowControl/>
      <w:spacing w:before="100" w:beforeAutospacing="1" w:after="100" w:afterAutospacing="1"/>
      <w:jc w:val="left"/>
    </w:pPr>
    <w:rPr>
      <w:kern w:val="0"/>
      <w:szCs w:val="21"/>
    </w:rPr>
  </w:style>
  <w:style w:type="paragraph" w:customStyle="1" w:styleId="45">
    <w:name w:val="xl53"/>
    <w:basedOn w:val="1"/>
    <w:uiPriority w:val="0"/>
    <w:pPr>
      <w:widowControl/>
      <w:pBdr>
        <w:top w:val="double" w:color="auto" w:sz="6" w:space="0"/>
        <w:bottom w:val="single" w:color="auto" w:sz="4" w:space="0"/>
      </w:pBdr>
      <w:spacing w:before="100" w:beforeAutospacing="1" w:after="100" w:afterAutospacing="1"/>
      <w:jc w:val="left"/>
      <w:textAlignment w:val="center"/>
    </w:pPr>
    <w:rPr>
      <w:rFonts w:ascii="宋体" w:hAnsi="宋体"/>
      <w:b/>
      <w:bCs/>
      <w:kern w:val="0"/>
      <w:szCs w:val="21"/>
      <w:u w:val="single"/>
    </w:rPr>
  </w:style>
  <w:style w:type="paragraph" w:customStyle="1" w:styleId="46">
    <w:name w:val="font6"/>
    <w:basedOn w:val="1"/>
    <w:uiPriority w:val="0"/>
    <w:pPr>
      <w:widowControl/>
      <w:spacing w:before="100" w:beforeAutospacing="1" w:after="100" w:afterAutospacing="1"/>
      <w:jc w:val="left"/>
    </w:pPr>
    <w:rPr>
      <w:b/>
      <w:bCs/>
      <w:kern w:val="0"/>
      <w:sz w:val="32"/>
      <w:szCs w:val="32"/>
    </w:rPr>
  </w:style>
  <w:style w:type="paragraph" w:customStyle="1" w:styleId="47">
    <w:name w:val="xl49"/>
    <w:basedOn w:val="1"/>
    <w:uiPriority w:val="0"/>
    <w:pPr>
      <w:widowControl/>
      <w:spacing w:before="100" w:beforeAutospacing="1" w:after="100" w:afterAutospacing="1"/>
      <w:jc w:val="center"/>
      <w:textAlignment w:val="center"/>
    </w:pPr>
    <w:rPr>
      <w:kern w:val="0"/>
      <w:szCs w:val="21"/>
    </w:rPr>
  </w:style>
  <w:style w:type="paragraph" w:customStyle="1" w:styleId="48">
    <w:name w:val="xl45"/>
    <w:basedOn w:val="1"/>
    <w:uiPriority w:val="0"/>
    <w:pPr>
      <w:widowControl/>
      <w:pBdr>
        <w:top w:val="single" w:color="auto" w:sz="4" w:space="0"/>
        <w:left w:val="single" w:color="auto" w:sz="4" w:space="0"/>
        <w:bottom w:val="double" w:color="auto" w:sz="6" w:space="0"/>
        <w:right w:val="double" w:color="auto" w:sz="6" w:space="0"/>
      </w:pBdr>
      <w:spacing w:before="100" w:beforeAutospacing="1" w:after="100" w:afterAutospacing="1"/>
      <w:jc w:val="center"/>
      <w:textAlignment w:val="center"/>
    </w:pPr>
    <w:rPr>
      <w:kern w:val="0"/>
      <w:szCs w:val="21"/>
    </w:rPr>
  </w:style>
  <w:style w:type="paragraph" w:customStyle="1" w:styleId="49">
    <w:name w:val="xl4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Cs w:val="21"/>
    </w:rPr>
  </w:style>
  <w:style w:type="paragraph" w:customStyle="1" w:styleId="50">
    <w:name w:val="xl3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51">
    <w:name w:val="xl33"/>
    <w:basedOn w:val="1"/>
    <w:uiPriority w:val="0"/>
    <w:pPr>
      <w:widowControl/>
      <w:pBdr>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52">
    <w:name w:val="xl29"/>
    <w:basedOn w:val="1"/>
    <w:uiPriority w:val="0"/>
    <w:pPr>
      <w:widowControl/>
      <w:pBdr>
        <w:top w:val="single" w:color="auto" w:sz="4" w:space="0"/>
        <w:left w:val="double" w:color="auto" w:sz="6" w:space="0"/>
        <w:bottom w:val="single" w:color="auto" w:sz="8"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53">
    <w:name w:val="xl26"/>
    <w:basedOn w:val="1"/>
    <w:uiPriority w:val="0"/>
    <w:pPr>
      <w:widowControl/>
      <w:pBdr>
        <w:top w:val="double" w:color="auto" w:sz="6"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54">
    <w:name w:val="xl58"/>
    <w:basedOn w:val="1"/>
    <w:uiPriority w:val="0"/>
    <w:pPr>
      <w:widowControl/>
      <w:pBdr>
        <w:top w:val="double" w:color="auto" w:sz="6" w:space="0"/>
        <w:bottom w:val="double" w:color="auto" w:sz="6" w:space="0"/>
      </w:pBdr>
      <w:spacing w:before="100" w:beforeAutospacing="1" w:after="100" w:afterAutospacing="1"/>
      <w:jc w:val="left"/>
      <w:textAlignment w:val="center"/>
    </w:pPr>
    <w:rPr>
      <w:rFonts w:ascii="宋体" w:hAnsi="宋体"/>
      <w:kern w:val="0"/>
      <w:szCs w:val="21"/>
    </w:rPr>
  </w:style>
  <w:style w:type="paragraph" w:customStyle="1" w:styleId="55">
    <w:name w:val="font11"/>
    <w:basedOn w:val="1"/>
    <w:uiPriority w:val="0"/>
    <w:pPr>
      <w:widowControl/>
      <w:spacing w:before="100" w:beforeAutospacing="1" w:after="100" w:afterAutospacing="1"/>
      <w:jc w:val="left"/>
    </w:pPr>
    <w:rPr>
      <w:b/>
      <w:bCs/>
      <w:kern w:val="0"/>
      <w:szCs w:val="21"/>
    </w:rPr>
  </w:style>
  <w:style w:type="paragraph" w:customStyle="1" w:styleId="56">
    <w:name w:val="xl54"/>
    <w:basedOn w:val="1"/>
    <w:uiPriority w:val="0"/>
    <w:pPr>
      <w:widowControl/>
      <w:pBdr>
        <w:top w:val="double" w:color="auto" w:sz="6" w:space="0"/>
        <w:bottom w:val="single" w:color="auto" w:sz="4" w:space="0"/>
        <w:right w:val="double" w:color="auto" w:sz="6" w:space="0"/>
      </w:pBdr>
      <w:spacing w:before="100" w:beforeAutospacing="1" w:after="100" w:afterAutospacing="1"/>
      <w:jc w:val="left"/>
      <w:textAlignment w:val="center"/>
    </w:pPr>
    <w:rPr>
      <w:rFonts w:ascii="宋体" w:hAnsi="宋体"/>
      <w:b/>
      <w:bCs/>
      <w:kern w:val="0"/>
      <w:szCs w:val="21"/>
      <w:u w:val="single"/>
    </w:rPr>
  </w:style>
  <w:style w:type="paragraph" w:customStyle="1" w:styleId="57">
    <w:name w:val="font7"/>
    <w:basedOn w:val="1"/>
    <w:uiPriority w:val="0"/>
    <w:pPr>
      <w:widowControl/>
      <w:spacing w:before="100" w:beforeAutospacing="1" w:after="100" w:afterAutospacing="1"/>
      <w:jc w:val="left"/>
    </w:pPr>
    <w:rPr>
      <w:rFonts w:hint="eastAsia" w:ascii="宋体" w:hAnsi="宋体"/>
      <w:kern w:val="0"/>
      <w:sz w:val="18"/>
      <w:szCs w:val="18"/>
    </w:rPr>
  </w:style>
  <w:style w:type="paragraph" w:customStyle="1" w:styleId="58">
    <w:name w:val="xl50"/>
    <w:basedOn w:val="1"/>
    <w:uiPriority w:val="0"/>
    <w:pPr>
      <w:widowControl/>
      <w:pBdr>
        <w:top w:val="double" w:color="auto" w:sz="6" w:space="0"/>
        <w:bottom w:val="double" w:color="auto" w:sz="6" w:space="0"/>
      </w:pBdr>
      <w:spacing w:before="100" w:beforeAutospacing="1" w:after="100" w:afterAutospacing="1"/>
      <w:jc w:val="center"/>
      <w:textAlignment w:val="center"/>
    </w:pPr>
    <w:rPr>
      <w:kern w:val="0"/>
      <w:szCs w:val="21"/>
    </w:rPr>
  </w:style>
  <w:style w:type="paragraph" w:customStyle="1" w:styleId="59">
    <w:name w:val="xl46"/>
    <w:basedOn w:val="1"/>
    <w:uiPriority w:val="0"/>
    <w:pPr>
      <w:widowControl/>
      <w:pBdr>
        <w:left w:val="double" w:color="auto" w:sz="6" w:space="0"/>
      </w:pBdr>
      <w:spacing w:before="100" w:beforeAutospacing="1" w:after="100" w:afterAutospacing="1"/>
      <w:jc w:val="center"/>
      <w:textAlignment w:val="center"/>
    </w:pPr>
    <w:rPr>
      <w:rFonts w:ascii="宋体" w:hAnsi="宋体"/>
      <w:b/>
      <w:bCs/>
      <w:kern w:val="0"/>
      <w:szCs w:val="21"/>
    </w:rPr>
  </w:style>
  <w:style w:type="paragraph" w:customStyle="1" w:styleId="60">
    <w:name w:val="xl42"/>
    <w:basedOn w:val="1"/>
    <w:uiPriority w:val="0"/>
    <w:pPr>
      <w:widowControl/>
      <w:pBdr>
        <w:top w:val="single" w:color="auto" w:sz="4" w:space="0"/>
        <w:left w:val="double" w:color="auto" w:sz="6" w:space="0"/>
        <w:bottom w:val="double" w:color="auto" w:sz="6"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61">
    <w:name w:val="xl3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62">
    <w:name w:val="xl34"/>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63">
    <w:name w:val="xl30"/>
    <w:basedOn w:val="1"/>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64">
    <w:name w:val="xl63"/>
    <w:basedOn w:val="1"/>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kern w:val="0"/>
      <w:szCs w:val="21"/>
    </w:rPr>
  </w:style>
  <w:style w:type="paragraph" w:customStyle="1" w:styleId="65">
    <w:name w:val="xl59"/>
    <w:basedOn w:val="1"/>
    <w:uiPriority w:val="0"/>
    <w:pPr>
      <w:widowControl/>
      <w:pBdr>
        <w:top w:val="double" w:color="auto" w:sz="6" w:space="0"/>
        <w:left w:val="double" w:color="auto" w:sz="6" w:space="0"/>
        <w:bottom w:val="single" w:color="auto" w:sz="4" w:space="0"/>
      </w:pBdr>
      <w:spacing w:before="100" w:beforeAutospacing="1" w:after="100" w:afterAutospacing="1"/>
      <w:jc w:val="left"/>
      <w:textAlignment w:val="center"/>
    </w:pPr>
    <w:rPr>
      <w:b/>
      <w:bCs/>
      <w:kern w:val="0"/>
      <w:szCs w:val="21"/>
    </w:rPr>
  </w:style>
  <w:style w:type="paragraph" w:customStyle="1" w:styleId="66">
    <w:name w:val="xl60"/>
    <w:basedOn w:val="1"/>
    <w:uiPriority w:val="0"/>
    <w:pPr>
      <w:widowControl/>
      <w:pBdr>
        <w:top w:val="double" w:color="auto" w:sz="6" w:space="0"/>
        <w:bottom w:val="single" w:color="auto" w:sz="4" w:space="0"/>
      </w:pBdr>
      <w:spacing w:before="100" w:beforeAutospacing="1" w:after="100" w:afterAutospacing="1"/>
      <w:jc w:val="left"/>
      <w:textAlignment w:val="center"/>
    </w:pPr>
    <w:rPr>
      <w:b/>
      <w:bCs/>
      <w:kern w:val="0"/>
      <w:szCs w:val="21"/>
    </w:rPr>
  </w:style>
  <w:style w:type="paragraph" w:customStyle="1" w:styleId="67">
    <w:name w:val="xl61"/>
    <w:basedOn w:val="1"/>
    <w:uiPriority w:val="0"/>
    <w:pPr>
      <w:widowControl/>
      <w:pBdr>
        <w:top w:val="double" w:color="auto" w:sz="6" w:space="0"/>
        <w:bottom w:val="single" w:color="auto" w:sz="4" w:space="0"/>
        <w:right w:val="double" w:color="auto" w:sz="6" w:space="0"/>
      </w:pBdr>
      <w:spacing w:before="100" w:beforeAutospacing="1" w:after="100" w:afterAutospacing="1"/>
      <w:jc w:val="left"/>
      <w:textAlignment w:val="center"/>
    </w:pPr>
    <w:rPr>
      <w:b/>
      <w:bCs/>
      <w:kern w:val="0"/>
      <w:szCs w:val="21"/>
    </w:rPr>
  </w:style>
  <w:style w:type="paragraph" w:customStyle="1" w:styleId="68">
    <w:name w:val="xl62"/>
    <w:basedOn w:val="1"/>
    <w:uiPriority w:val="0"/>
    <w:pPr>
      <w:widowControl/>
      <w:pBdr>
        <w:top w:val="single" w:color="auto" w:sz="4" w:space="0"/>
        <w:left w:val="double" w:color="auto" w:sz="6" w:space="0"/>
        <w:bottom w:val="single" w:color="auto" w:sz="4" w:space="0"/>
      </w:pBdr>
      <w:spacing w:before="100" w:beforeAutospacing="1" w:after="100" w:afterAutospacing="1"/>
      <w:jc w:val="center"/>
      <w:textAlignment w:val="center"/>
    </w:pPr>
    <w:rPr>
      <w:rFonts w:ascii="宋体" w:hAnsi="宋体"/>
      <w:kern w:val="0"/>
      <w:szCs w:val="21"/>
    </w:rPr>
  </w:style>
  <w:style w:type="paragraph" w:customStyle="1" w:styleId="69">
    <w:name w:val="xl64"/>
    <w:basedOn w:val="1"/>
    <w:uiPriority w:val="0"/>
    <w:pPr>
      <w:widowControl/>
      <w:pBdr>
        <w:top w:val="single" w:color="auto" w:sz="4" w:space="0"/>
        <w:bottom w:val="single" w:color="auto" w:sz="4" w:space="0"/>
        <w:right w:val="double" w:color="auto" w:sz="6" w:space="0"/>
      </w:pBdr>
      <w:spacing w:before="100" w:beforeAutospacing="1" w:after="100" w:afterAutospacing="1"/>
      <w:jc w:val="center"/>
      <w:textAlignment w:val="center"/>
    </w:pPr>
    <w:rPr>
      <w:rFonts w:ascii="宋体" w:hAnsi="宋体"/>
      <w:kern w:val="0"/>
      <w:szCs w:val="21"/>
    </w:rPr>
  </w:style>
  <w:style w:type="paragraph" w:customStyle="1" w:styleId="70">
    <w:name w:val="xl65"/>
    <w:basedOn w:val="1"/>
    <w:uiPriority w:val="0"/>
    <w:pPr>
      <w:widowControl/>
      <w:pBdr>
        <w:left w:val="double" w:color="auto" w:sz="6" w:space="0"/>
        <w:bottom w:val="single" w:color="auto" w:sz="4" w:space="0"/>
      </w:pBdr>
      <w:spacing w:before="100" w:beforeAutospacing="1" w:after="100" w:afterAutospacing="1"/>
      <w:jc w:val="center"/>
      <w:textAlignment w:val="center"/>
    </w:pPr>
    <w:rPr>
      <w:rFonts w:ascii="宋体" w:hAnsi="宋体"/>
      <w:kern w:val="0"/>
      <w:szCs w:val="21"/>
    </w:rPr>
  </w:style>
  <w:style w:type="paragraph" w:customStyle="1" w:styleId="71">
    <w:name w:val="xl66"/>
    <w:basedOn w:val="1"/>
    <w:uiPriority w:val="0"/>
    <w:pPr>
      <w:widowControl/>
      <w:pBdr>
        <w:left w:val="double" w:color="auto" w:sz="6" w:space="0"/>
        <w:bottom w:val="double" w:color="auto" w:sz="6" w:space="0"/>
      </w:pBdr>
      <w:spacing w:before="100" w:beforeAutospacing="1" w:after="100" w:afterAutospacing="1"/>
      <w:jc w:val="center"/>
      <w:textAlignment w:val="center"/>
    </w:pPr>
    <w:rPr>
      <w:rFonts w:ascii="宋体" w:hAnsi="宋体"/>
      <w:kern w:val="0"/>
      <w:szCs w:val="21"/>
    </w:rPr>
  </w:style>
  <w:style w:type="paragraph" w:customStyle="1" w:styleId="72">
    <w:name w:val="xl67"/>
    <w:basedOn w:val="1"/>
    <w:uiPriority w:val="0"/>
    <w:pPr>
      <w:widowControl/>
      <w:pBdr>
        <w:top w:val="single" w:color="auto" w:sz="4" w:space="0"/>
        <w:bottom w:val="double" w:color="auto" w:sz="6" w:space="0"/>
      </w:pBdr>
      <w:spacing w:before="100" w:beforeAutospacing="1" w:after="100" w:afterAutospacing="1"/>
      <w:jc w:val="center"/>
      <w:textAlignment w:val="center"/>
    </w:pPr>
    <w:rPr>
      <w:rFonts w:ascii="宋体" w:hAnsi="宋体"/>
      <w:kern w:val="0"/>
      <w:szCs w:val="21"/>
    </w:rPr>
  </w:style>
  <w:style w:type="paragraph" w:customStyle="1" w:styleId="73">
    <w:name w:val="xl68"/>
    <w:basedOn w:val="1"/>
    <w:uiPriority w:val="0"/>
    <w:pPr>
      <w:widowControl/>
      <w:pBdr>
        <w:top w:val="single" w:color="auto" w:sz="4" w:space="0"/>
        <w:bottom w:val="double" w:color="auto" w:sz="6" w:space="0"/>
        <w:right w:val="double" w:color="auto" w:sz="6" w:space="0"/>
      </w:pBdr>
      <w:spacing w:before="100" w:beforeAutospacing="1" w:after="100" w:afterAutospacing="1"/>
      <w:jc w:val="center"/>
      <w:textAlignment w:val="center"/>
    </w:pPr>
    <w:rPr>
      <w:rFonts w:ascii="宋体" w:hAnsi="宋体"/>
      <w:kern w:val="0"/>
      <w:szCs w:val="21"/>
    </w:rPr>
  </w:style>
  <w:style w:type="paragraph" w:customStyle="1" w:styleId="74">
    <w:name w:val="xl69"/>
    <w:basedOn w:val="1"/>
    <w:uiPriority w:val="0"/>
    <w:pPr>
      <w:widowControl/>
      <w:spacing w:before="100" w:beforeAutospacing="1" w:after="100" w:afterAutospacing="1"/>
      <w:jc w:val="center"/>
      <w:textAlignment w:val="center"/>
    </w:pPr>
    <w:rPr>
      <w:rFonts w:ascii="宋体" w:hAnsi="宋体"/>
      <w:kern w:val="0"/>
      <w:szCs w:val="21"/>
    </w:rPr>
  </w:style>
  <w:style w:type="paragraph" w:customStyle="1" w:styleId="75">
    <w:name w:val="xl70"/>
    <w:basedOn w:val="1"/>
    <w:uiPriority w:val="0"/>
    <w:pPr>
      <w:widowControl/>
      <w:pBdr>
        <w:bottom w:val="double" w:color="auto" w:sz="6" w:space="0"/>
      </w:pBdr>
      <w:spacing w:before="100" w:beforeAutospacing="1" w:after="100" w:afterAutospacing="1"/>
      <w:jc w:val="center"/>
      <w:textAlignment w:val="center"/>
    </w:pPr>
    <w:rPr>
      <w:rFonts w:ascii="宋体" w:hAnsi="宋体"/>
      <w:b/>
      <w:bCs/>
      <w:kern w:val="0"/>
      <w:sz w:val="28"/>
      <w:szCs w:val="28"/>
    </w:rPr>
  </w:style>
  <w:style w:type="paragraph" w:customStyle="1" w:styleId="76">
    <w:name w:val="xl71"/>
    <w:basedOn w:val="1"/>
    <w:uiPriority w:val="0"/>
    <w:pPr>
      <w:widowControl/>
      <w:pBdr>
        <w:top w:val="double" w:color="auto" w:sz="6"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77">
    <w:name w:val="xl72"/>
    <w:basedOn w:val="1"/>
    <w:uiPriority w:val="0"/>
    <w:pPr>
      <w:widowControl/>
      <w:pBdr>
        <w:top w:val="double" w:color="auto" w:sz="6"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78">
    <w:name w:val="xl73"/>
    <w:basedOn w:val="1"/>
    <w:uiPriority w:val="0"/>
    <w:pPr>
      <w:widowControl/>
      <w:pBdr>
        <w:top w:val="double" w:color="auto" w:sz="6"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b/>
      <w:bCs/>
      <w:kern w:val="0"/>
      <w:szCs w:val="21"/>
    </w:rPr>
  </w:style>
  <w:style w:type="paragraph" w:customStyle="1" w:styleId="79">
    <w:name w:val="xl74"/>
    <w:basedOn w:val="1"/>
    <w:uiPriority w:val="0"/>
    <w:pPr>
      <w:widowControl/>
      <w:pBdr>
        <w:top w:val="double" w:color="auto" w:sz="6" w:space="0"/>
        <w:left w:val="single" w:color="auto" w:sz="4" w:space="0"/>
        <w:bottom w:val="single" w:color="auto" w:sz="4" w:space="0"/>
        <w:right w:val="double" w:color="auto" w:sz="6" w:space="0"/>
      </w:pBdr>
      <w:spacing w:before="100" w:beforeAutospacing="1" w:after="100" w:afterAutospacing="1"/>
      <w:jc w:val="center"/>
      <w:textAlignment w:val="top"/>
    </w:pPr>
    <w:rPr>
      <w:rFonts w:ascii="宋体" w:hAnsi="宋体"/>
      <w:b/>
      <w:bCs/>
      <w:kern w:val="0"/>
      <w:szCs w:val="21"/>
    </w:rPr>
  </w:style>
  <w:style w:type="paragraph" w:customStyle="1" w:styleId="80">
    <w:name w:val="xl75"/>
    <w:basedOn w:val="1"/>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81">
    <w:name w:val="xl7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Cs w:val="21"/>
    </w:rPr>
  </w:style>
  <w:style w:type="paragraph" w:customStyle="1" w:styleId="82">
    <w:name w:val="xl7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kern w:val="0"/>
      <w:szCs w:val="21"/>
    </w:rPr>
  </w:style>
  <w:style w:type="paragraph" w:customStyle="1" w:styleId="83">
    <w:name w:val="xl78"/>
    <w:basedOn w:val="1"/>
    <w:uiPriority w:val="0"/>
    <w:pPr>
      <w:widowControl/>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top"/>
    </w:pPr>
    <w:rPr>
      <w:rFonts w:ascii="宋体" w:hAnsi="宋体"/>
      <w:kern w:val="0"/>
      <w:szCs w:val="21"/>
    </w:rPr>
  </w:style>
  <w:style w:type="paragraph" w:customStyle="1" w:styleId="84">
    <w:name w:val="xl79"/>
    <w:basedOn w:val="1"/>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85">
    <w:name w:val="xl80"/>
    <w:basedOn w:val="1"/>
    <w:uiPriority w:val="0"/>
    <w:pPr>
      <w:widowControl/>
      <w:pBdr>
        <w:top w:val="single" w:color="auto" w:sz="4" w:space="0"/>
        <w:left w:val="double" w:color="auto" w:sz="6" w:space="0"/>
        <w:bottom w:val="double" w:color="auto" w:sz="6"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86">
    <w:name w:val="xl81"/>
    <w:basedOn w:val="1"/>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textAlignment w:val="center"/>
    </w:pPr>
    <w:rPr>
      <w:kern w:val="0"/>
      <w:szCs w:val="21"/>
    </w:rPr>
  </w:style>
  <w:style w:type="paragraph" w:customStyle="1" w:styleId="87">
    <w:name w:val="xl82"/>
    <w:basedOn w:val="1"/>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left"/>
      <w:textAlignment w:val="top"/>
    </w:pPr>
    <w:rPr>
      <w:rFonts w:ascii="宋体" w:hAnsi="宋体"/>
      <w:kern w:val="0"/>
      <w:szCs w:val="21"/>
    </w:rPr>
  </w:style>
  <w:style w:type="paragraph" w:customStyle="1" w:styleId="88">
    <w:name w:val="xl83"/>
    <w:basedOn w:val="1"/>
    <w:uiPriority w:val="0"/>
    <w:pPr>
      <w:widowControl/>
      <w:pBdr>
        <w:top w:val="single" w:color="auto" w:sz="4" w:space="0"/>
        <w:left w:val="single" w:color="auto" w:sz="4" w:space="0"/>
        <w:bottom w:val="double" w:color="auto" w:sz="6" w:space="0"/>
        <w:right w:val="double" w:color="auto" w:sz="6" w:space="0"/>
      </w:pBdr>
      <w:spacing w:before="100" w:beforeAutospacing="1" w:after="100" w:afterAutospacing="1"/>
      <w:jc w:val="left"/>
      <w:textAlignment w:val="top"/>
    </w:pPr>
    <w:rPr>
      <w:rFonts w:ascii="宋体" w:hAnsi="宋体"/>
      <w:kern w:val="0"/>
      <w:szCs w:val="21"/>
    </w:rPr>
  </w:style>
  <w:style w:type="character" w:customStyle="1" w:styleId="89">
    <w:name w:val="标题 Char"/>
    <w:basedOn w:val="14"/>
    <w:link w:val="12"/>
    <w:uiPriority w:val="0"/>
    <w:rPr>
      <w:rFonts w:ascii="Cambria" w:hAnsi="Cambria"/>
      <w:b/>
      <w:bCs/>
      <w:sz w:val="32"/>
      <w:szCs w:val="32"/>
    </w:rPr>
  </w:style>
  <w:style w:type="character" w:customStyle="1" w:styleId="90">
    <w:name w:val="标题 1 Char"/>
    <w:basedOn w:val="14"/>
    <w:link w:val="2"/>
    <w:uiPriority w:val="0"/>
    <w:rPr>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IMON1~1.000\LOCALS~1\Temp\Rar$DI00.083\hr.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hr</Template>
  <Company>Gloucester Waalker</Company>
  <Pages>5</Pages>
  <Words>398</Words>
  <Characters>2270</Characters>
  <Lines>18</Lines>
  <Paragraphs>5</Paragraphs>
  <TotalTime>0</TotalTime>
  <ScaleCrop>false</ScaleCrop>
  <LinksUpToDate>false</LinksUpToDate>
  <CharactersWithSpaces>2663</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2019-04-08T10:19:00Z</dcterms:created>
  <dc:creator>simon</dc:creator>
  <cp:lastModifiedBy>Administrator</cp:lastModifiedBy>
  <dcterms:modified xsi:type="dcterms:W3CDTF">2019-10-18T02:37:34Z</dcterms:modified>
  <dc:title>关于中国人力资源网介绍</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