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100" w:after="0" w:afterLines="100" w:line="360" w:lineRule="auto"/>
        <w:ind w:left="0" w:leftChars="0" w:right="0" w:firstLine="0" w:firstLineChars="0"/>
        <w:jc w:val="center"/>
        <w:textAlignment w:val="auto"/>
        <w:rPr>
          <w:rFonts w:hint="eastAsia" w:ascii="楷体" w:hAnsi="楷体" w:eastAsia="楷体" w:cs="楷体"/>
          <w:b/>
          <w:bCs/>
          <w:sz w:val="40"/>
          <w:szCs w:val="22"/>
        </w:rPr>
      </w:pPr>
      <w:bookmarkStart w:id="0" w:name="_GoBack"/>
      <w:bookmarkEnd w:id="0"/>
      <w:r>
        <w:rPr>
          <w:rFonts w:hint="eastAsia" w:ascii="SimHei" w:hAnsi="SimHei" w:eastAsia="黑体" w:cs="楷体"/>
          <w:b/>
          <w:bCs/>
          <w:sz w:val="40"/>
          <w:szCs w:val="22"/>
        </w:rPr>
        <w:t>建筑设计行业薪酬体系设计方案</w:t>
      </w:r>
    </w:p>
    <w:p>
      <w:pPr>
        <w:pStyle w:val="2"/>
        <w:keepNext w:val="0"/>
        <w:keepLines w:val="0"/>
        <w:pageBreakBefore w:val="0"/>
        <w:widowControl w:val="0"/>
        <w:tabs>
          <w:tab w:val="left" w:pos="119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leftChars="0" w:right="0" w:firstLine="0" w:firstLineChars="0"/>
        <w:jc w:val="center"/>
        <w:textAlignment w:val="auto"/>
        <w:rPr>
          <w:rFonts w:hint="eastAsia" w:ascii="楷体" w:hAnsi="楷体" w:eastAsia="楷体" w:cs="楷体"/>
          <w:b/>
          <w:bCs/>
          <w:spacing w:val="0"/>
          <w:position w:val="0"/>
        </w:rPr>
      </w:pPr>
      <w:r>
        <w:rPr>
          <w:rFonts w:hint="eastAsia" w:ascii="SimHei" w:hAnsi="SimHei" w:eastAsia="黑体" w:cs="楷体"/>
          <w:b/>
          <w:bCs/>
          <w:spacing w:val="0"/>
          <w:w w:val="105"/>
          <w:position w:val="0"/>
        </w:rPr>
        <w:t>第一章</w:t>
      </w:r>
      <w:r>
        <w:rPr>
          <w:rFonts w:hint="eastAsia" w:ascii="SimHei" w:hAnsi="SimHei" w:eastAsia="黑体" w:cs="楷体"/>
          <w:b/>
          <w:bCs/>
          <w:spacing w:val="0"/>
          <w:w w:val="105"/>
          <w:position w:val="0"/>
          <w:lang w:val="en-US" w:eastAsia="zh-CN"/>
        </w:rPr>
        <w:t xml:space="preserve">  </w:t>
      </w:r>
      <w:r>
        <w:rPr>
          <w:rFonts w:hint="eastAsia" w:ascii="SimHei" w:hAnsi="SimHei" w:eastAsia="黑体" w:cs="楷体"/>
          <w:b/>
          <w:bCs/>
          <w:spacing w:val="0"/>
          <w:w w:val="105"/>
          <w:position w:val="0"/>
        </w:rPr>
        <w:t>总则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4" w:firstLineChars="200"/>
        <w:jc w:val="both"/>
        <w:textAlignment w:val="auto"/>
        <w:rPr>
          <w:rFonts w:hint="eastAsia" w:ascii="楷体" w:hAnsi="楷体" w:eastAsia="楷体" w:cs="楷体"/>
          <w:b/>
          <w:spacing w:val="0"/>
          <w:position w:val="0"/>
          <w:sz w:val="23"/>
        </w:rPr>
      </w:pPr>
      <w:r>
        <w:rPr>
          <w:rFonts w:hint="eastAsia" w:ascii="SimHei" w:hAnsi="SimHei" w:eastAsia="黑体" w:cs="楷体"/>
          <w:b/>
          <w:spacing w:val="0"/>
          <w:w w:val="105"/>
          <w:position w:val="0"/>
          <w:sz w:val="23"/>
        </w:rPr>
        <w:t>第一条 基本目标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pacing w:val="0"/>
          <w:position w:val="0"/>
        </w:rPr>
      </w:pPr>
      <w:r>
        <w:rPr>
          <w:rFonts w:hint="eastAsia" w:ascii="SimHei" w:hAnsi="SimHei" w:eastAsia="黑体" w:cs="楷体"/>
          <w:spacing w:val="0"/>
          <w:position w:val="0"/>
        </w:rPr>
        <w:t>建立与院经营发展要求相适应的薪酬体系，形成良好的人才激励机制与激励导向，最大限度的发挥员工个人潜能，创造良好的人才成长环境。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4" w:firstLineChars="200"/>
        <w:jc w:val="both"/>
        <w:textAlignment w:val="auto"/>
        <w:rPr>
          <w:rFonts w:hint="eastAsia" w:ascii="楷体" w:hAnsi="楷体" w:eastAsia="楷体" w:cs="楷体"/>
          <w:b/>
          <w:spacing w:val="0"/>
          <w:position w:val="0"/>
          <w:sz w:val="23"/>
        </w:rPr>
      </w:pPr>
      <w:r>
        <w:rPr>
          <w:rFonts w:hint="eastAsia" w:ascii="SimHei" w:hAnsi="SimHei" w:eastAsia="黑体" w:cs="楷体"/>
          <w:b/>
          <w:spacing w:val="0"/>
          <w:w w:val="105"/>
          <w:position w:val="0"/>
          <w:sz w:val="23"/>
        </w:rPr>
        <w:t>第二条 基本原则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pacing w:val="0"/>
          <w:position w:val="0"/>
        </w:rPr>
      </w:pPr>
      <w:r>
        <w:rPr>
          <w:rFonts w:hint="eastAsia" w:ascii="SimHei" w:hAnsi="SimHei" w:eastAsia="黑体" w:cs="楷体"/>
          <w:spacing w:val="0"/>
          <w:position w:val="0"/>
        </w:rPr>
        <w:t>1、综合考虑薪酬体系对外的竞争性和企业的经济承受力，合理设定全院的总体薪酬水平。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pacing w:val="0"/>
          <w:position w:val="0"/>
        </w:rPr>
      </w:pPr>
      <w:r>
        <w:rPr>
          <w:rFonts w:hint="eastAsia" w:ascii="SimHei" w:hAnsi="SimHei" w:eastAsia="黑体" w:cs="楷体"/>
          <w:spacing w:val="0"/>
          <w:position w:val="0"/>
        </w:rPr>
        <w:t>2、体现效率，兼顾公平。注重多劳多得，同时兼顾全院的协调发展。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pacing w:val="0"/>
          <w:position w:val="0"/>
        </w:rPr>
      </w:pPr>
      <w:r>
        <w:rPr>
          <w:rFonts w:hint="eastAsia" w:ascii="SimHei" w:hAnsi="SimHei" w:eastAsia="黑体" w:cs="楷体"/>
          <w:spacing w:val="0"/>
          <w:position w:val="0"/>
        </w:rPr>
        <w:t>3、充分体现激励约束性，全院员工的收入都和绩效挂钩，从而使得员工的绩效表现直接影响个人收入。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pacing w:val="0"/>
          <w:position w:val="0"/>
        </w:rPr>
      </w:pPr>
      <w:r>
        <w:rPr>
          <w:rFonts w:hint="eastAsia" w:ascii="SimHei" w:hAnsi="SimHei" w:eastAsia="黑体" w:cs="楷体"/>
          <w:spacing w:val="0"/>
          <w:position w:val="0"/>
        </w:rPr>
        <w:t>4、针对不同岗位设定不同的薪酬模式，从而充分体现不同岗位的工作特点与工作导向。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4" w:firstLineChars="200"/>
        <w:jc w:val="both"/>
        <w:textAlignment w:val="auto"/>
        <w:rPr>
          <w:rFonts w:hint="eastAsia" w:ascii="楷体" w:hAnsi="楷体" w:eastAsia="楷体" w:cs="楷体"/>
          <w:b/>
          <w:spacing w:val="0"/>
          <w:position w:val="0"/>
          <w:sz w:val="23"/>
        </w:rPr>
      </w:pPr>
      <w:r>
        <w:rPr>
          <w:rFonts w:hint="eastAsia" w:ascii="SimHei" w:hAnsi="SimHei" w:eastAsia="黑体" w:cs="楷体"/>
          <w:b/>
          <w:spacing w:val="0"/>
          <w:w w:val="105"/>
          <w:position w:val="0"/>
          <w:sz w:val="23"/>
        </w:rPr>
        <w:t>第三条 适用范围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pacing w:val="0"/>
          <w:position w:val="0"/>
        </w:rPr>
      </w:pPr>
      <w:r>
        <w:rPr>
          <w:rFonts w:hint="eastAsia" w:ascii="SimHei" w:hAnsi="SimHei" w:eastAsia="黑体" w:cs="楷体"/>
          <w:spacing w:val="0"/>
          <w:position w:val="0"/>
        </w:rPr>
        <w:t>本管理制度适用于与院签订正式劳动合同的员工。</w:t>
      </w:r>
    </w:p>
    <w:p>
      <w:pPr>
        <w:pStyle w:val="2"/>
        <w:keepNext w:val="0"/>
        <w:keepLines w:val="0"/>
        <w:pageBreakBefore w:val="0"/>
        <w:widowControl w:val="0"/>
        <w:tabs>
          <w:tab w:val="left" w:pos="119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leftChars="0" w:right="0" w:firstLine="0" w:firstLineChars="0"/>
        <w:jc w:val="center"/>
        <w:textAlignment w:val="auto"/>
        <w:rPr>
          <w:rFonts w:hint="eastAsia" w:ascii="楷体" w:hAnsi="楷体" w:eastAsia="楷体" w:cs="楷体"/>
          <w:b/>
          <w:bCs/>
          <w:spacing w:val="0"/>
          <w:w w:val="105"/>
          <w:position w:val="0"/>
        </w:rPr>
      </w:pPr>
      <w:r>
        <w:rPr>
          <w:rFonts w:hint="eastAsia" w:ascii="SimHei" w:hAnsi="SimHei" w:eastAsia="黑体" w:cs="楷体"/>
          <w:b/>
          <w:bCs/>
          <w:spacing w:val="0"/>
          <w:w w:val="105"/>
          <w:position w:val="0"/>
        </w:rPr>
        <w:t>第二章</w:t>
      </w:r>
      <w:r>
        <w:rPr>
          <w:rFonts w:hint="eastAsia" w:ascii="SimHei" w:hAnsi="SimHei" w:eastAsia="黑体" w:cs="楷体"/>
          <w:b/>
          <w:bCs/>
          <w:spacing w:val="0"/>
          <w:w w:val="105"/>
          <w:position w:val="0"/>
        </w:rPr>
        <w:tab/>
      </w:r>
      <w:r>
        <w:rPr>
          <w:rFonts w:hint="eastAsia" w:ascii="SimHei" w:hAnsi="SimHei" w:eastAsia="黑体" w:cs="楷体"/>
          <w:b/>
          <w:bCs/>
          <w:spacing w:val="0"/>
          <w:w w:val="105"/>
          <w:position w:val="0"/>
        </w:rPr>
        <w:t>薪酬体系的构成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4" w:firstLineChars="200"/>
        <w:jc w:val="both"/>
        <w:textAlignment w:val="auto"/>
        <w:rPr>
          <w:rFonts w:hint="eastAsia" w:ascii="楷体" w:hAnsi="楷体" w:eastAsia="楷体" w:cs="楷体"/>
          <w:b/>
          <w:spacing w:val="0"/>
          <w:position w:val="0"/>
          <w:sz w:val="23"/>
        </w:rPr>
      </w:pPr>
      <w:r>
        <w:rPr>
          <w:rFonts w:hint="eastAsia" w:ascii="SimHei" w:hAnsi="SimHei" w:eastAsia="黑体" w:cs="楷体"/>
          <w:b/>
          <w:spacing w:val="0"/>
          <w:w w:val="105"/>
          <w:position w:val="0"/>
          <w:sz w:val="23"/>
        </w:rPr>
        <w:t>第四条 薪酬体系构成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pacing w:val="0"/>
          <w:position w:val="0"/>
        </w:rPr>
      </w:pPr>
      <w:r>
        <w:rPr>
          <w:rFonts w:hint="eastAsia" w:ascii="SimHei" w:hAnsi="SimHei" w:eastAsia="黑体" w:cs="楷体"/>
          <w:spacing w:val="0"/>
          <w:position w:val="0"/>
        </w:rPr>
        <w:t>全院的薪酬体系由生产人员收入、其他人员收入、津贴、市场奖组成。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4" w:firstLineChars="200"/>
        <w:jc w:val="both"/>
        <w:textAlignment w:val="auto"/>
        <w:rPr>
          <w:rFonts w:hint="eastAsia" w:ascii="楷体" w:hAnsi="楷体" w:eastAsia="楷体" w:cs="楷体"/>
          <w:b/>
          <w:spacing w:val="0"/>
          <w:position w:val="0"/>
          <w:sz w:val="23"/>
        </w:rPr>
      </w:pPr>
      <w:r>
        <w:rPr>
          <w:rFonts w:hint="eastAsia" w:ascii="SimHei" w:hAnsi="SimHei" w:eastAsia="黑体" w:cs="楷体"/>
          <w:b/>
          <w:spacing w:val="0"/>
          <w:w w:val="105"/>
          <w:position w:val="0"/>
          <w:sz w:val="23"/>
        </w:rPr>
        <w:t>第五条 生产人员收入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pacing w:val="0"/>
          <w:position w:val="0"/>
        </w:rPr>
      </w:pPr>
      <w:r>
        <w:rPr>
          <w:rFonts w:hint="eastAsia" w:ascii="SimHei" w:hAnsi="SimHei" w:eastAsia="黑体" w:cs="楷体"/>
          <w:spacing w:val="0"/>
          <w:position w:val="0"/>
        </w:rPr>
        <w:t>生产人员收入=基本工资+项目产值提成具体内容见第三章。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4" w:firstLineChars="200"/>
        <w:jc w:val="both"/>
        <w:textAlignment w:val="auto"/>
        <w:rPr>
          <w:rFonts w:hint="eastAsia" w:ascii="楷体" w:hAnsi="楷体" w:eastAsia="楷体" w:cs="楷体"/>
          <w:b/>
          <w:spacing w:val="0"/>
          <w:position w:val="0"/>
          <w:sz w:val="23"/>
        </w:rPr>
      </w:pPr>
      <w:r>
        <w:rPr>
          <w:rFonts w:hint="eastAsia" w:ascii="SimHei" w:hAnsi="SimHei" w:eastAsia="黑体" w:cs="楷体"/>
          <w:b/>
          <w:spacing w:val="0"/>
          <w:w w:val="105"/>
          <w:position w:val="0"/>
          <w:sz w:val="23"/>
        </w:rPr>
        <w:t>第六条 其他人员收入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pacing w:val="0"/>
          <w:position w:val="0"/>
        </w:rPr>
      </w:pPr>
      <w:r>
        <w:rPr>
          <w:rFonts w:hint="eastAsia" w:ascii="SimHei" w:hAnsi="SimHei" w:eastAsia="黑体" w:cs="楷体"/>
          <w:spacing w:val="0"/>
          <w:position w:val="0"/>
        </w:rPr>
        <w:t>其他人员收入包括院部人员、总师室人员、办公室人员、市场部人员收入，具体内容见第四章。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4" w:firstLineChars="200"/>
        <w:jc w:val="both"/>
        <w:textAlignment w:val="auto"/>
        <w:rPr>
          <w:rFonts w:hint="eastAsia" w:ascii="楷体" w:hAnsi="楷体" w:eastAsia="楷体" w:cs="楷体"/>
          <w:b/>
          <w:spacing w:val="0"/>
          <w:position w:val="0"/>
          <w:sz w:val="23"/>
        </w:rPr>
      </w:pPr>
      <w:r>
        <w:rPr>
          <w:rFonts w:hint="eastAsia" w:ascii="SimHei" w:hAnsi="SimHei" w:eastAsia="黑体" w:cs="楷体"/>
          <w:b/>
          <w:spacing w:val="0"/>
          <w:w w:val="105"/>
          <w:position w:val="0"/>
          <w:sz w:val="23"/>
        </w:rPr>
        <w:t>第七条 津贴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pacing w:val="0"/>
          <w:position w:val="0"/>
        </w:rPr>
      </w:pPr>
      <w:r>
        <w:rPr>
          <w:rFonts w:hint="eastAsia" w:ascii="SimHei" w:hAnsi="SimHei" w:eastAsia="黑体" w:cs="楷体"/>
          <w:spacing w:val="0"/>
          <w:position w:val="0"/>
        </w:rPr>
        <w:t>津贴包括行政津贴、注册津贴、职称津贴三项。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pacing w:val="0"/>
          <w:position w:val="0"/>
        </w:rPr>
      </w:pPr>
      <w:r>
        <w:rPr>
          <w:rFonts w:hint="eastAsia" w:ascii="SimHei" w:hAnsi="SimHei" w:eastAsia="黑体" w:cs="楷体"/>
          <w:spacing w:val="0"/>
          <w:position w:val="0"/>
        </w:rPr>
        <w:t>行政津贴发放对象为生产部门（创意室、建筑所、结构所和设备所）部门负责人，标准为 300 元/月，每月发放一次。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pacing w:val="0"/>
          <w:position w:val="0"/>
        </w:rPr>
      </w:pPr>
      <w:r>
        <w:rPr>
          <w:rFonts w:hint="eastAsia" w:ascii="SimHei" w:hAnsi="SimHei" w:eastAsia="黑体" w:cs="楷体"/>
          <w:spacing w:val="0"/>
          <w:position w:val="0"/>
        </w:rPr>
        <w:t>注册津贴为鼓励员工考取注册资格发放，其中获国家一级注册建筑师、结构师资格，500 元/月；获国家二级注册建筑师、结构师资格，200 元/月；每月发放一次。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pacing w:val="0"/>
          <w:position w:val="0"/>
        </w:rPr>
      </w:pPr>
      <w:r>
        <w:rPr>
          <w:rFonts w:hint="eastAsia" w:ascii="SimHei" w:hAnsi="SimHei" w:eastAsia="黑体" w:cs="楷体"/>
          <w:spacing w:val="0"/>
          <w:position w:val="0"/>
        </w:rPr>
        <w:t>职称津贴发放对象为非管理服务类、非市场类，且有中、高级职称的员工；其中获取高级职称的人员，200 元/月；获取中级职称的人员，150 元/月；每月发放一次。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4" w:firstLineChars="200"/>
        <w:jc w:val="both"/>
        <w:textAlignment w:val="auto"/>
        <w:rPr>
          <w:rFonts w:hint="eastAsia" w:ascii="楷体" w:hAnsi="楷体" w:eastAsia="楷体" w:cs="楷体"/>
          <w:b/>
          <w:spacing w:val="0"/>
          <w:position w:val="0"/>
          <w:sz w:val="23"/>
        </w:rPr>
      </w:pPr>
      <w:r>
        <w:rPr>
          <w:rFonts w:hint="eastAsia" w:ascii="SimHei" w:hAnsi="SimHei" w:eastAsia="黑体" w:cs="楷体"/>
          <w:b/>
          <w:spacing w:val="0"/>
          <w:w w:val="105"/>
          <w:position w:val="0"/>
          <w:sz w:val="23"/>
        </w:rPr>
        <w:t>第八条 市场奖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pacing w:val="0"/>
          <w:position w:val="0"/>
        </w:rPr>
      </w:pPr>
      <w:r>
        <w:rPr>
          <w:rFonts w:hint="eastAsia" w:ascii="SimHei" w:hAnsi="SimHei" w:eastAsia="黑体" w:cs="楷体"/>
          <w:spacing w:val="0"/>
          <w:position w:val="0"/>
        </w:rPr>
        <w:t>为提倡全院营销的概念，特设定市场奖。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pacing w:val="0"/>
          <w:position w:val="0"/>
        </w:rPr>
      </w:pPr>
      <w:r>
        <w:rPr>
          <w:rFonts w:hint="eastAsia" w:ascii="SimHei" w:hAnsi="SimHei" w:eastAsia="黑体" w:cs="楷体"/>
          <w:spacing w:val="0"/>
          <w:position w:val="0"/>
        </w:rPr>
        <w:t>其中院长、分管市场的副院长、分管生产副院长在完成一定额度的合同额之后， 对超出预定额度的合同额进行奖励；其中超出 100 万部分奖励 3%；100-200 万部分奖励 4%；200 万以上的奖励 5%。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pacing w:val="0"/>
          <w:position w:val="0"/>
        </w:rPr>
      </w:pPr>
      <w:r>
        <w:rPr>
          <w:rFonts w:hint="eastAsia" w:ascii="SimHei" w:hAnsi="SimHei" w:eastAsia="黑体" w:cs="楷体"/>
          <w:spacing w:val="0"/>
          <w:position w:val="0"/>
        </w:rPr>
        <w:t>院其他人员，能够给院里直接带来项目的，根据项目的合同金额提取 5%作为奖励。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pacing w:val="0"/>
          <w:position w:val="0"/>
        </w:rPr>
      </w:pPr>
      <w:r>
        <w:rPr>
          <w:rFonts w:hint="eastAsia" w:ascii="SimHei" w:hAnsi="SimHei" w:eastAsia="黑体" w:cs="楷体"/>
          <w:spacing w:val="0"/>
          <w:position w:val="0"/>
        </w:rPr>
        <w:t>院部根据合同金额，测算市场奖，并根据收入实际到帐情况发放。市场奖每年度发放一次。</w:t>
      </w:r>
    </w:p>
    <w:p>
      <w:pPr>
        <w:pStyle w:val="2"/>
        <w:keepNext w:val="0"/>
        <w:keepLines w:val="0"/>
        <w:pageBreakBefore w:val="0"/>
        <w:widowControl w:val="0"/>
        <w:tabs>
          <w:tab w:val="left" w:pos="119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leftChars="0" w:right="0" w:firstLine="0" w:firstLineChars="0"/>
        <w:jc w:val="center"/>
        <w:textAlignment w:val="auto"/>
        <w:rPr>
          <w:rFonts w:hint="eastAsia" w:ascii="楷体" w:hAnsi="楷体" w:eastAsia="楷体" w:cs="楷体"/>
          <w:b/>
          <w:bCs/>
          <w:spacing w:val="0"/>
          <w:w w:val="105"/>
          <w:position w:val="0"/>
        </w:rPr>
      </w:pPr>
      <w:r>
        <w:rPr>
          <w:rFonts w:hint="eastAsia" w:ascii="SimHei" w:hAnsi="SimHei" w:eastAsia="黑体" w:cs="楷体"/>
          <w:b/>
          <w:bCs/>
          <w:spacing w:val="0"/>
          <w:w w:val="105"/>
          <w:position w:val="0"/>
        </w:rPr>
        <w:t>第三章</w:t>
      </w:r>
      <w:r>
        <w:rPr>
          <w:rFonts w:hint="eastAsia" w:ascii="SimHei" w:hAnsi="SimHei" w:eastAsia="黑体" w:cs="楷体"/>
          <w:b/>
          <w:bCs/>
          <w:spacing w:val="0"/>
          <w:w w:val="105"/>
          <w:position w:val="0"/>
          <w:lang w:val="en-US" w:eastAsia="zh-CN"/>
        </w:rPr>
        <w:t xml:space="preserve">  </w:t>
      </w:r>
      <w:r>
        <w:rPr>
          <w:rFonts w:hint="eastAsia" w:ascii="SimHei" w:hAnsi="SimHei" w:eastAsia="黑体" w:cs="楷体"/>
          <w:b/>
          <w:bCs/>
          <w:spacing w:val="0"/>
          <w:w w:val="105"/>
          <w:position w:val="0"/>
        </w:rPr>
        <w:t>生产人员收入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4" w:firstLineChars="200"/>
        <w:jc w:val="both"/>
        <w:textAlignment w:val="auto"/>
        <w:rPr>
          <w:rFonts w:hint="eastAsia" w:ascii="楷体" w:hAnsi="楷体" w:eastAsia="楷体" w:cs="楷体"/>
          <w:b/>
          <w:spacing w:val="0"/>
          <w:position w:val="0"/>
          <w:sz w:val="23"/>
        </w:rPr>
      </w:pPr>
      <w:r>
        <w:rPr>
          <w:rFonts w:hint="eastAsia" w:ascii="SimHei" w:hAnsi="SimHei" w:eastAsia="黑体" w:cs="楷体"/>
          <w:b/>
          <w:spacing w:val="0"/>
          <w:w w:val="105"/>
          <w:position w:val="0"/>
          <w:sz w:val="23"/>
        </w:rPr>
        <w:t>第九条 收入构成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pacing w:val="0"/>
          <w:position w:val="0"/>
        </w:rPr>
      </w:pPr>
      <w:r>
        <w:rPr>
          <w:rFonts w:hint="eastAsia" w:ascii="SimHei" w:hAnsi="SimHei" w:eastAsia="黑体" w:cs="楷体"/>
          <w:spacing w:val="0"/>
          <w:position w:val="0"/>
        </w:rPr>
        <w:t>生产人员收入=基本工资+项目产值提成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pacing w:val="0"/>
          <w:position w:val="0"/>
        </w:rPr>
      </w:pPr>
      <w:r>
        <w:rPr>
          <w:rFonts w:hint="eastAsia" w:ascii="SimHei" w:hAnsi="SimHei" w:eastAsia="黑体" w:cs="楷体"/>
          <w:spacing w:val="0"/>
          <w:position w:val="0"/>
        </w:rPr>
        <w:t>部分岗位每月发放一定的额度的岗位奖金，在项目产值提成中扣除。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4" w:firstLineChars="200"/>
        <w:jc w:val="both"/>
        <w:textAlignment w:val="auto"/>
        <w:rPr>
          <w:rFonts w:hint="eastAsia" w:ascii="楷体" w:hAnsi="楷体" w:eastAsia="楷体" w:cs="楷体"/>
          <w:b/>
          <w:spacing w:val="0"/>
          <w:position w:val="0"/>
          <w:sz w:val="23"/>
        </w:rPr>
      </w:pPr>
      <w:r>
        <w:rPr>
          <w:rFonts w:hint="eastAsia" w:ascii="SimHei" w:hAnsi="SimHei" w:eastAsia="黑体" w:cs="楷体"/>
          <w:b/>
          <w:spacing w:val="0"/>
          <w:w w:val="105"/>
          <w:position w:val="0"/>
          <w:sz w:val="23"/>
        </w:rPr>
        <w:t>第十条 基本工资与岗位奖金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pacing w:val="0"/>
          <w:position w:val="0"/>
        </w:rPr>
      </w:pPr>
      <w:r>
        <w:rPr>
          <w:rFonts w:hint="eastAsia" w:ascii="SimHei" w:hAnsi="SimHei" w:eastAsia="黑体" w:cs="楷体"/>
          <w:spacing w:val="0"/>
          <w:position w:val="0"/>
        </w:rPr>
        <w:t>不同岗位的基本工资、岗位奖金标准如下表：</w:t>
      </w:r>
    </w:p>
    <w:tbl>
      <w:tblPr>
        <w:tblStyle w:val="4"/>
        <w:tblW w:w="8727" w:type="dxa"/>
        <w:jc w:val="center"/>
        <w:tblInd w:w="114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7"/>
        <w:gridCol w:w="7"/>
        <w:gridCol w:w="1695"/>
        <w:gridCol w:w="7"/>
        <w:gridCol w:w="1565"/>
        <w:gridCol w:w="7"/>
        <w:gridCol w:w="1769"/>
        <w:gridCol w:w="7"/>
        <w:gridCol w:w="2753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924" w:type="dxa"/>
          <w:wAfter w:w="2753" w:type="dxa"/>
          <w:trHeight w:val="469" w:hRule="atLeast"/>
          <w:jc w:val="center"/>
        </w:trPr>
        <w:tc>
          <w:tcPr>
            <w:tcW w:w="1702" w:type="dxa"/>
            <w:gridSpan w:val="2"/>
            <w:tcBorders>
              <w:right w:val="double" w:color="000000" w:sz="2" w:space="0"/>
            </w:tcBorders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 w:firstLine="420" w:firstLineChars="20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position w:val="0"/>
                <w:sz w:val="20"/>
              </w:rPr>
            </w:pPr>
            <w:r>
              <w:rPr>
                <w:rFonts w:hint="eastAsia" w:ascii="SimHei" w:hAnsi="SimHei" w:eastAsia="黑体" w:cs="楷体"/>
                <w:spacing w:val="0"/>
                <w:w w:val="105"/>
                <w:position w:val="0"/>
                <w:sz w:val="20"/>
              </w:rPr>
              <w:t>岗位</w:t>
            </w:r>
          </w:p>
        </w:tc>
        <w:tc>
          <w:tcPr>
            <w:tcW w:w="1572" w:type="dxa"/>
            <w:gridSpan w:val="2"/>
            <w:tcBorders>
              <w:left w:val="double" w:color="000000" w:sz="2" w:space="0"/>
            </w:tcBorders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 w:firstLine="420" w:firstLineChars="20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position w:val="0"/>
                <w:sz w:val="20"/>
              </w:rPr>
            </w:pPr>
            <w:r>
              <w:rPr>
                <w:rFonts w:hint="eastAsia" w:ascii="SimHei" w:hAnsi="SimHei" w:eastAsia="黑体" w:cs="楷体"/>
                <w:spacing w:val="0"/>
                <w:w w:val="105"/>
                <w:position w:val="0"/>
                <w:sz w:val="20"/>
              </w:rPr>
              <w:t>基本工资</w:t>
            </w:r>
          </w:p>
        </w:tc>
        <w:tc>
          <w:tcPr>
            <w:tcW w:w="1776" w:type="dxa"/>
            <w:gridSpan w:val="2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 w:firstLine="420" w:firstLineChars="20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position w:val="0"/>
                <w:sz w:val="20"/>
              </w:rPr>
            </w:pPr>
            <w:r>
              <w:rPr>
                <w:rFonts w:hint="eastAsia" w:ascii="SimHei" w:hAnsi="SimHei" w:eastAsia="黑体" w:cs="楷体"/>
                <w:spacing w:val="0"/>
                <w:w w:val="105"/>
                <w:position w:val="0"/>
                <w:sz w:val="20"/>
              </w:rPr>
              <w:t>岗位奖金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924" w:type="dxa"/>
          <w:wAfter w:w="2753" w:type="dxa"/>
          <w:trHeight w:val="469" w:hRule="atLeast"/>
          <w:jc w:val="center"/>
        </w:trPr>
        <w:tc>
          <w:tcPr>
            <w:tcW w:w="1702" w:type="dxa"/>
            <w:gridSpan w:val="2"/>
            <w:tcBorders>
              <w:right w:val="double" w:color="000000" w:sz="2" w:space="0"/>
            </w:tcBorders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 w:firstLine="420" w:firstLineChars="20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position w:val="0"/>
                <w:sz w:val="20"/>
              </w:rPr>
            </w:pPr>
            <w:r>
              <w:rPr>
                <w:rFonts w:hint="eastAsia" w:ascii="SimHei" w:hAnsi="SimHei" w:eastAsia="黑体" w:cs="楷体"/>
                <w:spacing w:val="0"/>
                <w:w w:val="105"/>
                <w:position w:val="0"/>
                <w:sz w:val="20"/>
              </w:rPr>
              <w:t>主任设计师</w:t>
            </w:r>
          </w:p>
        </w:tc>
        <w:tc>
          <w:tcPr>
            <w:tcW w:w="1572" w:type="dxa"/>
            <w:gridSpan w:val="2"/>
            <w:tcBorders>
              <w:left w:val="double" w:color="000000" w:sz="2" w:space="0"/>
            </w:tcBorders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 w:firstLine="420" w:firstLineChars="20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position w:val="0"/>
                <w:sz w:val="20"/>
              </w:rPr>
            </w:pPr>
            <w:r>
              <w:rPr>
                <w:rFonts w:hint="eastAsia" w:ascii="SimHei" w:hAnsi="SimHei" w:eastAsia="黑体" w:cs="楷体"/>
                <w:spacing w:val="0"/>
                <w:w w:val="105"/>
                <w:position w:val="0"/>
                <w:sz w:val="20"/>
              </w:rPr>
              <w:t>1800</w:t>
            </w:r>
          </w:p>
        </w:tc>
        <w:tc>
          <w:tcPr>
            <w:tcW w:w="1776" w:type="dxa"/>
            <w:gridSpan w:val="2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 w:firstLine="420" w:firstLineChars="20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position w:val="0"/>
                <w:sz w:val="20"/>
              </w:rPr>
            </w:pPr>
            <w:r>
              <w:rPr>
                <w:rFonts w:hint="eastAsia" w:ascii="SimHei" w:hAnsi="SimHei" w:eastAsia="黑体" w:cs="楷体"/>
                <w:spacing w:val="0"/>
                <w:w w:val="105"/>
                <w:position w:val="0"/>
                <w:sz w:val="20"/>
              </w:rPr>
              <w:t>1200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  <w:jc w:val="center"/>
        </w:trPr>
        <w:tc>
          <w:tcPr>
            <w:tcW w:w="917" w:type="dxa"/>
            <w:vMerge w:val="restart"/>
            <w:tcBorders>
              <w:left w:val="nil"/>
              <w:bottom w:val="nil"/>
              <w:right w:val="single" w:color="000000" w:sz="12" w:space="0"/>
            </w:tcBorders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 w:firstLine="440" w:firstLineChars="20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position w:val="0"/>
                <w:sz w:val="22"/>
              </w:rPr>
            </w:pPr>
          </w:p>
        </w:tc>
        <w:tc>
          <w:tcPr>
            <w:tcW w:w="1702" w:type="dxa"/>
            <w:gridSpan w:val="2"/>
            <w:tcBorders>
              <w:top w:val="single" w:color="000000" w:sz="18" w:space="0"/>
              <w:left w:val="single" w:color="000000" w:sz="12" w:space="0"/>
              <w:bottom w:val="single" w:color="000000" w:sz="12" w:space="0"/>
              <w:right w:val="double" w:color="000000" w:sz="2" w:space="0"/>
            </w:tcBorders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 w:firstLine="420" w:firstLineChars="20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position w:val="0"/>
                <w:sz w:val="20"/>
              </w:rPr>
            </w:pPr>
            <w:r>
              <w:rPr>
                <w:rFonts w:hint="eastAsia" w:ascii="SimHei" w:hAnsi="SimHei" w:eastAsia="黑体" w:cs="楷体"/>
                <w:spacing w:val="0"/>
                <w:w w:val="105"/>
                <w:position w:val="0"/>
                <w:sz w:val="20"/>
              </w:rPr>
              <w:t>设计师 A</w:t>
            </w:r>
          </w:p>
        </w:tc>
        <w:tc>
          <w:tcPr>
            <w:tcW w:w="1572" w:type="dxa"/>
            <w:gridSpan w:val="2"/>
            <w:tcBorders>
              <w:top w:val="single" w:color="000000" w:sz="18" w:space="0"/>
              <w:left w:val="double" w:color="000000" w:sz="2" w:space="0"/>
              <w:bottom w:val="single" w:color="000000" w:sz="12" w:space="0"/>
              <w:right w:val="single" w:color="000000" w:sz="12" w:space="0"/>
            </w:tcBorders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 w:firstLine="420" w:firstLineChars="20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position w:val="0"/>
                <w:sz w:val="20"/>
              </w:rPr>
            </w:pPr>
            <w:r>
              <w:rPr>
                <w:rFonts w:hint="eastAsia" w:ascii="SimHei" w:hAnsi="SimHei" w:eastAsia="黑体" w:cs="楷体"/>
                <w:spacing w:val="0"/>
                <w:w w:val="105"/>
                <w:position w:val="0"/>
                <w:sz w:val="20"/>
              </w:rPr>
              <w:t>1500</w:t>
            </w:r>
          </w:p>
        </w:tc>
        <w:tc>
          <w:tcPr>
            <w:tcW w:w="1776" w:type="dxa"/>
            <w:gridSpan w:val="2"/>
            <w:tcBorders>
              <w:top w:val="single" w:color="000000" w:sz="18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 w:firstLine="420" w:firstLineChars="20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position w:val="0"/>
                <w:sz w:val="20"/>
              </w:rPr>
            </w:pPr>
            <w:r>
              <w:rPr>
                <w:rFonts w:hint="eastAsia" w:ascii="SimHei" w:hAnsi="SimHei" w:eastAsia="黑体" w:cs="楷体"/>
                <w:spacing w:val="0"/>
                <w:w w:val="105"/>
                <w:position w:val="0"/>
                <w:sz w:val="20"/>
              </w:rPr>
              <w:t>500</w:t>
            </w:r>
          </w:p>
        </w:tc>
        <w:tc>
          <w:tcPr>
            <w:tcW w:w="2760" w:type="dxa"/>
            <w:gridSpan w:val="2"/>
            <w:vMerge w:val="restart"/>
            <w:tcBorders>
              <w:left w:val="single" w:color="000000" w:sz="12" w:space="0"/>
              <w:bottom w:val="nil"/>
              <w:right w:val="nil"/>
            </w:tcBorders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 w:firstLine="440" w:firstLineChars="20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position w:val="0"/>
                <w:sz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  <w:jc w:val="center"/>
        </w:trPr>
        <w:tc>
          <w:tcPr>
            <w:tcW w:w="917" w:type="dxa"/>
            <w:vMerge w:val="continue"/>
            <w:tcBorders>
              <w:top w:val="nil"/>
              <w:left w:val="nil"/>
              <w:bottom w:val="nil"/>
              <w:right w:val="single" w:color="000000" w:sz="12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 w:firstLine="40" w:firstLineChars="20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position w:val="0"/>
                <w:sz w:val="2"/>
                <w:szCs w:val="2"/>
              </w:rPr>
            </w:pPr>
          </w:p>
        </w:tc>
        <w:tc>
          <w:tcPr>
            <w:tcW w:w="1702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double" w:color="000000" w:sz="2" w:space="0"/>
            </w:tcBorders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 w:firstLine="420" w:firstLineChars="20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position w:val="0"/>
                <w:sz w:val="20"/>
              </w:rPr>
            </w:pPr>
            <w:r>
              <w:rPr>
                <w:rFonts w:hint="eastAsia" w:ascii="SimHei" w:hAnsi="SimHei" w:eastAsia="黑体" w:cs="楷体"/>
                <w:spacing w:val="0"/>
                <w:w w:val="105"/>
                <w:position w:val="0"/>
                <w:sz w:val="20"/>
              </w:rPr>
              <w:t>设计师 B</w:t>
            </w:r>
          </w:p>
        </w:tc>
        <w:tc>
          <w:tcPr>
            <w:tcW w:w="1572" w:type="dxa"/>
            <w:gridSpan w:val="2"/>
            <w:tcBorders>
              <w:top w:val="single" w:color="000000" w:sz="12" w:space="0"/>
              <w:left w:val="double" w:color="000000" w:sz="2" w:space="0"/>
              <w:bottom w:val="single" w:color="000000" w:sz="12" w:space="0"/>
              <w:right w:val="single" w:color="000000" w:sz="12" w:space="0"/>
            </w:tcBorders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 w:firstLine="420" w:firstLineChars="20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position w:val="0"/>
                <w:sz w:val="20"/>
              </w:rPr>
            </w:pPr>
            <w:r>
              <w:rPr>
                <w:rFonts w:hint="eastAsia" w:ascii="SimHei" w:hAnsi="SimHei" w:eastAsia="黑体" w:cs="楷体"/>
                <w:spacing w:val="0"/>
                <w:w w:val="105"/>
                <w:position w:val="0"/>
                <w:sz w:val="20"/>
              </w:rPr>
              <w:t>1200</w:t>
            </w:r>
          </w:p>
        </w:tc>
        <w:tc>
          <w:tcPr>
            <w:tcW w:w="1776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 w:firstLine="420" w:firstLineChars="20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position w:val="0"/>
                <w:sz w:val="20"/>
              </w:rPr>
            </w:pPr>
            <w:r>
              <w:rPr>
                <w:rFonts w:hint="eastAsia" w:ascii="SimHei" w:hAnsi="SimHei" w:eastAsia="黑体" w:cs="楷体"/>
                <w:spacing w:val="0"/>
                <w:w w:val="105"/>
                <w:position w:val="0"/>
                <w:sz w:val="20"/>
              </w:rPr>
              <w:t>300</w:t>
            </w:r>
          </w:p>
        </w:tc>
        <w:tc>
          <w:tcPr>
            <w:tcW w:w="2760" w:type="dxa"/>
            <w:gridSpan w:val="2"/>
            <w:vMerge w:val="continue"/>
            <w:tcBorders>
              <w:top w:val="nil"/>
              <w:left w:val="single" w:color="000000" w:sz="12" w:space="0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 w:firstLine="40" w:firstLineChars="20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position w:val="0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  <w:jc w:val="center"/>
        </w:trPr>
        <w:tc>
          <w:tcPr>
            <w:tcW w:w="917" w:type="dxa"/>
            <w:vMerge w:val="continue"/>
            <w:tcBorders>
              <w:top w:val="nil"/>
              <w:left w:val="nil"/>
              <w:bottom w:val="nil"/>
              <w:right w:val="single" w:color="000000" w:sz="12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 w:firstLine="40" w:firstLineChars="20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position w:val="0"/>
                <w:sz w:val="2"/>
                <w:szCs w:val="2"/>
              </w:rPr>
            </w:pPr>
          </w:p>
        </w:tc>
        <w:tc>
          <w:tcPr>
            <w:tcW w:w="1702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double" w:color="000000" w:sz="2" w:space="0"/>
            </w:tcBorders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 w:firstLine="420" w:firstLineChars="20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position w:val="0"/>
                <w:sz w:val="20"/>
              </w:rPr>
            </w:pPr>
            <w:r>
              <w:rPr>
                <w:rFonts w:hint="eastAsia" w:ascii="SimHei" w:hAnsi="SimHei" w:eastAsia="黑体" w:cs="楷体"/>
                <w:spacing w:val="0"/>
                <w:w w:val="105"/>
                <w:position w:val="0"/>
                <w:sz w:val="20"/>
              </w:rPr>
              <w:t>助理设计师 A</w:t>
            </w:r>
          </w:p>
        </w:tc>
        <w:tc>
          <w:tcPr>
            <w:tcW w:w="1572" w:type="dxa"/>
            <w:gridSpan w:val="2"/>
            <w:tcBorders>
              <w:top w:val="single" w:color="000000" w:sz="12" w:space="0"/>
              <w:left w:val="double" w:color="000000" w:sz="2" w:space="0"/>
              <w:bottom w:val="single" w:color="000000" w:sz="12" w:space="0"/>
              <w:right w:val="single" w:color="000000" w:sz="12" w:space="0"/>
            </w:tcBorders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 w:firstLine="420" w:firstLineChars="20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position w:val="0"/>
                <w:sz w:val="20"/>
              </w:rPr>
            </w:pPr>
            <w:r>
              <w:rPr>
                <w:rFonts w:hint="eastAsia" w:ascii="SimHei" w:hAnsi="SimHei" w:eastAsia="黑体" w:cs="楷体"/>
                <w:spacing w:val="0"/>
                <w:w w:val="105"/>
                <w:position w:val="0"/>
                <w:sz w:val="20"/>
              </w:rPr>
              <w:t>1000</w:t>
            </w:r>
          </w:p>
        </w:tc>
        <w:tc>
          <w:tcPr>
            <w:tcW w:w="1776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 w:firstLine="440" w:firstLineChars="20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position w:val="0"/>
                <w:sz w:val="22"/>
              </w:rPr>
            </w:pPr>
          </w:p>
        </w:tc>
        <w:tc>
          <w:tcPr>
            <w:tcW w:w="2760" w:type="dxa"/>
            <w:gridSpan w:val="2"/>
            <w:vMerge w:val="continue"/>
            <w:tcBorders>
              <w:top w:val="nil"/>
              <w:left w:val="single" w:color="000000" w:sz="12" w:space="0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 w:firstLine="40" w:firstLineChars="20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position w:val="0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  <w:jc w:val="center"/>
        </w:trPr>
        <w:tc>
          <w:tcPr>
            <w:tcW w:w="917" w:type="dxa"/>
            <w:vMerge w:val="continue"/>
            <w:tcBorders>
              <w:top w:val="nil"/>
              <w:left w:val="nil"/>
              <w:bottom w:val="nil"/>
              <w:right w:val="single" w:color="000000" w:sz="12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 w:firstLine="40" w:firstLineChars="20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position w:val="0"/>
                <w:sz w:val="2"/>
                <w:szCs w:val="2"/>
              </w:rPr>
            </w:pPr>
          </w:p>
        </w:tc>
        <w:tc>
          <w:tcPr>
            <w:tcW w:w="1702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double" w:color="000000" w:sz="2" w:space="0"/>
            </w:tcBorders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 w:firstLine="420" w:firstLineChars="20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position w:val="0"/>
                <w:sz w:val="20"/>
              </w:rPr>
            </w:pPr>
            <w:r>
              <w:rPr>
                <w:rFonts w:hint="eastAsia" w:ascii="SimHei" w:hAnsi="SimHei" w:eastAsia="黑体" w:cs="楷体"/>
                <w:spacing w:val="0"/>
                <w:w w:val="105"/>
                <w:position w:val="0"/>
                <w:sz w:val="20"/>
              </w:rPr>
              <w:t>助理设计师 B</w:t>
            </w:r>
          </w:p>
        </w:tc>
        <w:tc>
          <w:tcPr>
            <w:tcW w:w="1572" w:type="dxa"/>
            <w:gridSpan w:val="2"/>
            <w:tcBorders>
              <w:top w:val="single" w:color="000000" w:sz="12" w:space="0"/>
              <w:left w:val="double" w:color="000000" w:sz="2" w:space="0"/>
              <w:bottom w:val="single" w:color="000000" w:sz="12" w:space="0"/>
              <w:right w:val="single" w:color="000000" w:sz="12" w:space="0"/>
            </w:tcBorders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 w:firstLine="420" w:firstLineChars="20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position w:val="0"/>
                <w:sz w:val="20"/>
              </w:rPr>
            </w:pPr>
            <w:r>
              <w:rPr>
                <w:rFonts w:hint="eastAsia" w:ascii="SimHei" w:hAnsi="SimHei" w:eastAsia="黑体" w:cs="楷体"/>
                <w:spacing w:val="0"/>
                <w:w w:val="105"/>
                <w:position w:val="0"/>
                <w:sz w:val="20"/>
              </w:rPr>
              <w:t>800</w:t>
            </w:r>
          </w:p>
        </w:tc>
        <w:tc>
          <w:tcPr>
            <w:tcW w:w="1776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 w:firstLine="440" w:firstLineChars="20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position w:val="0"/>
                <w:sz w:val="22"/>
              </w:rPr>
            </w:pPr>
          </w:p>
        </w:tc>
        <w:tc>
          <w:tcPr>
            <w:tcW w:w="2760" w:type="dxa"/>
            <w:gridSpan w:val="2"/>
            <w:vMerge w:val="continue"/>
            <w:tcBorders>
              <w:top w:val="nil"/>
              <w:left w:val="single" w:color="000000" w:sz="12" w:space="0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 w:firstLine="40" w:firstLineChars="200"/>
              <w:jc w:val="both"/>
              <w:textAlignment w:val="auto"/>
              <w:rPr>
                <w:rFonts w:hint="eastAsia" w:ascii="楷体" w:hAnsi="楷体" w:eastAsia="楷体" w:cs="楷体"/>
                <w:spacing w:val="0"/>
                <w:position w:val="0"/>
                <w:sz w:val="2"/>
                <w:szCs w:val="2"/>
              </w:rPr>
            </w:pP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20" w:firstLineChars="200"/>
        <w:jc w:val="both"/>
        <w:textAlignment w:val="auto"/>
        <w:rPr>
          <w:rFonts w:hint="eastAsia" w:ascii="楷体" w:hAnsi="楷体" w:eastAsia="楷体" w:cs="楷体"/>
          <w:spacing w:val="0"/>
          <w:position w:val="0"/>
          <w:sz w:val="21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pacing w:val="0"/>
          <w:position w:val="0"/>
        </w:rPr>
      </w:pPr>
      <w:r>
        <w:rPr>
          <w:rFonts w:hint="eastAsia" w:ascii="SimHei" w:hAnsi="SimHei" w:eastAsia="黑体" w:cs="楷体"/>
          <w:spacing w:val="0"/>
          <w:position w:val="0"/>
        </w:rPr>
        <w:t>基本工资与岗位奖金每月发放，岗位奖金在半年度项目产值提成结算时扣除。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4" w:firstLineChars="200"/>
        <w:jc w:val="both"/>
        <w:textAlignment w:val="auto"/>
        <w:rPr>
          <w:rFonts w:hint="eastAsia" w:ascii="楷体" w:hAnsi="楷体" w:eastAsia="楷体" w:cs="楷体"/>
          <w:b/>
          <w:spacing w:val="0"/>
          <w:position w:val="0"/>
          <w:sz w:val="23"/>
        </w:rPr>
      </w:pPr>
      <w:r>
        <w:rPr>
          <w:rFonts w:hint="eastAsia" w:ascii="SimHei" w:hAnsi="SimHei" w:eastAsia="黑体" w:cs="楷体"/>
          <w:b/>
          <w:spacing w:val="0"/>
          <w:w w:val="105"/>
          <w:position w:val="0"/>
          <w:sz w:val="23"/>
        </w:rPr>
        <w:t>第十条 项目产值提成的计算与发放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pacing w:val="0"/>
          <w:position w:val="0"/>
          <w:sz w:val="20"/>
        </w:rPr>
      </w:pPr>
      <w:r>
        <w:rPr>
          <w:rFonts w:hint="eastAsia" w:ascii="SimHei" w:hAnsi="SimHei" w:eastAsia="黑体" w:cs="楷体"/>
          <w:spacing w:val="0"/>
          <w:position w:val="0"/>
        </w:rPr>
        <w:t>生产人员项目产值提成=（项目产值-3 万元）</w:t>
      </w:r>
      <w:r>
        <w:rPr>
          <w:rFonts w:hint="eastAsia" w:ascii="SimHei" w:hAnsi="SimHei" w:eastAsia="黑体" w:cs="楷体"/>
          <w:spacing w:val="0"/>
          <w:position w:val="0"/>
          <w:sz w:val="20"/>
        </w:rPr>
        <w:t>×0.28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pacing w:val="0"/>
          <w:position w:val="0"/>
        </w:rPr>
      </w:pPr>
      <w:r>
        <w:rPr>
          <w:rFonts w:hint="eastAsia" w:ascii="SimHei" w:hAnsi="SimHei" w:eastAsia="黑体" w:cs="楷体"/>
          <w:spacing w:val="0"/>
          <w:position w:val="0"/>
        </w:rPr>
        <w:t>其中项目产值为当年度生产人员可供提成的项目产值；3 万元为不提成产值；0.28 为提成系数。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pacing w:val="0"/>
          <w:position w:val="0"/>
        </w:rPr>
      </w:pPr>
      <w:r>
        <w:rPr>
          <w:rFonts w:hint="eastAsia" w:ascii="SimHei" w:hAnsi="SimHei" w:eastAsia="黑体" w:cs="楷体"/>
          <w:spacing w:val="0"/>
          <w:position w:val="0"/>
        </w:rPr>
        <w:t>项目产值提成每半年度汇总测算并发放。其中前评估部分产值（项目产值的85%）全部发放；后评估部分产值（项目产值的 15%）中的 5%作为所长基金，所得提成由所长在全所范围内调剂发放，其余 10%根据后续服务工作情况发放。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4" w:firstLineChars="200"/>
        <w:jc w:val="both"/>
        <w:textAlignment w:val="auto"/>
        <w:rPr>
          <w:rFonts w:hint="eastAsia" w:ascii="楷体" w:hAnsi="楷体" w:eastAsia="楷体" w:cs="楷体"/>
          <w:b/>
          <w:spacing w:val="0"/>
          <w:position w:val="0"/>
          <w:sz w:val="23"/>
        </w:rPr>
      </w:pPr>
      <w:r>
        <w:rPr>
          <w:rFonts w:hint="eastAsia" w:ascii="SimHei" w:hAnsi="SimHei" w:eastAsia="黑体" w:cs="楷体"/>
          <w:b/>
          <w:spacing w:val="0"/>
          <w:w w:val="105"/>
          <w:position w:val="0"/>
          <w:sz w:val="23"/>
        </w:rPr>
        <w:t>第十一条  项目产值的测算</w:t>
      </w:r>
      <w:r>
        <w:rPr>
          <w:rFonts w:hint="eastAsia" w:ascii="SimHei" w:hAnsi="SimHei" w:eastAsia="黑体" w:cs="楷体"/>
          <w:b/>
          <w:spacing w:val="0"/>
          <w:position w:val="0"/>
          <w:sz w:val="23"/>
        </w:rPr>
        <w:t>1、单个项目产值的测算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pacing w:val="0"/>
          <w:position w:val="0"/>
        </w:rPr>
      </w:pPr>
      <w:r>
        <w:rPr>
          <w:rFonts w:hint="eastAsia" w:ascii="SimHei" w:hAnsi="SimHei" w:eastAsia="黑体" w:cs="楷体"/>
          <w:spacing w:val="0"/>
          <w:position w:val="0"/>
        </w:rPr>
        <w:t>根据院设定的该项目信息指导价，提取 8%为方案创作产值，提取 3%为项目管理产值。剩余为项目产值。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pacing w:val="0"/>
          <w:position w:val="0"/>
          <w:sz w:val="24"/>
        </w:rPr>
      </w:pPr>
      <w:r>
        <w:rPr>
          <w:rFonts w:hint="eastAsia" w:ascii="SimHei" w:hAnsi="SimHei" w:eastAsia="黑体" w:cs="楷体"/>
          <w:spacing w:val="0"/>
          <w:position w:val="0"/>
        </w:rPr>
        <w:t>其中在测算项目组实际产值时，应考虑项目考核因素，根据公式</w:t>
      </w:r>
      <w:r>
        <w:rPr>
          <w:rFonts w:hint="eastAsia" w:ascii="SimHei" w:hAnsi="SimHei" w:eastAsia="黑体" w:cs="楷体"/>
          <w:b/>
          <w:spacing w:val="0"/>
          <w:position w:val="0"/>
          <w:sz w:val="23"/>
          <w:u w:val="single"/>
        </w:rPr>
        <w:t>项目实际产值</w:t>
      </w:r>
      <w:r>
        <w:rPr>
          <w:rFonts w:hint="eastAsia" w:ascii="SimHei" w:hAnsi="SimHei" w:eastAsia="黑体" w:cs="楷体"/>
          <w:b/>
          <w:spacing w:val="0"/>
          <w:w w:val="103"/>
          <w:position w:val="0"/>
          <w:sz w:val="23"/>
          <w:u w:val="single"/>
        </w:rPr>
        <w:t>=K</w:t>
      </w:r>
      <w:r>
        <w:rPr>
          <w:rFonts w:hint="eastAsia" w:ascii="SimHei" w:hAnsi="SimHei" w:eastAsia="黑体" w:cs="楷体"/>
          <w:b/>
          <w:spacing w:val="0"/>
          <w:w w:val="108"/>
          <w:position w:val="0"/>
          <w:sz w:val="11"/>
          <w:u w:val="single"/>
        </w:rPr>
        <w:t>0</w:t>
      </w:r>
      <w:r>
        <w:rPr>
          <w:rFonts w:hint="eastAsia" w:ascii="SimHei" w:hAnsi="SimHei" w:eastAsia="黑体" w:cs="楷体"/>
          <w:b/>
          <w:spacing w:val="0"/>
          <w:w w:val="103"/>
          <w:position w:val="0"/>
          <w:sz w:val="23"/>
          <w:u w:val="single"/>
        </w:rPr>
        <w:t>×项目产</w:t>
      </w:r>
      <w:r>
        <w:rPr>
          <w:rFonts w:hint="eastAsia" w:ascii="SimHei" w:hAnsi="SimHei" w:eastAsia="黑体" w:cs="楷体"/>
          <w:b/>
          <w:spacing w:val="0"/>
          <w:w w:val="103"/>
          <w:position w:val="0"/>
          <w:sz w:val="23"/>
        </w:rPr>
        <w:t>值</w:t>
      </w:r>
      <w:r>
        <w:rPr>
          <w:rFonts w:hint="eastAsia" w:ascii="SimHei" w:hAnsi="SimHei" w:eastAsia="黑体" w:cs="楷体"/>
          <w:spacing w:val="0"/>
          <w:position w:val="0"/>
          <w:sz w:val="24"/>
        </w:rPr>
        <w:t>计算。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pacing w:val="0"/>
          <w:position w:val="0"/>
        </w:rPr>
      </w:pPr>
      <w:r>
        <w:rPr>
          <w:rFonts w:hint="eastAsia" w:ascii="SimHei" w:hAnsi="SimHei" w:eastAsia="黑体" w:cs="楷体"/>
          <w:spacing w:val="0"/>
          <w:position w:val="0"/>
        </w:rPr>
        <w:t>其中 K</w:t>
      </w:r>
      <w:r>
        <w:rPr>
          <w:rFonts w:hint="eastAsia" w:ascii="SimHei" w:hAnsi="SimHei" w:eastAsia="黑体" w:cs="楷体"/>
          <w:spacing w:val="0"/>
          <w:position w:val="0"/>
          <w:sz w:val="12"/>
        </w:rPr>
        <w:t xml:space="preserve">0 </w:t>
      </w:r>
      <w:r>
        <w:rPr>
          <w:rFonts w:hint="eastAsia" w:ascii="SimHei" w:hAnsi="SimHei" w:eastAsia="黑体" w:cs="楷体"/>
          <w:spacing w:val="0"/>
          <w:position w:val="0"/>
        </w:rPr>
        <w:t>为项目考核系数，详细内容见《绩效考核制度》。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4" w:firstLineChars="200"/>
        <w:jc w:val="both"/>
        <w:textAlignment w:val="auto"/>
        <w:rPr>
          <w:rFonts w:hint="eastAsia" w:ascii="楷体" w:hAnsi="楷体" w:eastAsia="楷体" w:cs="楷体"/>
          <w:b/>
          <w:spacing w:val="0"/>
          <w:position w:val="0"/>
          <w:sz w:val="23"/>
        </w:rPr>
      </w:pPr>
      <w:r>
        <w:rPr>
          <w:rFonts w:hint="eastAsia" w:ascii="SimHei" w:hAnsi="SimHei" w:eastAsia="黑体" w:cs="楷体"/>
          <w:b/>
          <w:spacing w:val="0"/>
          <w:w w:val="105"/>
          <w:position w:val="0"/>
          <w:sz w:val="23"/>
        </w:rPr>
        <w:t>2、创作室员工个人产值的测算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pacing w:val="0"/>
          <w:position w:val="0"/>
        </w:rPr>
      </w:pPr>
      <w:r>
        <w:rPr>
          <w:rFonts w:hint="eastAsia" w:ascii="SimHei" w:hAnsi="SimHei" w:eastAsia="黑体" w:cs="楷体"/>
          <w:spacing w:val="0"/>
          <w:position w:val="0"/>
        </w:rPr>
        <w:t>创意室方案创作人员的产值收入可以按照如下方式确定：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pacing w:val="0"/>
          <w:position w:val="0"/>
        </w:rPr>
      </w:pPr>
      <w:r>
        <w:rPr>
          <w:rFonts w:hint="eastAsia" w:ascii="SimHei" w:hAnsi="SimHei" w:eastAsia="黑体" w:cs="楷体"/>
          <w:spacing w:val="0"/>
          <w:position w:val="0"/>
        </w:rPr>
        <w:t>（1）对参与投标的项目，如果是只含方案设计的项目，中标后按照项目产值计；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pacing w:val="0"/>
          <w:position w:val="0"/>
        </w:rPr>
      </w:pPr>
      <w:r>
        <w:rPr>
          <w:rFonts w:hint="eastAsia" w:ascii="SimHei" w:hAnsi="SimHei" w:eastAsia="黑体" w:cs="楷体"/>
          <w:spacing w:val="0"/>
          <w:position w:val="0"/>
        </w:rPr>
        <w:t>（2）如果没有中标，院里给予创作补贴，补贴来源方案创作产值，为项目信息指导价的 8%。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pacing w:val="0"/>
          <w:position w:val="0"/>
        </w:rPr>
      </w:pPr>
      <w:r>
        <w:rPr>
          <w:rFonts w:hint="eastAsia" w:ascii="SimHei" w:hAnsi="SimHei" w:eastAsia="黑体" w:cs="楷体"/>
          <w:spacing w:val="0"/>
          <w:position w:val="0"/>
        </w:rPr>
        <w:t>（3）对于既含有方案设计又含有施工图设计的项目，创意室方案设计人员中标后可获得为该方案的创作基金＋建筑所分割的产值，即项目信息指导价×8%＋建筑所项目信息指导价×30%。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4" w:firstLineChars="200"/>
        <w:jc w:val="both"/>
        <w:textAlignment w:val="auto"/>
        <w:rPr>
          <w:rFonts w:hint="eastAsia" w:ascii="楷体" w:hAnsi="楷体" w:eastAsia="楷体" w:cs="楷体"/>
          <w:b/>
          <w:spacing w:val="0"/>
          <w:position w:val="0"/>
          <w:sz w:val="23"/>
        </w:rPr>
      </w:pPr>
      <w:r>
        <w:rPr>
          <w:rFonts w:hint="eastAsia" w:ascii="SimHei" w:hAnsi="SimHei" w:eastAsia="黑体" w:cs="楷体"/>
          <w:b/>
          <w:spacing w:val="0"/>
          <w:w w:val="105"/>
          <w:position w:val="0"/>
          <w:sz w:val="23"/>
        </w:rPr>
        <w:t>3、专业所员工个人单个项目产值的测算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pacing w:val="0"/>
          <w:position w:val="0"/>
        </w:rPr>
      </w:pPr>
      <w:r>
        <w:rPr>
          <w:rFonts w:hint="eastAsia" w:ascii="SimHei" w:hAnsi="SimHei" w:eastAsia="黑体" w:cs="楷体"/>
          <w:spacing w:val="0"/>
          <w:position w:val="0"/>
        </w:rPr>
        <w:t>个人单个项目产值=项目产值×专业工比×个人工比×95%×K</w:t>
      </w:r>
      <w:r>
        <w:rPr>
          <w:rFonts w:hint="eastAsia" w:ascii="SimHei" w:hAnsi="SimHei" w:eastAsia="黑体" w:cs="楷体"/>
          <w:spacing w:val="0"/>
          <w:position w:val="0"/>
          <w:sz w:val="12"/>
        </w:rPr>
        <w:t>1</w:t>
      </w:r>
      <w:r>
        <w:rPr>
          <w:rFonts w:hint="eastAsia" w:ascii="SimHei" w:hAnsi="SimHei" w:eastAsia="黑体" w:cs="楷体"/>
          <w:spacing w:val="0"/>
          <w:position w:val="0"/>
        </w:rPr>
        <w:t>担任助理设计师 B、助理设计师 A 岗位人员的个人单个项目产值还应分别提取40%、30%给相应的师父。上述公式中：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pacing w:val="0"/>
          <w:position w:val="0"/>
        </w:rPr>
      </w:pPr>
      <w:r>
        <w:rPr>
          <w:rFonts w:hint="eastAsia" w:ascii="SimHei" w:hAnsi="SimHei" w:eastAsia="黑体" w:cs="楷体"/>
          <w:spacing w:val="0"/>
          <w:position w:val="0"/>
        </w:rPr>
        <w:t>（1）专业工比为建筑、结构、设备（不含暖通）=42：38：20。建筑专业中30%为方案创作工作工比。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pacing w:val="0"/>
          <w:position w:val="0"/>
        </w:rPr>
      </w:pPr>
      <w:r>
        <w:rPr>
          <w:rFonts w:hint="eastAsia" w:ascii="SimHei" w:hAnsi="SimHei" w:eastAsia="黑体" w:cs="楷体"/>
          <w:spacing w:val="0"/>
          <w:position w:val="0"/>
        </w:rPr>
        <w:t>（2）个人工比按照《民用建筑设计劳动定额（2000 版）》中规定执行。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pacing w:val="0"/>
          <w:position w:val="0"/>
        </w:rPr>
      </w:pPr>
      <w:r>
        <w:rPr>
          <w:rFonts w:hint="eastAsia" w:ascii="SimHei" w:hAnsi="SimHei" w:eastAsia="黑体" w:cs="楷体"/>
          <w:spacing w:val="0"/>
          <w:position w:val="0"/>
        </w:rPr>
        <w:t>（3）95%为提取 5%作为专业所所长产值所做的调整。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pacing w:val="0"/>
          <w:position w:val="0"/>
        </w:rPr>
      </w:pPr>
      <w:r>
        <w:rPr>
          <w:rFonts w:hint="eastAsia" w:ascii="SimHei" w:hAnsi="SimHei" w:eastAsia="黑体" w:cs="楷体"/>
          <w:spacing w:val="0"/>
          <w:position w:val="0"/>
        </w:rPr>
        <w:t>（4）K</w:t>
      </w:r>
      <w:r>
        <w:rPr>
          <w:rFonts w:hint="eastAsia" w:ascii="SimHei" w:hAnsi="SimHei" w:eastAsia="黑体" w:cs="楷体"/>
          <w:spacing w:val="0"/>
          <w:position w:val="0"/>
          <w:sz w:val="12"/>
        </w:rPr>
        <w:t xml:space="preserve">1 </w:t>
      </w:r>
      <w:r>
        <w:rPr>
          <w:rFonts w:hint="eastAsia" w:ascii="SimHei" w:hAnsi="SimHei" w:eastAsia="黑体" w:cs="楷体"/>
          <w:spacing w:val="0"/>
          <w:position w:val="0"/>
        </w:rPr>
        <w:t>为个人项目考核系数，详细内容见《绩效考核制度》。同时，每一项目内所有参设人员的个人项目产值之和（未乘 95%之前的数字），不能高于经过项目考核调整后形成的该项目实际产值。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4" w:firstLineChars="200"/>
        <w:jc w:val="both"/>
        <w:textAlignment w:val="auto"/>
        <w:rPr>
          <w:rFonts w:hint="eastAsia" w:ascii="楷体" w:hAnsi="楷体" w:eastAsia="楷体" w:cs="楷体"/>
          <w:b/>
          <w:spacing w:val="0"/>
          <w:position w:val="0"/>
          <w:sz w:val="23"/>
        </w:rPr>
      </w:pPr>
      <w:r>
        <w:rPr>
          <w:rFonts w:hint="eastAsia" w:ascii="SimHei" w:hAnsi="SimHei" w:eastAsia="黑体" w:cs="楷体"/>
          <w:b/>
          <w:spacing w:val="0"/>
          <w:w w:val="105"/>
          <w:position w:val="0"/>
          <w:sz w:val="23"/>
        </w:rPr>
        <w:t>3、专业所所长、创意室主任个人产值的测算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b/>
          <w:spacing w:val="0"/>
          <w:position w:val="0"/>
          <w:sz w:val="23"/>
        </w:rPr>
      </w:pPr>
      <w:r>
        <w:rPr>
          <w:rFonts w:hint="eastAsia" w:ascii="SimHei" w:hAnsi="SimHei" w:eastAsia="黑体" w:cs="楷体"/>
          <w:spacing w:val="0"/>
          <w:position w:val="0"/>
          <w:sz w:val="24"/>
        </w:rPr>
        <w:t>专业所所长、创意室主任项目产值=</w:t>
      </w:r>
      <w:r>
        <w:rPr>
          <w:rFonts w:hint="eastAsia" w:ascii="SimHei" w:hAnsi="SimHei" w:eastAsia="黑体" w:cs="楷体"/>
          <w:b/>
          <w:spacing w:val="0"/>
          <w:position w:val="0"/>
          <w:sz w:val="23"/>
        </w:rPr>
        <w:t>个人项目产值+专业所产值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pacing w:val="0"/>
          <w:position w:val="0"/>
        </w:rPr>
      </w:pPr>
      <w:r>
        <w:rPr>
          <w:rFonts w:hint="eastAsia" w:ascii="SimHei" w:hAnsi="SimHei" w:eastAsia="黑体" w:cs="楷体"/>
          <w:spacing w:val="0"/>
          <w:position w:val="0"/>
        </w:rPr>
        <w:t>其中专业所产值为全所的 5%，个人项目产值按照本条第 2 款规定的方式确定。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4" w:firstLineChars="200"/>
        <w:jc w:val="both"/>
        <w:textAlignment w:val="auto"/>
        <w:rPr>
          <w:rFonts w:hint="eastAsia" w:ascii="楷体" w:hAnsi="楷体" w:eastAsia="楷体" w:cs="楷体"/>
          <w:b/>
          <w:spacing w:val="0"/>
          <w:position w:val="0"/>
          <w:sz w:val="23"/>
        </w:rPr>
      </w:pPr>
      <w:r>
        <w:rPr>
          <w:rFonts w:hint="eastAsia" w:ascii="SimHei" w:hAnsi="SimHei" w:eastAsia="黑体" w:cs="楷体"/>
          <w:b/>
          <w:spacing w:val="0"/>
          <w:w w:val="105"/>
          <w:position w:val="0"/>
          <w:sz w:val="23"/>
        </w:rPr>
        <w:t>4、项目负责人的产值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pacing w:val="0"/>
          <w:position w:val="0"/>
          <w:sz w:val="24"/>
        </w:rPr>
      </w:pPr>
      <w:r>
        <w:rPr>
          <w:rFonts w:hint="eastAsia" w:ascii="SimHei" w:hAnsi="SimHei" w:eastAsia="黑体" w:cs="楷体"/>
          <w:spacing w:val="0"/>
          <w:position w:val="0"/>
        </w:rPr>
        <w:t>担任项目负责人的根据负责项目的信息指导价，提取 3%为项目管理产值。其中在测算项目负责人实际产值时，应考虑项目考核因素，根据公式</w:t>
      </w:r>
      <w:r>
        <w:rPr>
          <w:rFonts w:hint="eastAsia" w:ascii="SimHei" w:hAnsi="SimHei" w:eastAsia="黑体" w:cs="楷体"/>
          <w:b/>
          <w:spacing w:val="0"/>
          <w:position w:val="0"/>
          <w:sz w:val="23"/>
          <w:u w:val="single"/>
        </w:rPr>
        <w:t>项目管理</w:t>
      </w:r>
      <w:r>
        <w:rPr>
          <w:rFonts w:hint="eastAsia" w:ascii="SimHei" w:hAnsi="SimHei" w:eastAsia="黑体" w:cs="楷体"/>
          <w:b/>
          <w:spacing w:val="0"/>
          <w:w w:val="105"/>
          <w:position w:val="0"/>
          <w:sz w:val="23"/>
          <w:u w:val="single"/>
        </w:rPr>
        <w:t>实际产值=K0×项目管理产</w:t>
      </w:r>
      <w:r>
        <w:rPr>
          <w:rFonts w:hint="eastAsia" w:ascii="SimHei" w:hAnsi="SimHei" w:eastAsia="黑体" w:cs="楷体"/>
          <w:b/>
          <w:spacing w:val="0"/>
          <w:w w:val="105"/>
          <w:position w:val="0"/>
          <w:sz w:val="23"/>
        </w:rPr>
        <w:t>值</w:t>
      </w:r>
      <w:r>
        <w:rPr>
          <w:rFonts w:hint="eastAsia" w:ascii="SimHei" w:hAnsi="SimHei" w:eastAsia="黑体" w:cs="楷体"/>
          <w:spacing w:val="0"/>
          <w:w w:val="105"/>
          <w:position w:val="0"/>
          <w:sz w:val="24"/>
        </w:rPr>
        <w:t>计算。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pacing w:val="0"/>
          <w:position w:val="0"/>
        </w:rPr>
      </w:pPr>
      <w:r>
        <w:rPr>
          <w:rFonts w:hint="eastAsia" w:ascii="SimHei" w:hAnsi="SimHei" w:eastAsia="黑体" w:cs="楷体"/>
          <w:spacing w:val="0"/>
          <w:position w:val="0"/>
        </w:rPr>
        <w:t>其中 K0 为项目考核系数，详细内容见《绩效考核制度》。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4" w:firstLineChars="200"/>
        <w:jc w:val="both"/>
        <w:textAlignment w:val="auto"/>
        <w:rPr>
          <w:rFonts w:hint="eastAsia" w:ascii="楷体" w:hAnsi="楷体" w:eastAsia="楷体" w:cs="楷体"/>
          <w:b/>
          <w:spacing w:val="0"/>
          <w:position w:val="0"/>
          <w:sz w:val="23"/>
        </w:rPr>
      </w:pPr>
      <w:r>
        <w:rPr>
          <w:rFonts w:hint="eastAsia" w:ascii="SimHei" w:hAnsi="SimHei" w:eastAsia="黑体" w:cs="楷体"/>
          <w:b/>
          <w:spacing w:val="0"/>
          <w:w w:val="105"/>
          <w:position w:val="0"/>
          <w:sz w:val="23"/>
        </w:rPr>
        <w:t>5、发放期内项目产值的汇总测算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pacing w:val="0"/>
          <w:position w:val="0"/>
        </w:rPr>
      </w:pPr>
      <w:r>
        <w:rPr>
          <w:rFonts w:hint="eastAsia" w:ascii="SimHei" w:hAnsi="SimHei" w:eastAsia="黑体" w:cs="楷体"/>
          <w:spacing w:val="0"/>
          <w:position w:val="0"/>
        </w:rPr>
        <w:t>单个项目根据《绩效考核制度》在每个项目符合前评估、后评估要求后，即进行考核、测算，分别测算每个员工的项目产值，半年度进行汇总。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pacing w:val="0"/>
          <w:position w:val="0"/>
        </w:rPr>
      </w:pPr>
      <w:r>
        <w:rPr>
          <w:rFonts w:hint="eastAsia" w:ascii="SimHei" w:hAnsi="SimHei" w:eastAsia="黑体" w:cs="楷体"/>
          <w:spacing w:val="0"/>
          <w:position w:val="0"/>
        </w:rPr>
        <w:t>其中专业所所长、创意室主任的项目产值在半年度汇总后如超过本所平均产值1.8 倍，超出部分的个人项目产值按 6 折计算，4 折部分计算的提成并入所长基金。</w:t>
      </w:r>
    </w:p>
    <w:p>
      <w:pPr>
        <w:pStyle w:val="2"/>
        <w:keepNext w:val="0"/>
        <w:keepLines w:val="0"/>
        <w:pageBreakBefore w:val="0"/>
        <w:widowControl w:val="0"/>
        <w:tabs>
          <w:tab w:val="left" w:pos="119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leftChars="0" w:right="0" w:firstLine="0" w:firstLineChars="0"/>
        <w:jc w:val="center"/>
        <w:textAlignment w:val="auto"/>
        <w:rPr>
          <w:rFonts w:hint="eastAsia" w:ascii="楷体" w:hAnsi="楷体" w:eastAsia="楷体" w:cs="楷体"/>
          <w:b/>
          <w:bCs/>
          <w:spacing w:val="0"/>
          <w:w w:val="105"/>
          <w:position w:val="0"/>
        </w:rPr>
      </w:pPr>
      <w:r>
        <w:rPr>
          <w:rFonts w:hint="eastAsia" w:ascii="SimHei" w:hAnsi="SimHei" w:eastAsia="黑体" w:cs="楷体"/>
          <w:b/>
          <w:bCs/>
          <w:spacing w:val="0"/>
          <w:w w:val="105"/>
          <w:position w:val="0"/>
        </w:rPr>
        <w:t>第四章</w:t>
      </w:r>
      <w:r>
        <w:rPr>
          <w:rFonts w:hint="eastAsia" w:ascii="SimHei" w:hAnsi="SimHei" w:eastAsia="黑体" w:cs="楷体"/>
          <w:b/>
          <w:bCs/>
          <w:spacing w:val="0"/>
          <w:w w:val="105"/>
          <w:position w:val="0"/>
        </w:rPr>
        <w:tab/>
      </w:r>
      <w:r>
        <w:rPr>
          <w:rFonts w:hint="eastAsia" w:ascii="SimHei" w:hAnsi="SimHei" w:eastAsia="黑体" w:cs="楷体"/>
          <w:b/>
          <w:bCs/>
          <w:spacing w:val="0"/>
          <w:w w:val="105"/>
          <w:position w:val="0"/>
        </w:rPr>
        <w:t>其他人员收入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4" w:firstLineChars="200"/>
        <w:jc w:val="both"/>
        <w:textAlignment w:val="auto"/>
        <w:rPr>
          <w:rFonts w:hint="eastAsia" w:ascii="楷体" w:hAnsi="楷体" w:eastAsia="楷体" w:cs="楷体"/>
          <w:b/>
          <w:spacing w:val="0"/>
          <w:position w:val="0"/>
          <w:sz w:val="23"/>
        </w:rPr>
      </w:pPr>
      <w:r>
        <w:rPr>
          <w:rFonts w:hint="eastAsia" w:ascii="SimHei" w:hAnsi="SimHei" w:eastAsia="黑体" w:cs="楷体"/>
          <w:b/>
          <w:spacing w:val="0"/>
          <w:w w:val="105"/>
          <w:position w:val="0"/>
          <w:sz w:val="23"/>
        </w:rPr>
        <w:t>第十二条 年薪制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pacing w:val="0"/>
          <w:position w:val="0"/>
        </w:rPr>
      </w:pPr>
      <w:r>
        <w:rPr>
          <w:rFonts w:hint="eastAsia" w:ascii="SimHei" w:hAnsi="SimHei" w:eastAsia="黑体" w:cs="楷体"/>
          <w:spacing w:val="0"/>
          <w:position w:val="0"/>
        </w:rPr>
        <w:t>院长、副院长、总师室主任、总工、总建、办公室主任实施年薪制。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4" w:firstLineChars="200"/>
        <w:jc w:val="both"/>
        <w:textAlignment w:val="auto"/>
        <w:rPr>
          <w:rFonts w:hint="eastAsia" w:ascii="楷体" w:hAnsi="楷体" w:eastAsia="楷体" w:cs="楷体"/>
          <w:b/>
          <w:spacing w:val="0"/>
          <w:position w:val="0"/>
          <w:sz w:val="23"/>
        </w:rPr>
      </w:pPr>
      <w:r>
        <w:rPr>
          <w:rFonts w:hint="eastAsia" w:ascii="SimHei" w:hAnsi="SimHei" w:eastAsia="黑体" w:cs="楷体"/>
          <w:b/>
          <w:spacing w:val="0"/>
          <w:w w:val="105"/>
          <w:position w:val="0"/>
          <w:sz w:val="23"/>
          <w:u w:val="single"/>
        </w:rPr>
        <w:t>年薪总额＝基薪+风险收入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4" w:firstLineChars="200"/>
        <w:jc w:val="both"/>
        <w:textAlignment w:val="auto"/>
        <w:rPr>
          <w:rFonts w:hint="eastAsia" w:ascii="楷体" w:hAnsi="楷体" w:eastAsia="楷体" w:cs="楷体"/>
          <w:b/>
          <w:spacing w:val="0"/>
          <w:position w:val="0"/>
          <w:sz w:val="23"/>
        </w:rPr>
      </w:pPr>
      <w:r>
        <w:rPr>
          <w:rFonts w:hint="eastAsia" w:ascii="SimHei" w:hAnsi="SimHei" w:eastAsia="黑体" w:cs="楷体"/>
          <w:b/>
          <w:spacing w:val="0"/>
          <w:w w:val="105"/>
          <w:position w:val="0"/>
          <w:sz w:val="23"/>
          <w:u w:val="single"/>
        </w:rPr>
        <w:t>风险收入＝（年薪－基薪）*X*Y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pacing w:val="0"/>
          <w:position w:val="0"/>
        </w:rPr>
      </w:pPr>
      <w:r>
        <w:rPr>
          <w:rFonts w:hint="eastAsia" w:ascii="SimHei" w:hAnsi="SimHei" w:eastAsia="黑体" w:cs="楷体"/>
          <w:spacing w:val="0"/>
          <w:position w:val="0"/>
        </w:rPr>
        <w:t>其中：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pacing w:val="0"/>
          <w:position w:val="0"/>
        </w:rPr>
      </w:pPr>
      <w:r>
        <w:rPr>
          <w:rFonts w:hint="eastAsia" w:ascii="SimHei" w:hAnsi="SimHei" w:eastAsia="黑体" w:cs="楷体"/>
          <w:spacing w:val="0"/>
          <w:position w:val="0"/>
        </w:rPr>
        <w:t>1、年薪总额以当年度全院专业所所长的平均年收入为基数 1，按照院长 1.1， 副院长 1.0，总师室主任、总工、总建 1.1，办公室主任 0.5 的系数确定。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pacing w:val="0"/>
          <w:position w:val="0"/>
        </w:rPr>
      </w:pPr>
      <w:r>
        <w:rPr>
          <w:rFonts w:hint="eastAsia" w:ascii="SimHei" w:hAnsi="SimHei" w:eastAsia="黑体" w:cs="楷体"/>
          <w:spacing w:val="0"/>
          <w:position w:val="0"/>
        </w:rPr>
        <w:t>2、基薪为每月发放的固定收入，根据院长 5000/月、副院长 4500 元/月，总师室主任、总工、总建 4500 元/月，办公室主任 3000 元/月。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pacing w:val="0"/>
          <w:position w:val="0"/>
        </w:rPr>
      </w:pPr>
      <w:r>
        <w:rPr>
          <w:rFonts w:hint="eastAsia" w:ascii="SimHei" w:hAnsi="SimHei" w:eastAsia="黑体" w:cs="楷体"/>
          <w:spacing w:val="0"/>
          <w:position w:val="0"/>
        </w:rPr>
        <w:t>3、风险收入根据当年度绩效考核情况确定的 X、Y 的值，每年计算发放，详细内容见《绩效考核制度》。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4" w:firstLineChars="200"/>
        <w:jc w:val="both"/>
        <w:textAlignment w:val="auto"/>
        <w:rPr>
          <w:rFonts w:hint="eastAsia" w:ascii="楷体" w:hAnsi="楷体" w:eastAsia="楷体" w:cs="楷体"/>
          <w:b/>
          <w:spacing w:val="0"/>
          <w:position w:val="0"/>
          <w:sz w:val="23"/>
        </w:rPr>
      </w:pPr>
      <w:r>
        <w:rPr>
          <w:rFonts w:hint="eastAsia" w:ascii="SimHei" w:hAnsi="SimHei" w:eastAsia="黑体" w:cs="楷体"/>
          <w:b/>
          <w:spacing w:val="0"/>
          <w:w w:val="105"/>
          <w:position w:val="0"/>
          <w:sz w:val="23"/>
        </w:rPr>
        <w:t>第十三条 审图奖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pacing w:val="0"/>
          <w:position w:val="0"/>
        </w:rPr>
      </w:pPr>
      <w:r>
        <w:rPr>
          <w:rFonts w:hint="eastAsia" w:ascii="SimHei" w:hAnsi="SimHei" w:eastAsia="黑体" w:cs="楷体"/>
          <w:spacing w:val="0"/>
          <w:position w:val="0"/>
        </w:rPr>
        <w:t>审图工程师领取审图奖。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pacing w:val="0"/>
          <w:position w:val="0"/>
        </w:rPr>
      </w:pPr>
      <w:r>
        <w:rPr>
          <w:rFonts w:hint="eastAsia" w:ascii="SimHei" w:hAnsi="SimHei" w:eastAsia="黑体" w:cs="楷体"/>
          <w:spacing w:val="0"/>
          <w:position w:val="0"/>
        </w:rPr>
        <w:t>每月发放岗位工资 3000 元。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pacing w:val="0"/>
          <w:position w:val="0"/>
        </w:rPr>
      </w:pPr>
      <w:r>
        <w:rPr>
          <w:rFonts w:hint="eastAsia" w:ascii="SimHei" w:hAnsi="SimHei" w:eastAsia="黑体" w:cs="楷体"/>
          <w:spacing w:val="0"/>
          <w:position w:val="0"/>
        </w:rPr>
        <w:t>年终确定该年度参与审核的项目产值，结合年度考核结果计算审图奖：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pacing w:val="0"/>
          <w:position w:val="0"/>
        </w:rPr>
      </w:pPr>
      <w:r>
        <w:rPr>
          <w:rFonts w:hint="eastAsia" w:ascii="SimHei" w:hAnsi="SimHei" w:eastAsia="黑体" w:cs="楷体"/>
          <w:spacing w:val="0"/>
          <w:position w:val="0"/>
        </w:rPr>
        <w:t>审图奖=审图产值×30%×年度考核成绩，年度考核成绩的详细内容见《绩效考核制度》。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pacing w:val="0"/>
          <w:position w:val="0"/>
        </w:rPr>
      </w:pPr>
      <w:r>
        <w:rPr>
          <w:rFonts w:hint="eastAsia" w:ascii="SimHei" w:hAnsi="SimHei" w:eastAsia="黑体" w:cs="楷体"/>
          <w:spacing w:val="0"/>
          <w:position w:val="0"/>
        </w:rPr>
        <w:t>最后，根据个人审图产值提成－年度岗位工资总额，计算年底所得奖金。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4" w:firstLineChars="200"/>
        <w:jc w:val="both"/>
        <w:textAlignment w:val="auto"/>
        <w:rPr>
          <w:rFonts w:hint="eastAsia" w:ascii="楷体" w:hAnsi="楷体" w:eastAsia="楷体" w:cs="楷体"/>
          <w:b/>
          <w:spacing w:val="0"/>
          <w:position w:val="0"/>
          <w:sz w:val="23"/>
        </w:rPr>
      </w:pPr>
      <w:r>
        <w:rPr>
          <w:rFonts w:hint="eastAsia" w:ascii="SimHei" w:hAnsi="SimHei" w:eastAsia="黑体" w:cs="楷体"/>
          <w:b/>
          <w:spacing w:val="0"/>
          <w:w w:val="105"/>
          <w:position w:val="0"/>
          <w:sz w:val="23"/>
        </w:rPr>
        <w:t>第十四条 岗位工资制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pacing w:val="0"/>
          <w:position w:val="0"/>
        </w:rPr>
      </w:pPr>
      <w:r>
        <w:rPr>
          <w:rFonts w:hint="eastAsia" w:ascii="SimHei" w:hAnsi="SimHei" w:eastAsia="黑体" w:cs="楷体"/>
          <w:spacing w:val="0"/>
          <w:position w:val="0"/>
        </w:rPr>
        <w:t>行政助理、出纳、网络管理员、晒图员、司机、门卫、市场部总监实行岗位工资制。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pacing w:val="0"/>
          <w:position w:val="0"/>
        </w:rPr>
      </w:pPr>
      <w:r>
        <w:rPr>
          <w:rFonts w:hint="eastAsia" w:ascii="SimHei" w:hAnsi="SimHei" w:eastAsia="黑体" w:cs="楷体"/>
          <w:spacing w:val="0"/>
          <w:position w:val="0"/>
        </w:rPr>
        <w:t>其中行政助理、出纳、网络管理员、晒图员、司机、门卫岗位工资为 600-1200元/月，根据岗位的岗位职责、工作内容等确定其岗位工资；市场部总监为 3000 元/月。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pacing w:val="0"/>
          <w:position w:val="0"/>
        </w:rPr>
      </w:pPr>
      <w:r>
        <w:rPr>
          <w:rFonts w:hint="eastAsia" w:ascii="SimHei" w:hAnsi="SimHei" w:eastAsia="黑体" w:cs="楷体"/>
          <w:spacing w:val="0"/>
          <w:position w:val="0"/>
        </w:rPr>
        <w:t>岗位工资每月发放。同时根据个人考核情况调整下一考核周期的岗位工资发放，详细内容见《绩效考核制度》。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pacing w:val="0"/>
          <w:position w:val="0"/>
        </w:rPr>
      </w:pPr>
      <w:r>
        <w:rPr>
          <w:rFonts w:hint="eastAsia" w:ascii="SimHei" w:hAnsi="SimHei" w:eastAsia="黑体" w:cs="楷体"/>
          <w:spacing w:val="0"/>
          <w:position w:val="0"/>
        </w:rPr>
        <w:t>另外，视全院的整体运营情况决定发放一定的年终奖金。</w:t>
      </w:r>
    </w:p>
    <w:p>
      <w:pPr>
        <w:pStyle w:val="2"/>
        <w:keepNext w:val="0"/>
        <w:keepLines w:val="0"/>
        <w:pageBreakBefore w:val="0"/>
        <w:widowControl w:val="0"/>
        <w:tabs>
          <w:tab w:val="left" w:pos="119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leftChars="0" w:right="0" w:firstLine="0" w:firstLineChars="0"/>
        <w:jc w:val="center"/>
        <w:textAlignment w:val="auto"/>
        <w:rPr>
          <w:rFonts w:hint="eastAsia" w:ascii="楷体" w:hAnsi="楷体" w:eastAsia="楷体" w:cs="楷体"/>
          <w:b/>
          <w:bCs/>
          <w:spacing w:val="0"/>
          <w:w w:val="105"/>
          <w:position w:val="0"/>
        </w:rPr>
      </w:pPr>
      <w:r>
        <w:rPr>
          <w:rFonts w:hint="eastAsia" w:ascii="SimHei" w:hAnsi="SimHei" w:eastAsia="黑体" w:cs="楷体"/>
          <w:b/>
          <w:bCs/>
          <w:spacing w:val="0"/>
          <w:w w:val="105"/>
          <w:position w:val="0"/>
        </w:rPr>
        <w:t>第五章</w:t>
      </w:r>
      <w:r>
        <w:rPr>
          <w:rFonts w:hint="eastAsia" w:ascii="SimHei" w:hAnsi="SimHei" w:eastAsia="黑体" w:cs="楷体"/>
          <w:b/>
          <w:bCs/>
          <w:spacing w:val="0"/>
          <w:w w:val="105"/>
          <w:position w:val="0"/>
          <w:lang w:val="en-US" w:eastAsia="zh-CN"/>
        </w:rPr>
        <w:t xml:space="preserve"> </w:t>
      </w:r>
      <w:r>
        <w:rPr>
          <w:rFonts w:hint="eastAsia" w:ascii="SimHei" w:hAnsi="SimHei" w:eastAsia="黑体" w:cs="楷体"/>
          <w:b/>
          <w:bCs/>
          <w:spacing w:val="0"/>
          <w:w w:val="105"/>
          <w:position w:val="0"/>
        </w:rPr>
        <w:t>其他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4" w:firstLineChars="200"/>
        <w:jc w:val="both"/>
        <w:textAlignment w:val="auto"/>
        <w:rPr>
          <w:rFonts w:hint="eastAsia" w:ascii="楷体" w:hAnsi="楷体" w:eastAsia="楷体" w:cs="楷体"/>
          <w:b/>
          <w:spacing w:val="0"/>
          <w:position w:val="0"/>
          <w:sz w:val="23"/>
        </w:rPr>
      </w:pPr>
      <w:r>
        <w:rPr>
          <w:rFonts w:hint="eastAsia" w:ascii="SimHei" w:hAnsi="SimHei" w:eastAsia="黑体" w:cs="楷体"/>
          <w:b/>
          <w:spacing w:val="0"/>
          <w:w w:val="105"/>
          <w:position w:val="0"/>
          <w:sz w:val="23"/>
        </w:rPr>
        <w:t>第十五条 一人多岗的员工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pacing w:val="0"/>
          <w:position w:val="0"/>
        </w:rPr>
      </w:pPr>
      <w:r>
        <w:rPr>
          <w:rFonts w:hint="eastAsia" w:ascii="SimHei" w:hAnsi="SimHei" w:eastAsia="黑体" w:cs="楷体"/>
          <w:spacing w:val="0"/>
          <w:position w:val="0"/>
        </w:rPr>
        <w:t>员工一人多岗的，原则上薪酬待遇按就高不就低原则执行。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4" w:firstLineChars="200"/>
        <w:jc w:val="both"/>
        <w:textAlignment w:val="auto"/>
        <w:rPr>
          <w:rFonts w:hint="eastAsia" w:ascii="楷体" w:hAnsi="楷体" w:eastAsia="楷体" w:cs="楷体"/>
          <w:b/>
          <w:spacing w:val="0"/>
          <w:position w:val="0"/>
          <w:sz w:val="23"/>
        </w:rPr>
      </w:pPr>
      <w:r>
        <w:rPr>
          <w:rFonts w:hint="eastAsia" w:ascii="SimHei" w:hAnsi="SimHei" w:eastAsia="黑体" w:cs="楷体"/>
          <w:b/>
          <w:spacing w:val="0"/>
          <w:w w:val="105"/>
          <w:position w:val="0"/>
          <w:sz w:val="23"/>
        </w:rPr>
        <w:t>第十六条 谈判工资制人员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pacing w:val="0"/>
          <w:position w:val="0"/>
          <w:sz w:val="19"/>
        </w:rPr>
      </w:pPr>
      <w:r>
        <w:rPr>
          <w:rFonts w:hint="eastAsia" w:ascii="SimHei" w:hAnsi="SimHei" w:eastAsia="黑体" w:cs="楷体"/>
          <w:spacing w:val="0"/>
          <w:position w:val="0"/>
        </w:rPr>
        <w:t>实行谈判工资制的人员，如按照本制度规定可以测算产值提成，以相应岗位的提成标准为依据，在年底计算全年产值提成，并与谈判工资总额相比较，如果员工完成产值提成超过谈判工资总额，则对超过部分的产值进行提成，提成比例是正常提成比例的 1/2；如果员工完成的产值低于谈判工资总额，则第二年需要与员工重新进行工资谈判；</w:t>
      </w:r>
    </w:p>
    <w:p>
      <w:pPr>
        <w:pStyle w:val="2"/>
        <w:keepNext w:val="0"/>
        <w:keepLines w:val="0"/>
        <w:pageBreakBefore w:val="0"/>
        <w:widowControl w:val="0"/>
        <w:tabs>
          <w:tab w:val="left" w:pos="119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leftChars="0" w:right="0" w:firstLine="0" w:firstLineChars="0"/>
        <w:jc w:val="center"/>
        <w:textAlignment w:val="auto"/>
        <w:rPr>
          <w:rFonts w:hint="eastAsia" w:ascii="楷体" w:hAnsi="楷体" w:eastAsia="楷体" w:cs="楷体"/>
          <w:b/>
          <w:bCs/>
          <w:spacing w:val="0"/>
          <w:w w:val="105"/>
          <w:position w:val="0"/>
        </w:rPr>
      </w:pPr>
      <w:r>
        <w:rPr>
          <w:rFonts w:hint="eastAsia" w:ascii="SimHei" w:hAnsi="SimHei" w:eastAsia="黑体" w:cs="楷体"/>
          <w:b/>
          <w:bCs/>
          <w:spacing w:val="0"/>
          <w:w w:val="105"/>
          <w:position w:val="0"/>
        </w:rPr>
        <w:t>第六章</w:t>
      </w:r>
      <w:r>
        <w:rPr>
          <w:rFonts w:hint="eastAsia" w:ascii="SimHei" w:hAnsi="SimHei" w:eastAsia="黑体" w:cs="楷体"/>
          <w:b/>
          <w:bCs/>
          <w:spacing w:val="0"/>
          <w:w w:val="105"/>
          <w:position w:val="0"/>
          <w:lang w:val="en-US" w:eastAsia="zh-CN"/>
        </w:rPr>
        <w:t xml:space="preserve"> </w:t>
      </w:r>
      <w:r>
        <w:rPr>
          <w:rFonts w:hint="eastAsia" w:ascii="SimHei" w:hAnsi="SimHei" w:eastAsia="黑体" w:cs="楷体"/>
          <w:b/>
          <w:bCs/>
          <w:spacing w:val="0"/>
          <w:w w:val="105"/>
          <w:position w:val="0"/>
        </w:rPr>
        <w:t>附则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62" w:firstLineChars="200"/>
        <w:jc w:val="both"/>
        <w:textAlignment w:val="auto"/>
        <w:rPr>
          <w:rFonts w:hint="eastAsia" w:ascii="楷体" w:hAnsi="楷体" w:eastAsia="楷体" w:cs="楷体"/>
          <w:spacing w:val="0"/>
          <w:position w:val="0"/>
          <w:sz w:val="24"/>
        </w:rPr>
      </w:pPr>
      <w:r>
        <w:rPr>
          <w:rFonts w:hint="eastAsia" w:ascii="SimHei" w:hAnsi="SimHei" w:eastAsia="黑体" w:cs="楷体"/>
          <w:b/>
          <w:spacing w:val="0"/>
          <w:position w:val="0"/>
          <w:sz w:val="23"/>
        </w:rPr>
        <w:t xml:space="preserve">第十七条 </w:t>
      </w:r>
      <w:r>
        <w:rPr>
          <w:rFonts w:hint="eastAsia" w:ascii="SimHei" w:hAnsi="SimHei" w:eastAsia="黑体" w:cs="楷体"/>
          <w:spacing w:val="0"/>
          <w:position w:val="0"/>
          <w:sz w:val="24"/>
        </w:rPr>
        <w:t>本制度的解释权归院部所有。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62" w:firstLineChars="200"/>
        <w:jc w:val="both"/>
        <w:textAlignment w:val="auto"/>
        <w:rPr>
          <w:rFonts w:hint="eastAsia" w:ascii="楷体" w:hAnsi="楷体" w:eastAsia="楷体" w:cs="楷体"/>
          <w:spacing w:val="0"/>
          <w:position w:val="0"/>
        </w:rPr>
      </w:pPr>
      <w:r>
        <w:rPr>
          <w:rFonts w:hint="eastAsia" w:ascii="SimHei" w:hAnsi="SimHei" w:eastAsia="黑体" w:cs="楷体"/>
          <w:b/>
          <w:spacing w:val="0"/>
          <w:position w:val="0"/>
          <w:sz w:val="23"/>
        </w:rPr>
        <w:t xml:space="preserve">第十八条 </w:t>
      </w:r>
      <w:r>
        <w:rPr>
          <w:rFonts w:hint="eastAsia" w:ascii="SimHei" w:hAnsi="SimHei" w:eastAsia="黑体" w:cs="楷体"/>
          <w:spacing w:val="0"/>
          <w:position w:val="0"/>
        </w:rPr>
        <w:t>本制度经院长办公会讨论通过后正式实施。原有规定与本制度相抵触的， 按本制度执行。</w:t>
      </w:r>
    </w:p>
    <w:sectPr>
      <w:headerReference r:id="rId3" w:type="default"/>
      <w:footerReference r:id="rId4" w:type="default"/>
      <w:pgSz w:w="11910" w:h="16840"/>
      <w:pgMar w:top="850" w:right="1474" w:bottom="850" w:left="1474" w:header="624" w:footer="62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w:pict>
        <v:shape id="_x0000_s4097" o:spid="_x0000_s4097" o:spt="202" type="#_x0000_t202" style="position:absolute;left:0pt;margin-left:290.75pt;margin-top:800.7pt;height:11.85pt;width:8.45pt;mso-position-horizontal-relative:page;mso-position-vertical-relative:page;z-index:-819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19"/>
                  <w:ind w:left="40" w:right="0" w:firstLine="0"/>
                  <w:jc w:val="left"/>
                  <w:rPr>
                    <w:rFonts w:ascii="Times New Roman"/>
                    <w:sz w:val="17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4F81BD"/>
                    <w:w w:val="104"/>
                    <w:sz w:val="17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3,4"/>
    </o:shapelayout>
  </w:hdrShapeDefaults>
  <w:compat>
    <w:ulTrailSpace/>
    <w:useFELayout/>
    <w:compatSetting w:name="compatibilityMode" w:uri="http://schemas.microsoft.com/office/word" w:val="12"/>
  </w:compat>
  <w:rsids>
    <w:rsidRoot w:val="00000000"/>
    <w:rsid w:val="14960BB7"/>
    <w:rsid w:val="28DD3065"/>
    <w:rsid w:val="50421E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right="71"/>
      <w:jc w:val="center"/>
      <w:outlineLvl w:val="1"/>
    </w:pPr>
    <w:rPr>
      <w:rFonts w:ascii="宋体" w:hAnsi="宋体" w:eastAsia="宋体" w:cs="宋体"/>
      <w:sz w:val="29"/>
      <w:szCs w:val="29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24"/>
      <w:szCs w:val="24"/>
    </w:rPr>
  </w:style>
  <w:style w:type="table" w:customStyle="1" w:styleId="6">
    <w:name w:val="Table Normal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</w:style>
  <w:style w:type="paragraph" w:customStyle="1" w:styleId="8">
    <w:name w:val="Table Paragraph"/>
    <w:basedOn w:val="1"/>
    <w:qFormat/>
    <w:uiPriority w:val="1"/>
    <w:pPr>
      <w:spacing w:before="60"/>
      <w:ind w:left="192"/>
    </w:pPr>
    <w:rPr>
      <w:rFonts w:ascii="宋体" w:hAnsi="宋体" w:eastAsia="宋体" w:cs="宋体"/>
    </w:rPr>
  </w:style>
</w:styles>
</file>

<file path=word/_rels/document.xml.rels><?xml version='1.0' encoding='UTF-8' standalone='yes'?>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ScaleCrop>false</ScaleCrop>
  <LinksUpToDate>false</LinksUpToDate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2019-09-17T08:52:00Z</dcterms:created>
  <dc:creator>Administrator</dc:creator>
  <cp:lastModifiedBy>Administrator</cp:lastModifiedBy>
  <dcterms:modified xsi:type="dcterms:W3CDTF">2019-10-15T06:34:36Z</dcterms:modified>
  <dc:title>Microsoft Word - 11 建筑设计行业薪酬体系设计案例.doc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2017-06-15T00:00:00Z</vt:filetime>
  </property>
  <property fmtid="{D5CDD505-2E9C-101B-9397-08002B2CF9AE}" pid="3" name="Creator">
    <vt:lpwstr>Word</vt:lpwstr>
  </property>
  <property fmtid="{D5CDD505-2E9C-101B-9397-08002B2CF9AE}" pid="4" name="LastSaved">
    <vt:filetime>2019-09-17T00:00:00Z</vt:filetime>
  </property>
  <property fmtid="{D5CDD505-2E9C-101B-9397-08002B2CF9AE}" pid="5" name="KSOProductBuildVer">
    <vt:lpwstr>2052-11.1.0.9098</vt:lpwstr>
  </property>
</Properties>
</file>