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 w:line="360" w:lineRule="auto"/>
        <w:ind w:left="0" w:leftChars="0" w:right="0" w:rightChars="0" w:firstLine="0" w:firstLineChars="0"/>
        <w:textAlignment w:val="baseline"/>
        <w:rPr>
          <w:rFonts w:hint="eastAsia" w:ascii="楷体" w:hAnsi="楷体" w:eastAsia="楷体" w:cs="楷体"/>
          <w:color w:val="auto"/>
          <w:sz w:val="28"/>
          <w:szCs w:val="28"/>
        </w:rPr>
      </w:pPr>
      <w:bookmarkStart w:id="0" w:name="_GoBack"/>
      <w:bookmarkEnd w:id="0"/>
      <w:r>
        <w:rPr>
          <w:rFonts w:hint="eastAsia" w:ascii="SimHei" w:hAnsi="SimHei" w:eastAsia="黑体" w:cs="楷体"/>
          <w:color w:val="auto"/>
          <w:sz w:val="28"/>
          <w:szCs w:val="28"/>
          <w:lang w:val="en-US" w:eastAsia="zh-CN"/>
        </w:rPr>
        <w:t>XXXX</w:t>
      </w:r>
      <w:r>
        <w:rPr>
          <w:rFonts w:hint="eastAsia" w:ascii="SimHei" w:hAnsi="SimHei" w:eastAsia="黑体" w:cs="楷体"/>
          <w:color w:val="auto"/>
          <w:sz w:val="28"/>
          <w:szCs w:val="28"/>
        </w:rPr>
        <w:t>公司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 w:line="360" w:lineRule="auto"/>
        <w:ind w:left="0" w:leftChars="0" w:right="-40" w:rightChars="-20" w:firstLine="0" w:firstLineChars="0"/>
        <w:textAlignment w:val="baseline"/>
        <w:rPr>
          <w:rFonts w:hint="eastAsia" w:ascii="楷体" w:hAnsi="楷体" w:eastAsia="楷体" w:cs="楷体"/>
          <w:color w:val="auto"/>
          <w:sz w:val="36"/>
          <w:szCs w:val="36"/>
        </w:rPr>
      </w:pPr>
      <w:r>
        <w:rPr>
          <w:rFonts w:hint="eastAsia" w:ascii="SimHei" w:hAnsi="SimHei" w:eastAsia="黑体" w:cs="楷体"/>
          <w:color w:val="auto"/>
          <w:sz w:val="36"/>
          <w:szCs w:val="36"/>
        </w:rPr>
        <w:t>薪酬制度</w:t>
      </w:r>
    </w:p>
    <w:p>
      <w:pPr>
        <w:pStyle w:val="2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napToGrid/>
        <w:spacing w:before="0" w:after="0" w:line="360" w:lineRule="auto"/>
        <w:ind w:left="0" w:leftChars="0" w:right="-40" w:rightChars="-20" w:firstLine="400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总则</w:t>
      </w:r>
    </w:p>
    <w:p>
      <w:pPr>
        <w:pStyle w:val="5"/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1.1 为了规范领先科技工资体系，确定员工工资晋级条件，特制定本条例。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1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.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2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本规定旨在让企业的人事运转正常，让员工了解企业的薪酬体系。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1.3 企业采用的是宽带式薪酬体系，便于保持机构灵活性及提高外部竞争性。</w:t>
      </w: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snapToGrid/>
        <w:spacing w:before="0" w:after="0" w:line="360" w:lineRule="auto"/>
        <w:ind w:left="0" w:leftChars="0" w:right="-40" w:rightChars="-20" w:firstLine="400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第二条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工资发放体系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2．1工资发放计薪周期：每月1号至月底。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2．2 工资发放日：次月10号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2．3 工资发放银行卡：深发借记卡（异地取款优惠）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2．4工资条构成：基本工资，岗位工资，绩效工资，竞业禁止津贴，餐贴（每天八元），工程人员话费补贴；代扣部分：个税，社保个人缴纳，考勤，周日报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应发工资=基本工资+岗位工资+绩效工资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实发工资=应发工资-个税-社保个人缴纳部分-+考勤-日周报+餐贴+话费补贴</w:t>
      </w:r>
    </w:p>
    <w:p>
      <w:pPr>
        <w:pageBreakBefore w:val="0"/>
        <w:tabs>
          <w:tab w:val="left" w:pos="360"/>
        </w:tabs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2．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项目工程师话费补贴标准：正式员工每月补贴话费150元；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                  试用期员工每月补贴话费100元；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具体参见：</w:t>
      </w:r>
      <w:r>
        <w:rPr>
          <w:rFonts w:hint="eastAsia" w:ascii="SimHei" w:hAnsi="SimHei" w:eastAsia="黑体" w:cs="楷体"/>
          <w:b/>
          <w:color w:val="auto"/>
          <w:sz w:val="24"/>
          <w:szCs w:val="24"/>
        </w:rPr>
      </w:r>
      <w:r>
        <w:rPr>
          <w:rFonts w:hint="eastAsia" w:ascii="SimHei" w:hAnsi="SimHei" w:eastAsia="黑体" w:cs="楷体"/>
          <w:b/>
          <w:color w:val="auto"/>
          <w:sz w:val="24"/>
          <w:szCs w:val="24"/>
        </w:rPr>
      </w:r>
      <w:r>
        <w:rPr>
          <w:rFonts w:hint="eastAsia" w:ascii="SimHei" w:hAnsi="SimHei" w:eastAsia="黑体" w:cs="楷体"/>
          <w:b/>
          <w:color w:val="auto"/>
          <w:sz w:val="24"/>
          <w:szCs w:val="24"/>
        </w:rPr>
      </w:r>
      <w:r>
        <w:rPr>
          <w:rStyle w:val="16"/>
          <w:rFonts w:hint="eastAsia" w:ascii="SimHei" w:hAnsi="SimHei" w:eastAsia="黑体" w:cs="楷体"/>
          <w:b/>
          <w:color w:val="auto"/>
          <w:sz w:val="24"/>
          <w:szCs w:val="24"/>
        </w:rPr>
        <w:t>项目实施部话费补贴制度</w:t>
      </w:r>
      <w:r>
        <w:rPr>
          <w:rFonts w:hint="eastAsia" w:ascii="SimHei" w:hAnsi="SimHei" w:eastAsia="黑体" w:cs="楷体"/>
          <w:b/>
          <w:color w:val="auto"/>
          <w:sz w:val="24"/>
          <w:szCs w:val="24"/>
        </w:rPr>
      </w: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snapToGrid/>
        <w:spacing w:before="0" w:after="0" w:line="360" w:lineRule="auto"/>
        <w:ind w:left="0" w:leftChars="0" w:right="-40" w:rightChars="-20" w:firstLine="400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第三条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新员工工资定级体系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3.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1应发工资=基本工资+岗位工资+绩效工资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公司按照职位每个职位设1-9级，工资从少到多，从初级到高级递增。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参考职位说明书：项目工程师，研发工程师，产品工程师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3．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基本工资：公司每位员工基本工资参照每年社保缴纳基数；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3．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岗位工资=应发工资-绩效工资-基本工资</w:t>
      </w:r>
    </w:p>
    <w:p>
      <w:pPr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绩效工资：技术部门应发工资20%，行政人事部门应发工资10%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3．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应发工资决定因素：学历，工作年限，岗位，技能，绩效，经验</w:t>
      </w:r>
    </w:p>
    <w:p>
      <w:pPr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200" w:right="-40" w:rightChars="-20" w:firstLine="0" w:firstLineChars="0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3. 6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公司工资体系运用宽带式工资制，新员工应发工资定级，试用期暂不定级，转正后定岗定级，具体见以下图表：（以转正工资为准）</w:t>
      </w:r>
    </w:p>
    <w:tbl>
      <w:tblPr>
        <w:tblStyle w:val="12"/>
        <w:tblW w:w="7580" w:type="dxa"/>
        <w:jc w:val="center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405"/>
        <w:gridCol w:w="2086"/>
        <w:gridCol w:w="980"/>
        <w:gridCol w:w="1405"/>
        <w:gridCol w:w="7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580" w:type="dxa"/>
            <w:gridSpan w:val="6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color w:val="auto"/>
                <w:sz w:val="24"/>
                <w:szCs w:val="24"/>
              </w:rPr>
              <w:t>领先定岗定级表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级别</w:t>
            </w: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岗位定级</w:t>
            </w:r>
          </w:p>
        </w:tc>
        <w:tc>
          <w:tcPr>
            <w:tcW w:w="2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级别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级别</w:t>
            </w: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管理定级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级别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初级1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G01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0--500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初级1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M01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G02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500--1000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M02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G03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1000--1500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M03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300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初级2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G04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1500--2000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初级2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M04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400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G05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2000--2500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M05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G06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2500--3000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M06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600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中级1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G07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3000--3500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中级1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M07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700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G08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3500--4000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M08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G09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4000--4500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M09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900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中级2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G10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4500--5000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中级2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M10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G11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5000--5500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M11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G12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5500--6000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M12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中级3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G13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6000--6500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中级3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M13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1300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G14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6500--7000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M14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1400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G15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7000--7500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M15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高级1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G16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7500--8000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高级1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M16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1600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G17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8000--8500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M17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1700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G18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8500--9000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M18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高级2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G19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9000--9500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高级2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M19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1900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G20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9500--10000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M20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G21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10500--11000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M21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2100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高级3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G22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11000--11500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高级3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M22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2200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G23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11500--12000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M23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2300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G24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AC09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12000--12500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E4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M24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2D6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auto"/>
                <w:sz w:val="24"/>
                <w:szCs w:val="24"/>
              </w:rPr>
              <w:t>2400</w:t>
            </w: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FF0000"/>
          <w:sz w:val="24"/>
          <w:szCs w:val="24"/>
          <w:lang w:eastAsia="zh-CN"/>
        </w:rPr>
      </w:pPr>
      <w:r>
        <w:rPr>
          <w:rFonts w:hint="eastAsia" w:ascii="SimHei" w:hAnsi="SimHei" w:eastAsia="黑体" w:cs="楷体"/>
          <w:color w:val="FF0000"/>
          <w:sz w:val="24"/>
          <w:szCs w:val="24"/>
        </w:rPr>
        <w:t>说明：1、年限工资为进公司前工作年限，按照具体个体不同而定，在本单位调薪时涉及的工龄工资参考本幅度</w:t>
      </w:r>
      <w:r>
        <w:rPr>
          <w:rFonts w:hint="eastAsia" w:ascii="SimHei" w:hAnsi="SimHei" w:eastAsia="黑体" w:cs="楷体"/>
          <w:color w:val="FF0000"/>
          <w:sz w:val="24"/>
          <w:szCs w:val="24"/>
          <w:lang w:eastAsia="zh-CN"/>
        </w:rPr>
        <w:t>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FF0000"/>
          <w:sz w:val="24"/>
          <w:szCs w:val="24"/>
          <w:lang w:eastAsia="zh-CN"/>
        </w:rPr>
      </w:pPr>
      <w:r>
        <w:rPr>
          <w:rFonts w:hint="eastAsia" w:ascii="SimHei" w:hAnsi="SimHei" w:eastAsia="黑体" w:cs="楷体"/>
          <w:color w:val="FF0000"/>
          <w:sz w:val="24"/>
          <w:szCs w:val="24"/>
        </w:rPr>
        <w:t>2、新员工进入公司的定薪工资构成为：学历+工作年限+岗位绩效</w:t>
      </w:r>
      <w:r>
        <w:rPr>
          <w:rFonts w:hint="eastAsia" w:ascii="SimHei" w:hAnsi="SimHei" w:eastAsia="黑体" w:cs="楷体"/>
          <w:color w:val="FF0000"/>
          <w:sz w:val="24"/>
          <w:szCs w:val="24"/>
          <w:lang w:eastAsia="zh-CN"/>
        </w:rPr>
        <w:t>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FF0000"/>
          <w:sz w:val="24"/>
          <w:szCs w:val="24"/>
        </w:rPr>
      </w:pPr>
      <w:r>
        <w:rPr>
          <w:rFonts w:hint="eastAsia" w:ascii="SimHei" w:hAnsi="SimHei" w:eastAsia="黑体" w:cs="楷体"/>
          <w:color w:val="FF0000"/>
          <w:sz w:val="24"/>
          <w:szCs w:val="24"/>
        </w:rPr>
        <w:t>3、每年年初人力资源部跟据社会薪资调查，确定岗位绩效工资并作及时调整。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FF0000"/>
          <w:sz w:val="24"/>
          <w:szCs w:val="24"/>
        </w:rPr>
      </w:pPr>
      <w:r>
        <w:rPr>
          <w:rFonts w:hint="eastAsia" w:ascii="SimHei" w:hAnsi="SimHei" w:eastAsia="黑体" w:cs="楷体"/>
          <w:color w:val="FF0000"/>
          <w:sz w:val="24"/>
          <w:szCs w:val="24"/>
        </w:rPr>
        <w:t>4、研发总监，销售总监，研发组长，研发经理级别包含管理职务职能，根据该表确定管理级别。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0" w:rightChars="-20" w:firstLine="398" w:firstLineChars="166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3. 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经公司考核进入公司的实习生，在公司内享受实习津贴，包含餐贴在内共1000元/月，公司统一安排实习导师，负责时期期考核和学习，实习生在实习期间不享受公司其他福利待遇，但是允许参加公司组织的集体活动。</w:t>
      </w:r>
    </w:p>
    <w:p>
      <w:pPr>
        <w:pStyle w:val="5"/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3．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涉及表格：</w:t>
      </w:r>
    </w:p>
    <w:p>
      <w:pPr>
        <w:pStyle w:val="5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员工工资申批表</w:t>
      </w: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snapToGrid/>
        <w:spacing w:before="0" w:after="0" w:line="360" w:lineRule="auto"/>
        <w:ind w:left="0" w:leftChars="0" w:right="-40" w:rightChars="-20" w:firstLine="400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第四条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工资调薪制度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4．1员工工资晋级包括：工龄晋级，功龄晋级，考核晋级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4．2员工工龄晋级方式：按照服务年限，每半年加薪幅度为50。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4. 3员工功龄晋级方式：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行政人事财务人员：加薪年限内能为公司考虑节约办公成本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  加薪年限内无明显过错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  加薪年限内公司其他人员获好评率在80%以上的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4.4经公司考核和调查不能胜任该岗位工作，项目经理（组长），部门经理和总监级别受到下属投诉，严重影响公司稳定，工作态度恶劣，周日报长期不交的，公司将做降职处理，具体按照公司统一通告执行。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项目专员的奖金提取方式：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研发部：加薪年限内为公司做至少一个项目或至少2个模块的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Bug率少，在20%内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能为公司提供开发创新的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测试部：加薪年限内为公司至少测试一个项目或2个模块以上的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发现bug多，能有效监督研发部改进的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能为公司测试及研发提供积极改进意见的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项目部：加薪年限内至少能成功为公司上线一个项目的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获得客户好评，能积极为客户考虑的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对项目负责态度较好，能及时跟进，及时反馈客户信息并建立有效渠道落实反馈客户的。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项目部项目奖金分配方式为：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产品部：在加薪年限内能积极协调客户和项目部关系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在加薪年限内能积极协调研发和项目部关系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积极推进产品创新和售后技术支持的。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销售部：在加薪年限内能够至少为企业销售一个项目或客户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 加薪年限内开拓新客户量在2个以上的（基本确定意向）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加薪年限内完成合同额在：       完成回款额在：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销售部奖金分配方式为：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4．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考核晋级：连续两次考评在第一档的，工资直接晋级。</w:t>
      </w:r>
    </w:p>
    <w:p>
      <w:pPr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工资晋级周期：每年3月与9月为申请加薪月，工资的申请为直接上级或本人，提出方式可以以邮件或个人谈话方式。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4月和10月开始执行，次月5月10号与11月10号开始执行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每人每一日历年度至少有一次加薪机会。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4．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实习生在公司实习期间接受实习期间考核，在实习生实习满3个月以上（扣除请假天数满90天），并通过实习期间实习导师考核，公司将与其签订就业协议，办理转档相关事务，同时签订为期3年的劳动合同，合同起始时间为毕业即日，实习生在未满一年离职的，将补偿公司招聘费1000元整。</w:t>
      </w:r>
    </w:p>
    <w:p>
      <w:pPr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/>
        <w:spacing w:line="360" w:lineRule="auto"/>
        <w:ind w:leftChars="166" w:right="-40" w:rightChars="-20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4. 8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实习生通过试用期考核后将由其导师负责进行转正式员工的考核，考核可以以实际编程也可以以试卷的形式，该考核将结合试用期表现决定转正期间工资定级，（如有试用期，试用期工资参考转正期工资的80%）。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4．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加薪流程：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5.0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转正涉及表格：</w:t>
      </w:r>
    </w:p>
    <w:p>
      <w:pPr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员工加薪申请表</w:t>
      </w:r>
    </w:p>
    <w:p>
      <w:pPr>
        <w:pageBreakBefore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员工薪酬申批表</w:t>
      </w: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snapToGrid/>
        <w:spacing w:before="0" w:after="0" w:line="360" w:lineRule="auto"/>
        <w:ind w:left="0" w:leftChars="0" w:right="-40" w:rightChars="-20" w:firstLine="400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第五条 薪酬保密制度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5.1公司员工自进入公司到离开公司一年内，将有对自己薪酬保密的义务和权利，除公司人事主管，工资制表人，直接上级和副总以及总经理有知情权以外，公司其他员工不得相互打听，并以此为加薪理由。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5.2发现以上相关人员有对其他员工薪酬泄密行为的，公司将扣除以上人员当月的全额绩效工资。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5.3经公司调查发现，其他员工有工资相互泄密行为的，公司将同时扣除两泄密员工的当月全额绩效工资。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snapToGrid/>
        <w:spacing w:before="0" w:after="0" w:line="360" w:lineRule="auto"/>
        <w:ind w:left="0" w:leftChars="0" w:right="-40" w:rightChars="-20" w:firstLine="400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第六条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关于解释权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6.1以上条款解释权归公司的公司行政人事部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6.2公司管理层有必要对以上各条根据公司实际情况做及时修正与调整。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6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.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3本条例执行时间20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XX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年1月1号始。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jc w:val="right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                                   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jc w:val="right"/>
        <w:rPr>
          <w:rFonts w:hint="eastAsia" w:ascii="楷体" w:hAnsi="楷体" w:eastAsia="楷体" w:cs="楷体"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jc w:val="right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>某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IT有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限公司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jc w:val="right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行政人事部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360" w:lineRule="auto"/>
        <w:ind w:left="0" w:leftChars="0" w:right="-40" w:rightChars="-20" w:firstLine="398" w:firstLineChars="166"/>
        <w:jc w:val="right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SimHei" w:hAnsi="SimHei" w:eastAsia="黑体" w:cs="楷体"/>
          <w:color w:val="auto"/>
          <w:sz w:val="24"/>
          <w:szCs w:val="24"/>
        </w:rPr>
        <w:t xml:space="preserve">   20</w:t>
      </w:r>
      <w:r>
        <w:rPr>
          <w:rFonts w:hint="eastAsia" w:ascii="SimHei" w:hAnsi="SimHei" w:eastAsia="黑体" w:cs="楷体"/>
          <w:color w:val="auto"/>
          <w:sz w:val="24"/>
          <w:szCs w:val="24"/>
          <w:lang w:val="en-US" w:eastAsia="zh-CN"/>
        </w:rPr>
        <w:t>XX</w:t>
      </w:r>
      <w:r>
        <w:rPr>
          <w:rFonts w:hint="eastAsia" w:ascii="SimHei" w:hAnsi="SimHei" w:eastAsia="黑体" w:cs="楷体"/>
          <w:color w:val="auto"/>
          <w:sz w:val="24"/>
          <w:szCs w:val="24"/>
        </w:rPr>
        <w:t>年1月1日</w:t>
      </w:r>
    </w:p>
    <w:sectPr>
      <w:footerReference r:id="rId3" w:type="default"/>
      <w:pgSz w:w="11906" w:h="16838"/>
      <w:pgMar w:top="850" w:right="1474" w:bottom="850" w:left="1474" w:header="567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6pebnPAAAABQEAAA8AAAAAAAAAAQAgAAAAIgAAAGRycy9kb3ducmV2LnhtbFBLAQIUABQAAAAI&#10;AIdO4kAmzV+cvQEAAGIDAAAOAAAAAAAAAAEAIAAAAB4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楷体" w:hAnsi="楷体" w:eastAsia="楷体" w:cs="楷体"/>
                        <w:lang w:eastAsia="zh-CN"/>
                      </w:rPr>
                    </w:pP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t>1</w:t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t>5</w:t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楷体" w:hAnsi="楷体" w:eastAsia="楷体" w:cs="楷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64760"/>
    <w:multiLevelType w:val="multilevel"/>
    <w:tmpl w:val="1376476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101C554"/>
    <w:multiLevelType w:val="singleLevel"/>
    <w:tmpl w:val="2101C554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60B67806"/>
    <w:multiLevelType w:val="multilevel"/>
    <w:tmpl w:val="60B67806"/>
    <w:lvl w:ilvl="0" w:tentative="0">
      <w:start w:val="1"/>
      <w:numFmt w:val="japaneseCounting"/>
      <w:lvlText w:val="第%1条"/>
      <w:lvlJc w:val="left"/>
      <w:pPr>
        <w:ind w:left="885" w:hanging="88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43D4EBD"/>
    <w:multiLevelType w:val="multilevel"/>
    <w:tmpl w:val="643D4EB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EB"/>
    <w:rsid w:val="000017FC"/>
    <w:rsid w:val="00012087"/>
    <w:rsid w:val="00023DB9"/>
    <w:rsid w:val="00032627"/>
    <w:rsid w:val="0005371E"/>
    <w:rsid w:val="00054C81"/>
    <w:rsid w:val="00062071"/>
    <w:rsid w:val="0006429B"/>
    <w:rsid w:val="00082CF0"/>
    <w:rsid w:val="00083EDC"/>
    <w:rsid w:val="000A7AF2"/>
    <w:rsid w:val="000B1763"/>
    <w:rsid w:val="000C2316"/>
    <w:rsid w:val="000D1E26"/>
    <w:rsid w:val="000E2B5C"/>
    <w:rsid w:val="000E2EDA"/>
    <w:rsid w:val="000F753F"/>
    <w:rsid w:val="00106F14"/>
    <w:rsid w:val="001412D0"/>
    <w:rsid w:val="001502A0"/>
    <w:rsid w:val="001D2E42"/>
    <w:rsid w:val="001E65CF"/>
    <w:rsid w:val="00212986"/>
    <w:rsid w:val="00243D62"/>
    <w:rsid w:val="00253126"/>
    <w:rsid w:val="00255DEA"/>
    <w:rsid w:val="002F4437"/>
    <w:rsid w:val="003273A7"/>
    <w:rsid w:val="00327B9C"/>
    <w:rsid w:val="0037257C"/>
    <w:rsid w:val="0038507E"/>
    <w:rsid w:val="0039624D"/>
    <w:rsid w:val="003A1154"/>
    <w:rsid w:val="003A4FEC"/>
    <w:rsid w:val="003E190D"/>
    <w:rsid w:val="003E4B9B"/>
    <w:rsid w:val="003E6D1D"/>
    <w:rsid w:val="0041254A"/>
    <w:rsid w:val="004258E3"/>
    <w:rsid w:val="00444F00"/>
    <w:rsid w:val="00492628"/>
    <w:rsid w:val="004B1295"/>
    <w:rsid w:val="004E5EC9"/>
    <w:rsid w:val="00510032"/>
    <w:rsid w:val="00536704"/>
    <w:rsid w:val="00543640"/>
    <w:rsid w:val="00552176"/>
    <w:rsid w:val="00565F77"/>
    <w:rsid w:val="005A0FF6"/>
    <w:rsid w:val="005C1C70"/>
    <w:rsid w:val="005E64D8"/>
    <w:rsid w:val="005F2C5F"/>
    <w:rsid w:val="00600412"/>
    <w:rsid w:val="00632F8F"/>
    <w:rsid w:val="006569E0"/>
    <w:rsid w:val="00660090"/>
    <w:rsid w:val="00684A20"/>
    <w:rsid w:val="006C7D86"/>
    <w:rsid w:val="006E493F"/>
    <w:rsid w:val="00726B89"/>
    <w:rsid w:val="00743C94"/>
    <w:rsid w:val="0075087E"/>
    <w:rsid w:val="00775D9E"/>
    <w:rsid w:val="00786385"/>
    <w:rsid w:val="00794F20"/>
    <w:rsid w:val="007A493E"/>
    <w:rsid w:val="007C0E57"/>
    <w:rsid w:val="007F1665"/>
    <w:rsid w:val="00811F32"/>
    <w:rsid w:val="00846094"/>
    <w:rsid w:val="00855DF3"/>
    <w:rsid w:val="00875DBE"/>
    <w:rsid w:val="0088392F"/>
    <w:rsid w:val="008B53F9"/>
    <w:rsid w:val="008B6497"/>
    <w:rsid w:val="008C4F14"/>
    <w:rsid w:val="008D1305"/>
    <w:rsid w:val="009556CD"/>
    <w:rsid w:val="009946B7"/>
    <w:rsid w:val="009A5E73"/>
    <w:rsid w:val="009A734A"/>
    <w:rsid w:val="009B1628"/>
    <w:rsid w:val="009B3659"/>
    <w:rsid w:val="009C4695"/>
    <w:rsid w:val="00A42585"/>
    <w:rsid w:val="00A76DFC"/>
    <w:rsid w:val="00B27E13"/>
    <w:rsid w:val="00B316A1"/>
    <w:rsid w:val="00B326BA"/>
    <w:rsid w:val="00B340F6"/>
    <w:rsid w:val="00B431A5"/>
    <w:rsid w:val="00B43BDE"/>
    <w:rsid w:val="00B519CD"/>
    <w:rsid w:val="00B53AE2"/>
    <w:rsid w:val="00B66D4E"/>
    <w:rsid w:val="00B7110E"/>
    <w:rsid w:val="00B94E0B"/>
    <w:rsid w:val="00BA56F6"/>
    <w:rsid w:val="00BB075F"/>
    <w:rsid w:val="00BB66A6"/>
    <w:rsid w:val="00BB68C3"/>
    <w:rsid w:val="00BC22E6"/>
    <w:rsid w:val="00BF3B49"/>
    <w:rsid w:val="00BF74E9"/>
    <w:rsid w:val="00C0131F"/>
    <w:rsid w:val="00C03145"/>
    <w:rsid w:val="00C116DC"/>
    <w:rsid w:val="00C11E62"/>
    <w:rsid w:val="00C92C6D"/>
    <w:rsid w:val="00CA0084"/>
    <w:rsid w:val="00CB419A"/>
    <w:rsid w:val="00CB52E7"/>
    <w:rsid w:val="00CC0A06"/>
    <w:rsid w:val="00CC1EEB"/>
    <w:rsid w:val="00D544FE"/>
    <w:rsid w:val="00D56C23"/>
    <w:rsid w:val="00D625A8"/>
    <w:rsid w:val="00D90327"/>
    <w:rsid w:val="00DA0465"/>
    <w:rsid w:val="00DC3C9D"/>
    <w:rsid w:val="00DE2DCD"/>
    <w:rsid w:val="00E30599"/>
    <w:rsid w:val="00E330D3"/>
    <w:rsid w:val="00E37A11"/>
    <w:rsid w:val="00E434AB"/>
    <w:rsid w:val="00E643F0"/>
    <w:rsid w:val="00E837EB"/>
    <w:rsid w:val="00EB061A"/>
    <w:rsid w:val="00ED5DE4"/>
    <w:rsid w:val="00EE5543"/>
    <w:rsid w:val="00F34448"/>
    <w:rsid w:val="00F35F1D"/>
    <w:rsid w:val="00F429CD"/>
    <w:rsid w:val="00F5701F"/>
    <w:rsid w:val="00F775FC"/>
    <w:rsid w:val="00F846EE"/>
    <w:rsid w:val="00F8653E"/>
    <w:rsid w:val="00F9283A"/>
    <w:rsid w:val="00FA24FE"/>
    <w:rsid w:val="00FC19EB"/>
    <w:rsid w:val="00FC327C"/>
    <w:rsid w:val="00FD0F5B"/>
    <w:rsid w:val="00FE0E99"/>
    <w:rsid w:val="00FE0FE0"/>
    <w:rsid w:val="18BF688E"/>
    <w:rsid w:val="5A0C7782"/>
    <w:rsid w:val="5BA136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Arial" w:hAnsi="Arial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/>
      <w:spacing w:before="340" w:after="330" w:line="578" w:lineRule="auto"/>
      <w:textAlignment w:val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0"/>
    <w:uiPriority w:val="0"/>
    <w:rPr>
      <w:rFonts w:ascii="宋体"/>
      <w:sz w:val="18"/>
      <w:szCs w:val="18"/>
    </w:rPr>
  </w:style>
  <w:style w:type="paragraph" w:styleId="4">
    <w:name w:val="toc 3"/>
    <w:basedOn w:val="1"/>
    <w:next w:val="1"/>
    <w:semiHidden/>
    <w:uiPriority w:val="0"/>
    <w:pPr>
      <w:ind w:left="840" w:leftChars="400"/>
    </w:pPr>
  </w:style>
  <w:style w:type="paragraph" w:styleId="5">
    <w:name w:val="Plain Text"/>
    <w:basedOn w:val="1"/>
    <w:uiPriority w:val="0"/>
    <w:pPr>
      <w:adjustRightInd/>
      <w:spacing w:line="240" w:lineRule="auto"/>
      <w:textAlignment w:val="auto"/>
    </w:pPr>
    <w:rPr>
      <w:rFonts w:ascii="宋体" w:hAnsi="Courier New"/>
      <w:kern w:val="2"/>
      <w:sz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toc 1"/>
    <w:basedOn w:val="1"/>
    <w:next w:val="1"/>
    <w:semiHidden/>
    <w:uiPriority w:val="0"/>
  </w:style>
  <w:style w:type="paragraph" w:styleId="9">
    <w:name w:val="Subtitle"/>
    <w:basedOn w:val="1"/>
    <w:next w:val="1"/>
    <w:link w:val="19"/>
    <w:qFormat/>
    <w:uiPriority w:val="0"/>
    <w:pPr>
      <w:spacing w:before="240" w:after="60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0">
    <w:name w:val="toc 2"/>
    <w:basedOn w:val="1"/>
    <w:next w:val="1"/>
    <w:semiHidden/>
    <w:uiPriority w:val="0"/>
    <w:pPr>
      <w:ind w:left="420" w:leftChars="200"/>
    </w:pPr>
  </w:style>
  <w:style w:type="paragraph" w:styleId="11">
    <w:name w:val="Title"/>
    <w:basedOn w:val="1"/>
    <w:next w:val="1"/>
    <w:link w:val="18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3">
    <w:name w:val="Table Grid"/>
    <w:basedOn w:val="12"/>
    <w:uiPriority w:val="0"/>
    <w:tblPr>
      <w:tblStyle w:val="12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styleId="15">
    <w:name w:val="FollowedHyperlink"/>
    <w:uiPriority w:val="0"/>
    <w:rPr>
      <w:color w:val="800080"/>
      <w:u w:val="single"/>
    </w:rPr>
  </w:style>
  <w:style w:type="character" w:styleId="16">
    <w:name w:val="Hyperlink"/>
    <w:uiPriority w:val="0"/>
    <w:rPr>
      <w:color w:val="0000FF"/>
      <w:u w:val="single"/>
    </w:rPr>
  </w:style>
  <w:style w:type="paragraph" w:customStyle="1" w:styleId="17">
    <w:name w:val="样式1"/>
    <w:basedOn w:val="1"/>
    <w:uiPriority w:val="0"/>
    <w:pPr>
      <w:spacing w:line="360" w:lineRule="auto"/>
      <w:ind w:firstLine="425"/>
    </w:pPr>
    <w:rPr>
      <w:rFonts w:ascii="宋体" w:hAnsi="宋体"/>
      <w:bCs/>
      <w:sz w:val="24"/>
      <w:szCs w:val="24"/>
    </w:rPr>
  </w:style>
  <w:style w:type="character" w:customStyle="1" w:styleId="18">
    <w:name w:val="标题 Char"/>
    <w:link w:val="11"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19">
    <w:name w:val="副标题 Char"/>
    <w:link w:val="9"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0">
    <w:name w:val="文档结构图 Char"/>
    <w:link w:val="3"/>
    <w:uiPriority w:val="0"/>
    <w:rPr>
      <w:rFonts w:ascii="宋体" w:hAnsi="Arial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www.ftpdown.com</Company>
  <Pages>5</Pages>
  <Words>490</Words>
  <Characters>2795</Characters>
  <Lines>23</Lines>
  <Paragraphs>6</Paragraphs>
  <TotalTime>9</TotalTime>
  <ScaleCrop>false</ScaleCrop>
  <LinksUpToDate>false</LinksUpToDate>
  <CharactersWithSpaces>3279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2014-06-20T03:13:00Z</dcterms:created>
  <dc:creator>FtpDown</dc:creator>
  <cp:lastModifiedBy>Administrator</cp:lastModifiedBy>
  <cp:lastPrinted>2009-08-05T07:27:00Z</cp:lastPrinted>
  <dcterms:modified xsi:type="dcterms:W3CDTF">2019-10-08T02:25:49Z</dcterms:modified>
  <dc:title>培训确认书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