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9"/>
        <w:tblW w:w="10064"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50"/>
        <w:gridCol w:w="4598"/>
        <w:gridCol w:w="1557"/>
        <w:gridCol w:w="11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0" w:type="dxa"/>
            <w:vMerge w:val="restart"/>
          </w:tcPr>
          <w:p>
            <w:pPr>
              <w:pStyle w:val="7"/>
              <w:rPr>
                <w:sz w:val="22"/>
                <w:szCs w:val="22"/>
              </w:rPr>
            </w:pPr>
          </w:p>
        </w:tc>
        <w:tc>
          <w:tcPr>
            <w:tcW w:w="4598" w:type="dxa"/>
            <w:vMerge w:val="restart"/>
            <w:vAlign w:val="center"/>
          </w:tcPr>
          <w:p>
            <w:pPr>
              <w:pStyle w:val="7"/>
              <w:jc w:val="center"/>
              <w:rPr>
                <w:rFonts w:ascii="黑体" w:eastAsia="黑体"/>
                <w:sz w:val="36"/>
                <w:szCs w:val="36"/>
                <w:lang w:eastAsia="zh-CN"/>
              </w:rPr>
            </w:pPr>
            <w:r>
              <w:rPr>
                <w:rFonts w:hint="eastAsia" w:ascii="SimHei" w:eastAsia="黑体" w:hAnsi="SimHei"/>
                <w:sz w:val="36"/>
                <w:szCs w:val="36"/>
                <w:lang w:eastAsia="zh-CN"/>
              </w:rPr>
              <w:t>绩效管理标准</w:t>
            </w:r>
          </w:p>
        </w:tc>
        <w:tc>
          <w:tcPr>
            <w:tcW w:w="1557" w:type="dxa"/>
            <w:vAlign w:val="center"/>
          </w:tcPr>
          <w:p>
            <w:pPr>
              <w:pStyle w:val="7"/>
              <w:jc w:val="center"/>
              <w:rPr>
                <w:rFonts w:eastAsia="宋体"/>
                <w:sz w:val="21"/>
                <w:szCs w:val="21"/>
                <w:lang w:eastAsia="zh-CN"/>
              </w:rPr>
            </w:pPr>
            <w:r>
              <w:rPr>
                <w:rFonts w:hint="eastAsia" w:eastAsia="黑体" w:ascii="SimHei" w:hAnsi="SimHei"/>
                <w:sz w:val="21"/>
                <w:szCs w:val="21"/>
                <w:lang w:eastAsia="zh-CN"/>
              </w:rPr>
              <w:t>保密级别</w:t>
            </w:r>
          </w:p>
        </w:tc>
        <w:tc>
          <w:tcPr>
            <w:tcW w:w="1159" w:type="dxa"/>
            <w:vAlign w:val="center"/>
          </w:tcPr>
          <w:p>
            <w:pPr>
              <w:pStyle w:val="7"/>
              <w:jc w:val="center"/>
              <w:rPr>
                <w:rFonts w:eastAsiaTheme="minorEastAsia"/>
                <w:sz w:val="22"/>
                <w:szCs w:val="22"/>
                <w:lang w:eastAsia="zh-CN"/>
              </w:rPr>
            </w:pPr>
            <w:r>
              <w:rPr>
                <w:rFonts w:hint="eastAsia" w:eastAsiaTheme="minorEastAsia" w:ascii="SimHei" w:hAnsi="SimHei" w:eastAsia="黑体"/>
                <w:sz w:val="22"/>
                <w:szCs w:val="22"/>
                <w:lang w:eastAsia="zh-CN"/>
              </w:rPr>
              <w:t>秘密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0" w:type="dxa"/>
            <w:vMerge w:val="continue"/>
          </w:tcPr>
          <w:p>
            <w:pPr>
              <w:pStyle w:val="7"/>
              <w:rPr>
                <w:sz w:val="22"/>
                <w:szCs w:val="22"/>
              </w:rPr>
            </w:pPr>
          </w:p>
        </w:tc>
        <w:tc>
          <w:tcPr>
            <w:tcW w:w="4598" w:type="dxa"/>
            <w:vMerge w:val="continue"/>
            <w:vAlign w:val="center"/>
          </w:tcPr>
          <w:p>
            <w:pPr>
              <w:pStyle w:val="7"/>
              <w:jc w:val="center"/>
              <w:rPr>
                <w:rFonts w:ascii="黑体" w:eastAsia="黑体"/>
                <w:sz w:val="36"/>
                <w:szCs w:val="36"/>
              </w:rPr>
            </w:pPr>
          </w:p>
        </w:tc>
        <w:tc>
          <w:tcPr>
            <w:tcW w:w="1557" w:type="dxa"/>
            <w:vAlign w:val="center"/>
          </w:tcPr>
          <w:p>
            <w:pPr>
              <w:pStyle w:val="7"/>
              <w:jc w:val="center"/>
              <w:rPr>
                <w:rFonts w:eastAsia="宋体"/>
                <w:sz w:val="21"/>
                <w:szCs w:val="21"/>
                <w:lang w:eastAsia="zh-CN"/>
              </w:rPr>
            </w:pPr>
            <w:r>
              <w:rPr>
                <w:rFonts w:hint="eastAsia" w:eastAsia="黑体" w:ascii="SimHei" w:hAnsi="SimHei"/>
                <w:sz w:val="21"/>
                <w:szCs w:val="21"/>
                <w:lang w:eastAsia="zh-CN"/>
              </w:rPr>
              <w:t>文件编号</w:t>
            </w:r>
          </w:p>
        </w:tc>
        <w:tc>
          <w:tcPr>
            <w:tcW w:w="1159" w:type="dxa"/>
            <w:vAlign w:val="center"/>
          </w:tcPr>
          <w:p>
            <w:pPr>
              <w:pStyle w:val="7"/>
              <w:jc w:val="center"/>
              <w:rPr>
                <w:rFonts w:eastAsiaTheme="minorEastAsia"/>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0" w:type="dxa"/>
            <w:vMerge w:val="continue"/>
          </w:tcPr>
          <w:p>
            <w:pPr>
              <w:pStyle w:val="7"/>
              <w:rPr>
                <w:sz w:val="22"/>
                <w:szCs w:val="22"/>
              </w:rPr>
            </w:pPr>
          </w:p>
        </w:tc>
        <w:tc>
          <w:tcPr>
            <w:tcW w:w="4598" w:type="dxa"/>
            <w:vMerge w:val="restart"/>
            <w:vAlign w:val="center"/>
          </w:tcPr>
          <w:p>
            <w:pPr>
              <w:pStyle w:val="7"/>
              <w:jc w:val="center"/>
              <w:rPr>
                <w:rFonts w:ascii="黑体" w:eastAsia="黑体"/>
                <w:sz w:val="36"/>
                <w:szCs w:val="36"/>
                <w:lang w:eastAsia="zh-CN"/>
              </w:rPr>
            </w:pPr>
            <w:r>
              <w:rPr>
                <w:rFonts w:hint="eastAsia" w:ascii="SimHei" w:eastAsia="黑体" w:hAnsi="SimHei"/>
                <w:sz w:val="36"/>
                <w:szCs w:val="36"/>
                <w:lang w:eastAsia="zh-CN"/>
              </w:rPr>
              <w:t>利润中心高管绩效管理方案</w:t>
            </w:r>
          </w:p>
        </w:tc>
        <w:tc>
          <w:tcPr>
            <w:tcW w:w="1557" w:type="dxa"/>
            <w:vAlign w:val="center"/>
          </w:tcPr>
          <w:p>
            <w:pPr>
              <w:pStyle w:val="7"/>
              <w:jc w:val="center"/>
              <w:rPr>
                <w:rFonts w:eastAsia="宋体"/>
                <w:sz w:val="21"/>
                <w:szCs w:val="21"/>
                <w:lang w:eastAsia="zh-CN"/>
              </w:rPr>
            </w:pPr>
            <w:r>
              <w:rPr>
                <w:rFonts w:hint="eastAsia" w:eastAsia="黑体" w:ascii="SimHei" w:hAnsi="SimHei"/>
                <w:sz w:val="21"/>
                <w:szCs w:val="21"/>
                <w:lang w:eastAsia="zh-CN"/>
              </w:rPr>
              <w:t>版本号</w:t>
            </w:r>
          </w:p>
        </w:tc>
        <w:tc>
          <w:tcPr>
            <w:tcW w:w="1159" w:type="dxa"/>
            <w:vAlign w:val="center"/>
          </w:tcPr>
          <w:p>
            <w:pPr>
              <w:pStyle w:val="7"/>
              <w:jc w:val="center"/>
              <w:rPr>
                <w:rFonts w:eastAsiaTheme="minorEastAsia"/>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trPr>
        <w:tc>
          <w:tcPr>
            <w:tcW w:w="2750" w:type="dxa"/>
            <w:vMerge w:val="continue"/>
          </w:tcPr>
          <w:p>
            <w:pPr>
              <w:pStyle w:val="7"/>
              <w:rPr>
                <w:sz w:val="22"/>
                <w:szCs w:val="22"/>
              </w:rPr>
            </w:pPr>
          </w:p>
        </w:tc>
        <w:tc>
          <w:tcPr>
            <w:tcW w:w="4598" w:type="dxa"/>
            <w:vMerge w:val="continue"/>
            <w:vAlign w:val="center"/>
          </w:tcPr>
          <w:p>
            <w:pPr>
              <w:pStyle w:val="7"/>
              <w:jc w:val="center"/>
              <w:rPr>
                <w:rFonts w:ascii="黑体" w:eastAsia="黑体"/>
                <w:sz w:val="22"/>
                <w:szCs w:val="22"/>
              </w:rPr>
            </w:pPr>
          </w:p>
        </w:tc>
        <w:tc>
          <w:tcPr>
            <w:tcW w:w="1557" w:type="dxa"/>
            <w:vAlign w:val="center"/>
          </w:tcPr>
          <w:p>
            <w:pPr>
              <w:pStyle w:val="7"/>
              <w:jc w:val="center"/>
              <w:rPr>
                <w:rFonts w:eastAsia="宋体"/>
                <w:sz w:val="21"/>
                <w:szCs w:val="21"/>
                <w:lang w:eastAsia="zh-CN"/>
              </w:rPr>
            </w:pPr>
            <w:r>
              <w:rPr>
                <w:rFonts w:hint="eastAsia" w:eastAsia="黑体" w:ascii="SimHei" w:hAnsi="SimHei"/>
                <w:sz w:val="21"/>
                <w:szCs w:val="21"/>
                <w:lang w:eastAsia="zh-CN"/>
              </w:rPr>
              <w:t>页码</w:t>
            </w:r>
          </w:p>
        </w:tc>
        <w:tc>
          <w:tcPr>
            <w:tcW w:w="1159" w:type="dxa"/>
            <w:vAlign w:val="center"/>
          </w:tcPr>
          <w:p>
            <w:pPr>
              <w:pStyle w:val="7"/>
              <w:jc w:val="center"/>
              <w:rPr>
                <w:sz w:val="22"/>
                <w:szCs w:val="22"/>
              </w:rPr>
            </w:pPr>
          </w:p>
        </w:tc>
      </w:tr>
    </w:tbl>
    <w:p>
      <w:pPr>
        <w:rPr>
          <w:sz w:val="32"/>
          <w:szCs w:val="32"/>
        </w:rPr>
      </w:pPr>
    </w:p>
    <w:tbl>
      <w:tblPr>
        <w:tblStyle w:val="8"/>
        <w:tblW w:w="0" w:type="auto"/>
        <w:tblInd w:w="1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5"/>
        <w:gridCol w:w="890"/>
        <w:gridCol w:w="4406"/>
        <w:gridCol w:w="1163"/>
        <w:gridCol w:w="1443"/>
        <w:gridCol w:w="14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10067" w:type="dxa"/>
            <w:gridSpan w:val="6"/>
            <w:vAlign w:val="center"/>
          </w:tcPr>
          <w:p>
            <w:pPr>
              <w:tabs>
                <w:tab w:val="left" w:pos="702"/>
              </w:tabs>
              <w:spacing w:line="380" w:lineRule="exact"/>
              <w:jc w:val="center"/>
              <w:rPr>
                <w:rFonts w:ascii="宋体" w:hAnsi="宋体" w:eastAsia="宋体"/>
                <w:b/>
                <w:sz w:val="32"/>
                <w:szCs w:val="32"/>
                <w:lang w:eastAsia="zh-CN"/>
              </w:rPr>
            </w:pPr>
            <w:r>
              <w:rPr>
                <w:rFonts w:hint="eastAsia" w:ascii="SimHei" w:hAnsi="SimHei" w:eastAsia="黑体"/>
                <w:b/>
                <w:sz w:val="32"/>
                <w:szCs w:val="32"/>
                <w:lang w:eastAsia="zh-CN"/>
              </w:rPr>
              <w:t>修</w:t>
            </w:r>
            <w:r>
              <w:rPr>
                <w:rFonts w:ascii="SimHei" w:hAnsi="SimHei" w:eastAsia="黑体"/>
                <w:b/>
                <w:sz w:val="32"/>
                <w:szCs w:val="32"/>
                <w:lang w:eastAsia="zh-CN"/>
              </w:rPr>
              <w:t xml:space="preserve"> </w:t>
            </w:r>
            <w:r>
              <w:rPr>
                <w:rFonts w:hint="eastAsia" w:ascii="SimHei" w:hAnsi="SimHei" w:eastAsia="黑体"/>
                <w:b/>
                <w:sz w:val="32"/>
                <w:szCs w:val="32"/>
                <w:lang w:eastAsia="zh-CN"/>
              </w:rPr>
              <w:t>订</w:t>
            </w:r>
            <w:r>
              <w:rPr>
                <w:rFonts w:ascii="SimHei" w:hAnsi="SimHei" w:eastAsia="黑体"/>
                <w:b/>
                <w:sz w:val="32"/>
                <w:szCs w:val="32"/>
                <w:lang w:eastAsia="zh-CN"/>
              </w:rPr>
              <w:t xml:space="preserve"> </w:t>
            </w:r>
            <w:r>
              <w:rPr>
                <w:rFonts w:hint="eastAsia" w:ascii="SimHei" w:hAnsi="SimHei" w:eastAsia="黑体"/>
                <w:b/>
                <w:sz w:val="32"/>
                <w:szCs w:val="32"/>
                <w:lang w:eastAsia="zh-CN"/>
              </w:rPr>
              <w:t>履</w:t>
            </w:r>
            <w:r>
              <w:rPr>
                <w:rFonts w:ascii="SimHei" w:hAnsi="SimHei" w:eastAsia="黑体"/>
                <w:b/>
                <w:sz w:val="32"/>
                <w:szCs w:val="32"/>
                <w:lang w:eastAsia="zh-CN"/>
              </w:rPr>
              <w:t xml:space="preserve"> </w:t>
            </w:r>
            <w:r>
              <w:rPr>
                <w:rFonts w:hint="eastAsia" w:ascii="SimHei" w:hAnsi="SimHei" w:eastAsia="黑体"/>
                <w:b/>
                <w:sz w:val="32"/>
                <w:szCs w:val="32"/>
                <w:lang w:eastAsia="zh-CN"/>
              </w:rPr>
              <w:t>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695" w:type="dxa"/>
            <w:vAlign w:val="center"/>
          </w:tcPr>
          <w:p>
            <w:pPr>
              <w:tabs>
                <w:tab w:val="left" w:pos="702"/>
              </w:tabs>
              <w:spacing w:line="380" w:lineRule="exact"/>
              <w:jc w:val="center"/>
              <w:rPr>
                <w:rFonts w:ascii="宋体" w:hAnsi="宋体" w:eastAsia="宋体"/>
                <w:sz w:val="32"/>
                <w:szCs w:val="32"/>
                <w:lang w:eastAsia="zh-CN"/>
              </w:rPr>
            </w:pPr>
            <w:r>
              <w:rPr>
                <w:rFonts w:hint="eastAsia" w:ascii="SimHei" w:hAnsi="SimHei" w:eastAsia="黑体"/>
                <w:sz w:val="32"/>
                <w:szCs w:val="32"/>
                <w:lang w:eastAsia="zh-CN"/>
              </w:rPr>
              <w:t>序号</w:t>
            </w:r>
          </w:p>
        </w:tc>
        <w:tc>
          <w:tcPr>
            <w:tcW w:w="890" w:type="dxa"/>
            <w:vAlign w:val="center"/>
          </w:tcPr>
          <w:p>
            <w:pPr>
              <w:tabs>
                <w:tab w:val="left" w:pos="702"/>
              </w:tabs>
              <w:spacing w:line="380" w:lineRule="exact"/>
              <w:jc w:val="center"/>
              <w:rPr>
                <w:rFonts w:ascii="宋体" w:hAnsi="宋体" w:eastAsia="宋体"/>
                <w:sz w:val="32"/>
                <w:szCs w:val="32"/>
                <w:lang w:eastAsia="zh-CN"/>
              </w:rPr>
            </w:pPr>
            <w:r>
              <w:rPr>
                <w:rFonts w:hint="eastAsia" w:ascii="SimHei" w:hAnsi="SimHei" w:eastAsia="黑体"/>
                <w:sz w:val="32"/>
                <w:szCs w:val="32"/>
                <w:lang w:eastAsia="zh-CN"/>
              </w:rPr>
              <w:t>版本</w:t>
            </w:r>
          </w:p>
        </w:tc>
        <w:tc>
          <w:tcPr>
            <w:tcW w:w="4406" w:type="dxa"/>
            <w:vAlign w:val="center"/>
          </w:tcPr>
          <w:p>
            <w:pPr>
              <w:tabs>
                <w:tab w:val="left" w:pos="702"/>
              </w:tabs>
              <w:spacing w:line="380" w:lineRule="exact"/>
              <w:jc w:val="center"/>
              <w:rPr>
                <w:rFonts w:ascii="宋体" w:hAnsi="宋体" w:eastAsia="宋体"/>
                <w:sz w:val="32"/>
                <w:szCs w:val="32"/>
                <w:lang w:eastAsia="zh-CN"/>
              </w:rPr>
            </w:pPr>
            <w:r>
              <w:rPr>
                <w:rFonts w:hint="eastAsia" w:ascii="SimHei" w:hAnsi="SimHei" w:eastAsia="黑体"/>
                <w:sz w:val="32"/>
                <w:szCs w:val="32"/>
                <w:lang w:eastAsia="zh-CN"/>
              </w:rPr>
              <w:t>修</w:t>
            </w:r>
            <w:r>
              <w:rPr>
                <w:rFonts w:ascii="SimHei" w:hAnsi="SimHei" w:eastAsia="黑体"/>
                <w:sz w:val="32"/>
                <w:szCs w:val="32"/>
                <w:lang w:eastAsia="zh-CN"/>
              </w:rPr>
              <w:t xml:space="preserve"> </w:t>
            </w:r>
            <w:r>
              <w:rPr>
                <w:rFonts w:hint="eastAsia" w:ascii="SimHei" w:hAnsi="SimHei" w:eastAsia="黑体"/>
                <w:sz w:val="32"/>
                <w:szCs w:val="32"/>
                <w:lang w:eastAsia="zh-CN"/>
              </w:rPr>
              <w:t>订</w:t>
            </w:r>
            <w:r>
              <w:rPr>
                <w:rFonts w:ascii="SimHei" w:hAnsi="SimHei" w:eastAsia="黑体"/>
                <w:sz w:val="32"/>
                <w:szCs w:val="32"/>
                <w:lang w:eastAsia="zh-CN"/>
              </w:rPr>
              <w:t xml:space="preserve"> </w:t>
            </w:r>
            <w:r>
              <w:rPr>
                <w:rFonts w:hint="eastAsia" w:ascii="SimHei" w:hAnsi="SimHei" w:eastAsia="黑体"/>
                <w:sz w:val="32"/>
                <w:szCs w:val="32"/>
                <w:lang w:eastAsia="zh-CN"/>
              </w:rPr>
              <w:t>内</w:t>
            </w:r>
            <w:r>
              <w:rPr>
                <w:rFonts w:ascii="SimHei" w:hAnsi="SimHei" w:eastAsia="黑体"/>
                <w:sz w:val="32"/>
                <w:szCs w:val="32"/>
                <w:lang w:eastAsia="zh-CN"/>
              </w:rPr>
              <w:t xml:space="preserve"> </w:t>
            </w:r>
            <w:r>
              <w:rPr>
                <w:rFonts w:hint="eastAsia" w:ascii="SimHei" w:hAnsi="SimHei" w:eastAsia="黑体"/>
                <w:sz w:val="32"/>
                <w:szCs w:val="32"/>
                <w:lang w:eastAsia="zh-CN"/>
              </w:rPr>
              <w:t>容</w:t>
            </w:r>
          </w:p>
        </w:tc>
        <w:tc>
          <w:tcPr>
            <w:tcW w:w="1163" w:type="dxa"/>
            <w:vAlign w:val="center"/>
          </w:tcPr>
          <w:p>
            <w:pPr>
              <w:tabs>
                <w:tab w:val="left" w:pos="702"/>
              </w:tabs>
              <w:spacing w:line="380" w:lineRule="exact"/>
              <w:jc w:val="center"/>
              <w:rPr>
                <w:rFonts w:ascii="宋体" w:hAnsi="宋体" w:eastAsia="宋体"/>
                <w:sz w:val="32"/>
                <w:szCs w:val="32"/>
                <w:lang w:eastAsia="zh-CN"/>
              </w:rPr>
            </w:pPr>
            <w:r>
              <w:rPr>
                <w:rFonts w:hint="eastAsia" w:ascii="SimHei" w:hAnsi="SimHei" w:eastAsia="黑体"/>
                <w:sz w:val="32"/>
                <w:szCs w:val="32"/>
                <w:lang w:eastAsia="zh-CN"/>
              </w:rPr>
              <w:t>修订者</w:t>
            </w:r>
          </w:p>
        </w:tc>
        <w:tc>
          <w:tcPr>
            <w:tcW w:w="1443" w:type="dxa"/>
            <w:vAlign w:val="center"/>
          </w:tcPr>
          <w:p>
            <w:pPr>
              <w:tabs>
                <w:tab w:val="left" w:pos="702"/>
              </w:tabs>
              <w:spacing w:line="380" w:lineRule="exact"/>
              <w:jc w:val="center"/>
              <w:rPr>
                <w:rFonts w:ascii="宋体" w:hAnsi="宋体" w:eastAsia="宋体"/>
                <w:sz w:val="32"/>
                <w:szCs w:val="32"/>
                <w:lang w:eastAsia="zh-CN"/>
              </w:rPr>
            </w:pPr>
            <w:r>
              <w:rPr>
                <w:rFonts w:hint="eastAsia" w:ascii="SimHei" w:hAnsi="SimHei" w:eastAsia="黑体"/>
                <w:sz w:val="32"/>
                <w:szCs w:val="32"/>
                <w:lang w:eastAsia="zh-CN"/>
              </w:rPr>
              <w:t>日期</w:t>
            </w:r>
          </w:p>
        </w:tc>
        <w:tc>
          <w:tcPr>
            <w:tcW w:w="1470" w:type="dxa"/>
            <w:vAlign w:val="center"/>
          </w:tcPr>
          <w:p>
            <w:pPr>
              <w:tabs>
                <w:tab w:val="left" w:pos="702"/>
              </w:tabs>
              <w:spacing w:line="380" w:lineRule="exact"/>
              <w:jc w:val="center"/>
              <w:rPr>
                <w:rFonts w:ascii="宋体" w:hAnsi="宋体" w:eastAsia="宋体"/>
                <w:sz w:val="32"/>
                <w:szCs w:val="32"/>
                <w:lang w:eastAsia="zh-CN"/>
              </w:rPr>
            </w:pPr>
            <w:r>
              <w:rPr>
                <w:rFonts w:hint="eastAsia" w:ascii="SimHei" w:hAnsi="SimHei" w:eastAsia="黑体"/>
                <w:sz w:val="32"/>
                <w:szCs w:val="32"/>
                <w:lang w:eastAsia="zh-CN"/>
              </w:rPr>
              <w:t>批准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695" w:type="dxa"/>
            <w:vAlign w:val="center"/>
          </w:tcPr>
          <w:p>
            <w:pPr>
              <w:tabs>
                <w:tab w:val="left" w:pos="702"/>
              </w:tabs>
              <w:spacing w:line="380" w:lineRule="exact"/>
              <w:jc w:val="center"/>
              <w:rPr>
                <w:rFonts w:ascii="宋体" w:hAnsi="宋体" w:eastAsia="宋体"/>
                <w:sz w:val="32"/>
                <w:szCs w:val="32"/>
                <w:lang w:eastAsia="zh-CN"/>
              </w:rPr>
            </w:pPr>
          </w:p>
        </w:tc>
        <w:tc>
          <w:tcPr>
            <w:tcW w:w="890" w:type="dxa"/>
            <w:vAlign w:val="center"/>
          </w:tcPr>
          <w:p>
            <w:pPr>
              <w:tabs>
                <w:tab w:val="left" w:pos="702"/>
              </w:tabs>
              <w:spacing w:line="380" w:lineRule="exact"/>
              <w:jc w:val="center"/>
              <w:rPr>
                <w:rFonts w:ascii="宋体" w:hAnsi="宋体" w:eastAsia="宋体"/>
                <w:sz w:val="32"/>
                <w:szCs w:val="32"/>
                <w:lang w:eastAsia="zh-CN"/>
              </w:rPr>
            </w:pPr>
          </w:p>
        </w:tc>
        <w:tc>
          <w:tcPr>
            <w:tcW w:w="4406" w:type="dxa"/>
            <w:vAlign w:val="center"/>
          </w:tcPr>
          <w:p>
            <w:pPr>
              <w:tabs>
                <w:tab w:val="left" w:pos="702"/>
              </w:tabs>
              <w:spacing w:line="380" w:lineRule="exact"/>
              <w:jc w:val="center"/>
              <w:rPr>
                <w:rFonts w:ascii="宋体" w:hAnsi="宋体" w:eastAsia="宋体"/>
                <w:sz w:val="32"/>
                <w:szCs w:val="32"/>
                <w:lang w:eastAsia="zh-CN"/>
              </w:rPr>
            </w:pPr>
          </w:p>
        </w:tc>
        <w:tc>
          <w:tcPr>
            <w:tcW w:w="1163" w:type="dxa"/>
            <w:vAlign w:val="center"/>
          </w:tcPr>
          <w:p>
            <w:pPr>
              <w:tabs>
                <w:tab w:val="left" w:pos="702"/>
              </w:tabs>
              <w:spacing w:line="380" w:lineRule="exact"/>
              <w:jc w:val="center"/>
              <w:rPr>
                <w:rFonts w:ascii="宋体" w:hAnsi="宋体" w:eastAsia="宋体"/>
                <w:spacing w:val="20"/>
                <w:sz w:val="32"/>
                <w:szCs w:val="32"/>
                <w:lang w:eastAsia="zh-CN"/>
              </w:rPr>
            </w:pPr>
          </w:p>
        </w:tc>
        <w:tc>
          <w:tcPr>
            <w:tcW w:w="1443" w:type="dxa"/>
            <w:vAlign w:val="center"/>
          </w:tcPr>
          <w:p>
            <w:pPr>
              <w:tabs>
                <w:tab w:val="left" w:pos="702"/>
              </w:tabs>
              <w:spacing w:line="380" w:lineRule="exact"/>
              <w:jc w:val="center"/>
              <w:rPr>
                <w:rFonts w:ascii="宋体" w:hAnsi="宋体" w:eastAsia="宋体"/>
                <w:sz w:val="32"/>
                <w:szCs w:val="32"/>
                <w:lang w:eastAsia="zh-CN"/>
              </w:rPr>
            </w:pPr>
          </w:p>
        </w:tc>
        <w:tc>
          <w:tcPr>
            <w:tcW w:w="1470" w:type="dxa"/>
            <w:vAlign w:val="center"/>
          </w:tcPr>
          <w:p>
            <w:pPr>
              <w:tabs>
                <w:tab w:val="left" w:pos="702"/>
              </w:tabs>
              <w:spacing w:line="380" w:lineRule="exact"/>
              <w:jc w:val="center"/>
              <w:rPr>
                <w:rFonts w:ascii="宋体" w:hAnsi="宋体" w:eastAsia="宋体"/>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695" w:type="dxa"/>
            <w:vAlign w:val="center"/>
          </w:tcPr>
          <w:p>
            <w:pPr>
              <w:tabs>
                <w:tab w:val="left" w:pos="702"/>
              </w:tabs>
              <w:spacing w:line="380" w:lineRule="exact"/>
              <w:jc w:val="center"/>
              <w:rPr>
                <w:rFonts w:ascii="宋体" w:hAnsi="宋体" w:eastAsia="宋体"/>
                <w:sz w:val="32"/>
                <w:szCs w:val="32"/>
                <w:lang w:eastAsia="zh-CN"/>
              </w:rPr>
            </w:pPr>
          </w:p>
        </w:tc>
        <w:tc>
          <w:tcPr>
            <w:tcW w:w="890" w:type="dxa"/>
            <w:vAlign w:val="center"/>
          </w:tcPr>
          <w:p>
            <w:pPr>
              <w:spacing w:line="380" w:lineRule="exact"/>
              <w:jc w:val="center"/>
              <w:rPr>
                <w:rFonts w:ascii="宋体" w:hAnsi="宋体" w:eastAsia="宋体"/>
                <w:sz w:val="32"/>
                <w:szCs w:val="32"/>
                <w:lang w:eastAsia="zh-CN"/>
              </w:rPr>
            </w:pPr>
          </w:p>
        </w:tc>
        <w:tc>
          <w:tcPr>
            <w:tcW w:w="4406" w:type="dxa"/>
            <w:vAlign w:val="center"/>
          </w:tcPr>
          <w:p>
            <w:pPr>
              <w:tabs>
                <w:tab w:val="left" w:pos="702"/>
              </w:tabs>
              <w:spacing w:line="380" w:lineRule="exact"/>
              <w:jc w:val="center"/>
              <w:rPr>
                <w:rFonts w:ascii="宋体" w:hAnsi="宋体" w:eastAsia="宋体"/>
                <w:sz w:val="32"/>
                <w:szCs w:val="32"/>
                <w:lang w:eastAsia="zh-CN"/>
              </w:rPr>
            </w:pPr>
          </w:p>
        </w:tc>
        <w:tc>
          <w:tcPr>
            <w:tcW w:w="1163" w:type="dxa"/>
            <w:vAlign w:val="center"/>
          </w:tcPr>
          <w:p>
            <w:pPr>
              <w:tabs>
                <w:tab w:val="left" w:pos="702"/>
              </w:tabs>
              <w:spacing w:line="380" w:lineRule="exact"/>
              <w:jc w:val="center"/>
              <w:rPr>
                <w:rFonts w:ascii="宋体" w:hAnsi="宋体" w:eastAsia="宋体"/>
                <w:spacing w:val="20"/>
                <w:sz w:val="32"/>
                <w:szCs w:val="32"/>
                <w:lang w:eastAsia="zh-CN"/>
              </w:rPr>
            </w:pPr>
          </w:p>
        </w:tc>
        <w:tc>
          <w:tcPr>
            <w:tcW w:w="1443" w:type="dxa"/>
            <w:vAlign w:val="center"/>
          </w:tcPr>
          <w:p>
            <w:pPr>
              <w:tabs>
                <w:tab w:val="left" w:pos="702"/>
              </w:tabs>
              <w:spacing w:line="380" w:lineRule="exact"/>
              <w:jc w:val="center"/>
              <w:rPr>
                <w:rFonts w:ascii="宋体" w:hAnsi="宋体" w:eastAsia="宋体"/>
                <w:sz w:val="32"/>
                <w:szCs w:val="32"/>
                <w:lang w:eastAsia="zh-CN"/>
              </w:rPr>
            </w:pPr>
          </w:p>
        </w:tc>
        <w:tc>
          <w:tcPr>
            <w:tcW w:w="1470" w:type="dxa"/>
            <w:vAlign w:val="center"/>
          </w:tcPr>
          <w:p>
            <w:pPr>
              <w:tabs>
                <w:tab w:val="left" w:pos="702"/>
              </w:tabs>
              <w:spacing w:line="380" w:lineRule="exact"/>
              <w:jc w:val="center"/>
              <w:rPr>
                <w:rFonts w:ascii="宋体" w:hAnsi="宋体" w:eastAsia="宋体"/>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695" w:type="dxa"/>
            <w:vAlign w:val="center"/>
          </w:tcPr>
          <w:p>
            <w:pPr>
              <w:tabs>
                <w:tab w:val="left" w:pos="702"/>
              </w:tabs>
              <w:spacing w:line="380" w:lineRule="exact"/>
              <w:jc w:val="center"/>
              <w:rPr>
                <w:rFonts w:ascii="宋体" w:hAnsi="宋体" w:eastAsia="宋体"/>
                <w:sz w:val="32"/>
                <w:szCs w:val="32"/>
                <w:lang w:eastAsia="zh-CN"/>
              </w:rPr>
            </w:pPr>
          </w:p>
        </w:tc>
        <w:tc>
          <w:tcPr>
            <w:tcW w:w="890" w:type="dxa"/>
            <w:vAlign w:val="center"/>
          </w:tcPr>
          <w:p>
            <w:pPr>
              <w:tabs>
                <w:tab w:val="left" w:pos="702"/>
              </w:tabs>
              <w:spacing w:line="380" w:lineRule="exact"/>
              <w:jc w:val="center"/>
              <w:rPr>
                <w:rFonts w:ascii="宋体" w:hAnsi="宋体" w:eastAsia="宋体"/>
                <w:sz w:val="32"/>
                <w:szCs w:val="32"/>
                <w:lang w:eastAsia="zh-CN"/>
              </w:rPr>
            </w:pPr>
          </w:p>
        </w:tc>
        <w:tc>
          <w:tcPr>
            <w:tcW w:w="4406" w:type="dxa"/>
            <w:vAlign w:val="center"/>
          </w:tcPr>
          <w:p>
            <w:pPr>
              <w:tabs>
                <w:tab w:val="left" w:pos="702"/>
              </w:tabs>
              <w:spacing w:line="380" w:lineRule="exact"/>
              <w:jc w:val="center"/>
              <w:rPr>
                <w:rFonts w:ascii="宋体" w:hAnsi="宋体" w:eastAsia="宋体"/>
                <w:sz w:val="32"/>
                <w:szCs w:val="32"/>
                <w:lang w:eastAsia="zh-CN"/>
              </w:rPr>
            </w:pPr>
          </w:p>
        </w:tc>
        <w:tc>
          <w:tcPr>
            <w:tcW w:w="1163" w:type="dxa"/>
            <w:vAlign w:val="center"/>
          </w:tcPr>
          <w:p>
            <w:pPr>
              <w:tabs>
                <w:tab w:val="left" w:pos="702"/>
              </w:tabs>
              <w:spacing w:line="380" w:lineRule="exact"/>
              <w:jc w:val="center"/>
              <w:rPr>
                <w:rFonts w:ascii="宋体" w:hAnsi="宋体" w:eastAsia="宋体"/>
                <w:spacing w:val="20"/>
                <w:sz w:val="32"/>
                <w:szCs w:val="32"/>
                <w:lang w:eastAsia="zh-CN"/>
              </w:rPr>
            </w:pPr>
          </w:p>
        </w:tc>
        <w:tc>
          <w:tcPr>
            <w:tcW w:w="1443" w:type="dxa"/>
            <w:vAlign w:val="center"/>
          </w:tcPr>
          <w:p>
            <w:pPr>
              <w:tabs>
                <w:tab w:val="left" w:pos="702"/>
              </w:tabs>
              <w:spacing w:line="380" w:lineRule="exact"/>
              <w:jc w:val="center"/>
              <w:rPr>
                <w:rFonts w:ascii="宋体" w:hAnsi="宋体" w:eastAsia="宋体"/>
                <w:spacing w:val="20"/>
                <w:sz w:val="32"/>
                <w:szCs w:val="32"/>
                <w:lang w:eastAsia="zh-CN"/>
              </w:rPr>
            </w:pPr>
          </w:p>
        </w:tc>
        <w:tc>
          <w:tcPr>
            <w:tcW w:w="1470" w:type="dxa"/>
            <w:vAlign w:val="center"/>
          </w:tcPr>
          <w:p>
            <w:pPr>
              <w:tabs>
                <w:tab w:val="left" w:pos="702"/>
              </w:tabs>
              <w:spacing w:line="380" w:lineRule="exact"/>
              <w:jc w:val="center"/>
              <w:rPr>
                <w:rFonts w:ascii="宋体" w:hAnsi="宋体" w:eastAsia="宋体"/>
                <w:spacing w:val="20"/>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695" w:type="dxa"/>
            <w:vAlign w:val="center"/>
          </w:tcPr>
          <w:p>
            <w:pPr>
              <w:tabs>
                <w:tab w:val="left" w:pos="702"/>
              </w:tabs>
              <w:spacing w:line="380" w:lineRule="exact"/>
              <w:jc w:val="center"/>
              <w:rPr>
                <w:rFonts w:ascii="宋体" w:hAnsi="宋体" w:eastAsia="宋体"/>
                <w:sz w:val="32"/>
                <w:szCs w:val="32"/>
                <w:lang w:eastAsia="zh-CN"/>
              </w:rPr>
            </w:pPr>
          </w:p>
        </w:tc>
        <w:tc>
          <w:tcPr>
            <w:tcW w:w="890" w:type="dxa"/>
            <w:vAlign w:val="center"/>
          </w:tcPr>
          <w:p>
            <w:pPr>
              <w:tabs>
                <w:tab w:val="left" w:pos="702"/>
              </w:tabs>
              <w:spacing w:line="380" w:lineRule="exact"/>
              <w:jc w:val="center"/>
              <w:rPr>
                <w:rFonts w:ascii="宋体" w:hAnsi="宋体" w:eastAsia="宋体"/>
                <w:sz w:val="32"/>
                <w:szCs w:val="32"/>
                <w:lang w:eastAsia="zh-CN"/>
              </w:rPr>
            </w:pPr>
          </w:p>
        </w:tc>
        <w:tc>
          <w:tcPr>
            <w:tcW w:w="4406" w:type="dxa"/>
            <w:vAlign w:val="center"/>
          </w:tcPr>
          <w:p>
            <w:pPr>
              <w:tabs>
                <w:tab w:val="left" w:pos="702"/>
              </w:tabs>
              <w:spacing w:line="380" w:lineRule="exact"/>
              <w:jc w:val="center"/>
              <w:rPr>
                <w:rFonts w:ascii="宋体" w:hAnsi="宋体" w:eastAsia="宋体"/>
                <w:sz w:val="32"/>
                <w:szCs w:val="32"/>
                <w:lang w:eastAsia="zh-CN"/>
              </w:rPr>
            </w:pPr>
          </w:p>
        </w:tc>
        <w:tc>
          <w:tcPr>
            <w:tcW w:w="1163" w:type="dxa"/>
            <w:vAlign w:val="center"/>
          </w:tcPr>
          <w:p>
            <w:pPr>
              <w:tabs>
                <w:tab w:val="left" w:pos="702"/>
              </w:tabs>
              <w:spacing w:line="380" w:lineRule="exact"/>
              <w:jc w:val="center"/>
              <w:rPr>
                <w:rFonts w:ascii="宋体" w:hAnsi="宋体" w:eastAsia="宋体"/>
                <w:sz w:val="32"/>
                <w:szCs w:val="32"/>
                <w:lang w:eastAsia="zh-CN"/>
              </w:rPr>
            </w:pPr>
          </w:p>
        </w:tc>
        <w:tc>
          <w:tcPr>
            <w:tcW w:w="1443" w:type="dxa"/>
            <w:vAlign w:val="center"/>
          </w:tcPr>
          <w:p>
            <w:pPr>
              <w:tabs>
                <w:tab w:val="left" w:pos="702"/>
              </w:tabs>
              <w:spacing w:line="380" w:lineRule="exact"/>
              <w:jc w:val="center"/>
              <w:rPr>
                <w:rFonts w:ascii="宋体" w:hAnsi="宋体" w:eastAsia="宋体"/>
                <w:sz w:val="32"/>
                <w:szCs w:val="32"/>
                <w:lang w:eastAsia="zh-CN"/>
              </w:rPr>
            </w:pPr>
          </w:p>
        </w:tc>
        <w:tc>
          <w:tcPr>
            <w:tcW w:w="1470" w:type="dxa"/>
            <w:vAlign w:val="center"/>
          </w:tcPr>
          <w:p>
            <w:pPr>
              <w:tabs>
                <w:tab w:val="left" w:pos="702"/>
              </w:tabs>
              <w:spacing w:line="380" w:lineRule="exact"/>
              <w:jc w:val="center"/>
              <w:rPr>
                <w:rFonts w:ascii="宋体" w:hAnsi="宋体" w:eastAsia="宋体"/>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695" w:type="dxa"/>
          </w:tcPr>
          <w:p>
            <w:pPr>
              <w:tabs>
                <w:tab w:val="left" w:pos="702"/>
              </w:tabs>
              <w:spacing w:line="380" w:lineRule="exact"/>
              <w:jc w:val="center"/>
              <w:rPr>
                <w:rFonts w:ascii="宋体" w:hAnsi="宋体" w:eastAsia="宋体"/>
                <w:sz w:val="32"/>
                <w:szCs w:val="32"/>
                <w:lang w:eastAsia="zh-CN"/>
              </w:rPr>
            </w:pPr>
          </w:p>
        </w:tc>
        <w:tc>
          <w:tcPr>
            <w:tcW w:w="890" w:type="dxa"/>
          </w:tcPr>
          <w:p>
            <w:pPr>
              <w:tabs>
                <w:tab w:val="left" w:pos="702"/>
              </w:tabs>
              <w:spacing w:line="380" w:lineRule="exact"/>
              <w:jc w:val="center"/>
              <w:rPr>
                <w:rFonts w:ascii="宋体" w:hAnsi="宋体" w:eastAsia="宋体"/>
                <w:sz w:val="32"/>
                <w:szCs w:val="32"/>
                <w:lang w:eastAsia="zh-CN"/>
              </w:rPr>
            </w:pPr>
          </w:p>
        </w:tc>
        <w:tc>
          <w:tcPr>
            <w:tcW w:w="4406" w:type="dxa"/>
          </w:tcPr>
          <w:p>
            <w:pPr>
              <w:tabs>
                <w:tab w:val="left" w:pos="702"/>
              </w:tabs>
              <w:spacing w:line="380" w:lineRule="exact"/>
              <w:jc w:val="center"/>
              <w:rPr>
                <w:rFonts w:ascii="宋体" w:hAnsi="宋体" w:eastAsia="宋体"/>
                <w:sz w:val="32"/>
                <w:szCs w:val="32"/>
                <w:lang w:eastAsia="zh-CN"/>
              </w:rPr>
            </w:pPr>
          </w:p>
        </w:tc>
        <w:tc>
          <w:tcPr>
            <w:tcW w:w="1163" w:type="dxa"/>
          </w:tcPr>
          <w:p>
            <w:pPr>
              <w:tabs>
                <w:tab w:val="left" w:pos="702"/>
              </w:tabs>
              <w:spacing w:line="380" w:lineRule="exact"/>
              <w:jc w:val="center"/>
              <w:rPr>
                <w:rFonts w:ascii="宋体" w:hAnsi="宋体" w:eastAsia="宋体"/>
                <w:sz w:val="32"/>
                <w:szCs w:val="32"/>
                <w:lang w:eastAsia="zh-CN"/>
              </w:rPr>
            </w:pPr>
          </w:p>
        </w:tc>
        <w:tc>
          <w:tcPr>
            <w:tcW w:w="1443" w:type="dxa"/>
          </w:tcPr>
          <w:p>
            <w:pPr>
              <w:tabs>
                <w:tab w:val="left" w:pos="702"/>
              </w:tabs>
              <w:spacing w:line="380" w:lineRule="exact"/>
              <w:jc w:val="center"/>
              <w:rPr>
                <w:rFonts w:ascii="宋体" w:hAnsi="宋体" w:eastAsia="宋体"/>
                <w:sz w:val="32"/>
                <w:szCs w:val="32"/>
                <w:lang w:eastAsia="zh-CN"/>
              </w:rPr>
            </w:pPr>
          </w:p>
        </w:tc>
        <w:tc>
          <w:tcPr>
            <w:tcW w:w="1470" w:type="dxa"/>
          </w:tcPr>
          <w:p>
            <w:pPr>
              <w:tabs>
                <w:tab w:val="left" w:pos="702"/>
              </w:tabs>
              <w:spacing w:line="380" w:lineRule="exact"/>
              <w:jc w:val="center"/>
              <w:rPr>
                <w:rFonts w:ascii="宋体" w:hAnsi="宋体" w:eastAsia="宋体"/>
                <w:sz w:val="32"/>
                <w:szCs w:val="32"/>
                <w:lang w:eastAsia="zh-CN"/>
              </w:rPr>
            </w:pPr>
          </w:p>
        </w:tc>
      </w:tr>
    </w:tbl>
    <w:p>
      <w:pPr>
        <w:rPr>
          <w:rFonts w:ascii="宋体" w:hAnsi="宋体" w:eastAsia="宋体"/>
          <w:sz w:val="24"/>
          <w:szCs w:val="24"/>
          <w:lang w:eastAsia="zh-CN"/>
        </w:rPr>
      </w:pPr>
    </w:p>
    <w:tbl>
      <w:tblPr>
        <w:tblStyle w:val="8"/>
        <w:tblW w:w="0" w:type="auto"/>
        <w:tblInd w:w="1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2" w:hRule="atLeast"/>
        </w:trPr>
        <w:tc>
          <w:tcPr>
            <w:tcW w:w="10241" w:type="dxa"/>
            <w:vAlign w:val="center"/>
          </w:tcPr>
          <w:p>
            <w:pPr>
              <w:tabs>
                <w:tab w:val="left" w:pos="702"/>
              </w:tabs>
              <w:spacing w:line="380" w:lineRule="exact"/>
              <w:jc w:val="center"/>
              <w:rPr>
                <w:rFonts w:ascii="宋体" w:hAnsi="宋体" w:eastAsia="宋体"/>
                <w:b/>
                <w:sz w:val="32"/>
                <w:szCs w:val="32"/>
                <w:lang w:eastAsia="zh-CN"/>
              </w:rPr>
            </w:pPr>
            <w:r>
              <w:rPr>
                <w:rFonts w:hint="eastAsia" w:ascii="SimHei" w:hAnsi="SimHei" w:eastAsia="黑体"/>
                <w:b/>
                <w:sz w:val="32"/>
                <w:szCs w:val="32"/>
                <w:lang w:eastAsia="zh-CN"/>
              </w:rPr>
              <w:t>相关人员签名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9" w:hRule="atLeast"/>
        </w:trPr>
        <w:tc>
          <w:tcPr>
            <w:tcW w:w="10241" w:type="dxa"/>
            <w:vAlign w:val="center"/>
          </w:tcPr>
          <w:p>
            <w:pPr>
              <w:tabs>
                <w:tab w:val="left" w:pos="702"/>
              </w:tabs>
              <w:spacing w:line="380" w:lineRule="exact"/>
              <w:jc w:val="center"/>
              <w:rPr>
                <w:rFonts w:ascii="宋体" w:hAnsi="宋体" w:eastAsia="宋体"/>
                <w:sz w:val="32"/>
                <w:szCs w:val="32"/>
                <w:lang w:eastAsia="zh-CN"/>
              </w:rPr>
            </w:pPr>
          </w:p>
        </w:tc>
      </w:tr>
    </w:tbl>
    <w:p>
      <w:pPr>
        <w:rPr>
          <w:rFonts w:ascii="宋体" w:hAnsi="宋体" w:eastAsia="宋体"/>
          <w:sz w:val="24"/>
          <w:szCs w:val="24"/>
          <w:lang w:eastAsia="zh-CN"/>
        </w:rPr>
      </w:pPr>
    </w:p>
    <w:p>
      <w:pPr>
        <w:jc w:val="right"/>
        <w:rPr>
          <w:rFonts w:ascii="宋体" w:hAnsi="宋体" w:eastAsia="宋体"/>
          <w:sz w:val="24"/>
          <w:szCs w:val="24"/>
          <w:lang w:eastAsia="zh-CN"/>
        </w:rPr>
      </w:pPr>
    </w:p>
    <w:tbl>
      <w:tblPr>
        <w:tblStyle w:val="8"/>
        <w:tblW w:w="0" w:type="auto"/>
        <w:tblInd w:w="108" w:type="dxa"/>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3306"/>
        <w:gridCol w:w="3354"/>
        <w:gridCol w:w="3600"/>
      </w:tblGrid>
      <w:tr>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692" w:hRule="atLeast"/>
        </w:trPr>
        <w:tc>
          <w:tcPr>
            <w:tcW w:w="3306" w:type="dxa"/>
            <w:vAlign w:val="center"/>
          </w:tcPr>
          <w:p>
            <w:pPr>
              <w:spacing w:line="380" w:lineRule="exact"/>
              <w:jc w:val="both"/>
              <w:rPr>
                <w:rFonts w:ascii="宋体" w:hAnsi="宋体" w:eastAsia="宋体"/>
                <w:sz w:val="32"/>
                <w:szCs w:val="32"/>
                <w:lang w:eastAsia="zh-CN"/>
              </w:rPr>
            </w:pPr>
            <w:r>
              <w:rPr>
                <w:rFonts w:hint="eastAsia" w:ascii="SimHei" w:hAnsi="SimHei" w:eastAsia="黑体"/>
                <w:sz w:val="32"/>
                <w:szCs w:val="32"/>
                <w:lang w:eastAsia="zh-CN"/>
              </w:rPr>
              <w:t>审批：</w:t>
            </w:r>
          </w:p>
        </w:tc>
        <w:tc>
          <w:tcPr>
            <w:tcW w:w="3354" w:type="dxa"/>
            <w:vAlign w:val="center"/>
          </w:tcPr>
          <w:p>
            <w:pPr>
              <w:spacing w:line="380" w:lineRule="exact"/>
              <w:jc w:val="both"/>
              <w:rPr>
                <w:rFonts w:ascii="宋体" w:hAnsi="宋体" w:eastAsia="宋体"/>
                <w:sz w:val="32"/>
                <w:szCs w:val="32"/>
                <w:lang w:eastAsia="zh-CN"/>
              </w:rPr>
            </w:pPr>
            <w:r>
              <w:rPr>
                <w:rFonts w:hint="eastAsia" w:ascii="SimHei" w:hAnsi="SimHei" w:eastAsia="黑体"/>
                <w:sz w:val="32"/>
                <w:szCs w:val="32"/>
                <w:lang w:eastAsia="zh-CN"/>
              </w:rPr>
              <w:t>审核：</w:t>
            </w:r>
          </w:p>
        </w:tc>
        <w:tc>
          <w:tcPr>
            <w:tcW w:w="3600" w:type="dxa"/>
            <w:vAlign w:val="center"/>
          </w:tcPr>
          <w:p>
            <w:pPr>
              <w:spacing w:line="380" w:lineRule="exact"/>
              <w:jc w:val="both"/>
              <w:rPr>
                <w:rFonts w:ascii="宋体" w:hAnsi="宋体" w:eastAsia="宋体"/>
                <w:sz w:val="32"/>
                <w:szCs w:val="32"/>
                <w:lang w:eastAsia="zh-CN"/>
              </w:rPr>
            </w:pPr>
            <w:r>
              <w:rPr>
                <w:rFonts w:hint="eastAsia" w:ascii="SimHei" w:hAnsi="SimHei" w:eastAsia="黑体"/>
                <w:sz w:val="32"/>
                <w:szCs w:val="32"/>
                <w:lang w:eastAsia="zh-CN"/>
              </w:rPr>
              <w:t>制订：</w:t>
            </w: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768" w:hRule="atLeast"/>
        </w:trPr>
        <w:tc>
          <w:tcPr>
            <w:tcW w:w="3306" w:type="dxa"/>
            <w:vAlign w:val="center"/>
          </w:tcPr>
          <w:p>
            <w:pPr>
              <w:spacing w:line="380" w:lineRule="exact"/>
              <w:jc w:val="both"/>
              <w:rPr>
                <w:rFonts w:ascii="宋体" w:hAnsi="宋体" w:eastAsia="宋体"/>
                <w:sz w:val="32"/>
                <w:szCs w:val="32"/>
                <w:lang w:eastAsia="zh-CN"/>
              </w:rPr>
            </w:pPr>
            <w:r>
              <w:rPr>
                <w:rFonts w:hint="eastAsia" w:ascii="SimHei" w:hAnsi="SimHei" w:eastAsia="黑体"/>
                <w:sz w:val="32"/>
                <w:szCs w:val="32"/>
                <w:lang w:eastAsia="zh-CN"/>
              </w:rPr>
              <w:t>日期：</w:t>
            </w:r>
          </w:p>
        </w:tc>
        <w:tc>
          <w:tcPr>
            <w:tcW w:w="3354" w:type="dxa"/>
            <w:vAlign w:val="center"/>
          </w:tcPr>
          <w:p>
            <w:pPr>
              <w:spacing w:line="380" w:lineRule="exact"/>
              <w:jc w:val="both"/>
              <w:rPr>
                <w:rFonts w:ascii="宋体" w:hAnsi="宋体" w:eastAsia="宋体"/>
                <w:sz w:val="32"/>
                <w:szCs w:val="32"/>
                <w:lang w:eastAsia="zh-CN"/>
              </w:rPr>
            </w:pPr>
            <w:r>
              <w:rPr>
                <w:rFonts w:hint="eastAsia" w:ascii="SimHei" w:hAnsi="SimHei" w:eastAsia="黑体"/>
                <w:sz w:val="32"/>
                <w:szCs w:val="32"/>
                <w:lang w:eastAsia="zh-CN"/>
              </w:rPr>
              <w:t>日期:</w:t>
            </w:r>
          </w:p>
        </w:tc>
        <w:tc>
          <w:tcPr>
            <w:tcW w:w="3600" w:type="dxa"/>
            <w:vAlign w:val="center"/>
          </w:tcPr>
          <w:p>
            <w:pPr>
              <w:spacing w:line="380" w:lineRule="exact"/>
              <w:jc w:val="both"/>
              <w:rPr>
                <w:rFonts w:ascii="宋体" w:hAnsi="宋体" w:eastAsia="宋体"/>
                <w:sz w:val="32"/>
                <w:szCs w:val="32"/>
                <w:lang w:eastAsia="zh-CN"/>
              </w:rPr>
            </w:pPr>
            <w:r>
              <w:rPr>
                <w:rFonts w:hint="eastAsia" w:ascii="SimHei" w:hAnsi="SimHei" w:eastAsia="黑体"/>
                <w:sz w:val="32"/>
                <w:szCs w:val="32"/>
                <w:lang w:eastAsia="zh-CN"/>
              </w:rPr>
              <w:t>日期:</w:t>
            </w:r>
          </w:p>
        </w:tc>
      </w:tr>
    </w:tbl>
    <w:p>
      <w:pPr>
        <w:rPr>
          <w:rFonts w:ascii="宋体" w:hAnsi="宋体" w:eastAsia="宋体"/>
          <w:sz w:val="24"/>
          <w:szCs w:val="24"/>
          <w:lang w:eastAsia="zh-CN"/>
        </w:rPr>
      </w:pPr>
    </w:p>
    <w:p>
      <w:pPr>
        <w:pStyle w:val="15"/>
        <w:numPr>
          <w:ilvl w:val="0"/>
          <w:numId w:val="1"/>
        </w:numPr>
        <w:ind w:firstLineChars="0"/>
        <w:jc w:val="both"/>
        <w:rPr>
          <w:rFonts w:asciiTheme="minorHAnsi" w:hAnsiTheme="minorHAnsi" w:eastAsiaTheme="minorEastAsia" w:cstheme="minorBidi"/>
          <w:b/>
          <w:sz w:val="24"/>
          <w:szCs w:val="28"/>
          <w:lang w:eastAsia="zh-CN"/>
        </w:rPr>
      </w:pPr>
      <w:r>
        <w:rPr>
          <w:rFonts w:hint="eastAsia" w:asciiTheme="minorHAnsi" w:hAnsiTheme="minorHAnsi" w:eastAsiaTheme="minorEastAsia" w:cstheme="minorBidi" w:ascii="SimHei" w:hAnsi="SimHei" w:eastAsia="黑体"/>
          <w:b/>
          <w:sz w:val="24"/>
          <w:szCs w:val="28"/>
          <w:lang w:eastAsia="zh-CN"/>
        </w:rPr>
        <w:t>制订目的</w:t>
      </w:r>
    </w:p>
    <w:p>
      <w:pPr>
        <w:jc w:val="both"/>
        <w:rPr>
          <w:rFonts w:asciiTheme="minorHAnsi" w:hAnsiTheme="minorHAnsi" w:eastAsiaTheme="minorEastAsia" w:cstheme="minorBidi"/>
          <w:sz w:val="24"/>
          <w:szCs w:val="28"/>
          <w:lang w:eastAsia="zh-CN"/>
        </w:rPr>
      </w:pPr>
      <w:r>
        <w:rPr>
          <w:rFonts w:hint="eastAsia" w:asciiTheme="minorHAnsi" w:hAnsiTheme="minorHAnsi" w:eastAsiaTheme="minorEastAsia" w:cstheme="minorBidi" w:ascii="SimHei" w:hAnsi="SimHei" w:eastAsia="黑体"/>
          <w:sz w:val="24"/>
          <w:szCs w:val="28"/>
          <w:lang w:eastAsia="zh-CN"/>
        </w:rPr>
        <w:t>1.1 为了控制投资风险、提高投资收益，确保股东投资回报率；</w:t>
      </w:r>
    </w:p>
    <w:p>
      <w:pPr>
        <w:pStyle w:val="15"/>
        <w:numPr>
          <w:ilvl w:val="1"/>
          <w:numId w:val="2"/>
        </w:numPr>
        <w:ind w:firstLineChars="0"/>
        <w:jc w:val="both"/>
        <w:rPr>
          <w:rFonts w:asciiTheme="minorHAnsi" w:hAnsiTheme="minorHAnsi" w:eastAsiaTheme="minorEastAsia" w:cstheme="minorBidi"/>
          <w:sz w:val="24"/>
          <w:szCs w:val="28"/>
          <w:lang w:eastAsia="zh-CN"/>
        </w:rPr>
      </w:pPr>
      <w:r>
        <w:rPr>
          <w:rFonts w:hint="eastAsia" w:asciiTheme="minorHAnsi" w:hAnsiTheme="minorHAnsi" w:eastAsiaTheme="minorEastAsia" w:cstheme="minorBidi" w:ascii="SimHei" w:hAnsi="SimHei" w:eastAsia="黑体"/>
          <w:sz w:val="24"/>
          <w:szCs w:val="28"/>
          <w:lang w:eastAsia="zh-CN"/>
        </w:rPr>
        <w:t>增强企业的投资管理水平及投资项目的营运管理能力；</w:t>
      </w:r>
    </w:p>
    <w:p>
      <w:pPr>
        <w:jc w:val="both"/>
        <w:rPr>
          <w:rFonts w:asciiTheme="minorHAnsi" w:hAnsiTheme="minorHAnsi" w:eastAsiaTheme="minorEastAsia" w:cstheme="minorBidi"/>
          <w:sz w:val="24"/>
          <w:szCs w:val="28"/>
          <w:lang w:eastAsia="zh-CN"/>
        </w:rPr>
      </w:pPr>
      <w:r>
        <w:rPr>
          <w:rFonts w:hint="eastAsia" w:asciiTheme="minorHAnsi" w:hAnsiTheme="minorHAnsi" w:eastAsiaTheme="minorEastAsia" w:cstheme="minorBidi" w:ascii="SimHei" w:hAnsi="SimHei" w:eastAsia="黑体"/>
          <w:sz w:val="24"/>
          <w:szCs w:val="28"/>
          <w:lang w:eastAsia="zh-CN"/>
        </w:rPr>
        <w:t>2．</w:t>
      </w:r>
      <w:r>
        <w:rPr>
          <w:rFonts w:hint="eastAsia" w:asciiTheme="minorHAnsi" w:hAnsiTheme="minorHAnsi" w:eastAsiaTheme="minorEastAsia" w:cstheme="minorBidi" w:ascii="SimHei" w:hAnsi="SimHei" w:eastAsia="黑体"/>
          <w:b/>
          <w:sz w:val="24"/>
          <w:szCs w:val="28"/>
          <w:lang w:eastAsia="zh-CN"/>
        </w:rPr>
        <w:t>适用范围</w:t>
      </w:r>
    </w:p>
    <w:p>
      <w:pPr>
        <w:jc w:val="both"/>
        <w:rPr>
          <w:rFonts w:asciiTheme="minorHAnsi" w:hAnsiTheme="minorHAnsi" w:eastAsiaTheme="minorEastAsia" w:cstheme="minorBidi"/>
          <w:sz w:val="24"/>
          <w:szCs w:val="28"/>
          <w:lang w:eastAsia="zh-CN"/>
        </w:rPr>
      </w:pPr>
      <w:r>
        <w:rPr>
          <w:rFonts w:hint="eastAsia" w:asciiTheme="minorHAnsi" w:hAnsiTheme="minorHAnsi" w:eastAsiaTheme="minorEastAsia" w:cstheme="minorBidi" w:ascii="SimHei" w:hAnsi="SimHei" w:eastAsia="黑体"/>
          <w:sz w:val="24"/>
          <w:szCs w:val="28"/>
          <w:lang w:eastAsia="zh-CN"/>
        </w:rPr>
        <w:t>2．1 本标准适用于公司经营管理层的经营绩效管理；</w:t>
      </w:r>
    </w:p>
    <w:p>
      <w:pPr>
        <w:jc w:val="both"/>
        <w:rPr>
          <w:rFonts w:asciiTheme="minorHAnsi" w:hAnsiTheme="minorHAnsi" w:eastAsiaTheme="minorEastAsia" w:cstheme="minorBidi"/>
          <w:sz w:val="24"/>
          <w:szCs w:val="28"/>
          <w:lang w:eastAsia="zh-CN"/>
        </w:rPr>
      </w:pPr>
      <w:r>
        <w:rPr>
          <w:rFonts w:hint="eastAsia" w:asciiTheme="minorHAnsi" w:hAnsiTheme="minorHAnsi" w:eastAsiaTheme="minorEastAsia" w:cstheme="minorBidi" w:ascii="SimHei" w:hAnsi="SimHei" w:eastAsia="黑体"/>
          <w:sz w:val="24"/>
          <w:szCs w:val="28"/>
          <w:lang w:eastAsia="zh-CN"/>
        </w:rPr>
        <w:t>3．</w:t>
      </w:r>
      <w:r>
        <w:rPr>
          <w:rFonts w:hint="eastAsia" w:asciiTheme="minorHAnsi" w:hAnsiTheme="minorHAnsi" w:eastAsiaTheme="minorEastAsia" w:cstheme="minorBidi" w:ascii="SimHei" w:hAnsi="SimHei" w:eastAsia="黑体"/>
          <w:b/>
          <w:sz w:val="24"/>
          <w:szCs w:val="28"/>
          <w:lang w:eastAsia="zh-CN"/>
        </w:rPr>
        <w:t>管理职责</w:t>
      </w:r>
    </w:p>
    <w:p>
      <w:pPr>
        <w:jc w:val="both"/>
        <w:rPr>
          <w:rFonts w:asciiTheme="minorHAnsi" w:hAnsiTheme="minorHAnsi" w:eastAsiaTheme="minorEastAsia" w:cstheme="minorBidi"/>
          <w:sz w:val="24"/>
          <w:szCs w:val="28"/>
          <w:lang w:eastAsia="zh-CN"/>
        </w:rPr>
      </w:pPr>
      <w:r>
        <w:rPr>
          <w:rFonts w:hint="eastAsia" w:asciiTheme="minorHAnsi" w:hAnsiTheme="minorHAnsi" w:eastAsiaTheme="minorEastAsia" w:cstheme="minorBidi" w:ascii="SimHei" w:hAnsi="SimHei" w:eastAsia="黑体"/>
          <w:sz w:val="24"/>
          <w:szCs w:val="28"/>
          <w:lang w:eastAsia="zh-CN"/>
        </w:rPr>
        <w:t>3．1人力资</w:t>
      </w:r>
      <w:bookmarkStart w:id="0" w:name="_GoBack"/>
      <w:bookmarkEnd w:id="0"/>
      <w:r>
        <w:rPr>
          <w:rFonts w:hint="eastAsia" w:asciiTheme="minorHAnsi" w:hAnsiTheme="minorHAnsi" w:eastAsiaTheme="minorEastAsia" w:cstheme="minorBidi" w:ascii="SimHei" w:hAnsi="SimHei" w:eastAsia="黑体"/>
          <w:sz w:val="24"/>
          <w:szCs w:val="28"/>
          <w:lang w:eastAsia="zh-CN"/>
        </w:rPr>
        <w:t>源部负责本标准的起草、组织修订、报批并组织培训；</w:t>
      </w:r>
    </w:p>
    <w:p>
      <w:pPr>
        <w:jc w:val="both"/>
        <w:rPr>
          <w:rFonts w:asciiTheme="minorHAnsi" w:hAnsiTheme="minorHAnsi" w:eastAsiaTheme="minorEastAsia" w:cstheme="minorBidi"/>
          <w:sz w:val="24"/>
          <w:szCs w:val="28"/>
          <w:lang w:eastAsia="zh-CN"/>
        </w:rPr>
      </w:pPr>
      <w:r>
        <w:rPr>
          <w:rFonts w:hint="eastAsia" w:asciiTheme="minorHAnsi" w:hAnsiTheme="minorHAnsi" w:eastAsiaTheme="minorEastAsia" w:cstheme="minorBidi" w:ascii="SimHei" w:hAnsi="SimHei" w:eastAsia="黑体"/>
          <w:sz w:val="24"/>
          <w:szCs w:val="28"/>
          <w:lang w:eastAsia="zh-CN"/>
        </w:rPr>
        <w:t>3．2公司总经理负责对本标准的审核；</w:t>
      </w:r>
    </w:p>
    <w:p>
      <w:pPr>
        <w:jc w:val="both"/>
        <w:rPr>
          <w:rFonts w:asciiTheme="minorHAnsi" w:hAnsiTheme="minorHAnsi" w:eastAsiaTheme="minorEastAsia" w:cstheme="minorBidi"/>
          <w:sz w:val="24"/>
          <w:szCs w:val="28"/>
          <w:lang w:eastAsia="zh-CN"/>
        </w:rPr>
      </w:pPr>
      <w:r>
        <w:rPr>
          <w:rFonts w:hint="eastAsia" w:asciiTheme="minorHAnsi" w:hAnsiTheme="minorHAnsi" w:eastAsiaTheme="minorEastAsia" w:cstheme="minorBidi" w:ascii="SimHei" w:hAnsi="SimHei" w:eastAsia="黑体"/>
          <w:sz w:val="24"/>
          <w:szCs w:val="28"/>
          <w:lang w:eastAsia="zh-CN"/>
        </w:rPr>
        <w:t>3．3股东会或董事会负责对本标准的审批；</w:t>
      </w:r>
    </w:p>
    <w:p>
      <w:pPr>
        <w:jc w:val="both"/>
        <w:rPr>
          <w:rFonts w:asciiTheme="minorHAnsi" w:hAnsiTheme="minorHAnsi" w:eastAsiaTheme="minorEastAsia" w:cstheme="minorBidi"/>
          <w:b/>
          <w:sz w:val="24"/>
          <w:szCs w:val="28"/>
          <w:lang w:eastAsia="zh-CN"/>
        </w:rPr>
      </w:pPr>
      <w:r>
        <w:rPr>
          <w:rFonts w:hint="eastAsia" w:asciiTheme="minorHAnsi" w:hAnsiTheme="minorHAnsi" w:eastAsiaTheme="minorEastAsia" w:cstheme="minorBidi" w:ascii="SimHei" w:hAnsi="SimHei" w:eastAsia="黑体"/>
          <w:sz w:val="24"/>
          <w:szCs w:val="28"/>
          <w:lang w:eastAsia="zh-CN"/>
        </w:rPr>
        <w:t>4．</w:t>
      </w:r>
      <w:r>
        <w:rPr>
          <w:rFonts w:hint="eastAsia" w:asciiTheme="minorHAnsi" w:hAnsiTheme="minorHAnsi" w:eastAsiaTheme="minorEastAsia" w:cstheme="minorBidi" w:ascii="SimHei" w:hAnsi="SimHei" w:eastAsia="黑体"/>
          <w:b/>
          <w:sz w:val="24"/>
          <w:szCs w:val="28"/>
          <w:lang w:eastAsia="zh-CN"/>
        </w:rPr>
        <w:t>概念定义</w:t>
      </w:r>
    </w:p>
    <w:p>
      <w:pPr>
        <w:jc w:val="both"/>
        <w:rPr>
          <w:rFonts w:asciiTheme="minorHAnsi" w:hAnsiTheme="minorHAnsi" w:eastAsiaTheme="minorEastAsia" w:cstheme="minorBidi"/>
          <w:sz w:val="24"/>
          <w:szCs w:val="28"/>
          <w:lang w:eastAsia="zh-CN"/>
        </w:rPr>
      </w:pPr>
      <w:r>
        <w:rPr>
          <w:rFonts w:hint="eastAsia" w:asciiTheme="minorHAnsi" w:hAnsiTheme="minorHAnsi" w:eastAsiaTheme="minorEastAsia" w:cstheme="minorBidi" w:ascii="SimHei" w:hAnsi="SimHei" w:eastAsia="黑体"/>
          <w:b/>
          <w:sz w:val="24"/>
          <w:szCs w:val="28"/>
          <w:lang w:eastAsia="zh-CN"/>
        </w:rPr>
        <w:t xml:space="preserve">  </w:t>
      </w:r>
      <w:r>
        <w:rPr>
          <w:rFonts w:hint="eastAsia" w:asciiTheme="minorHAnsi" w:hAnsiTheme="minorHAnsi" w:eastAsiaTheme="minorEastAsia" w:cstheme="minorBidi" w:ascii="SimHei" w:hAnsi="SimHei" w:eastAsia="黑体"/>
          <w:sz w:val="24"/>
          <w:szCs w:val="28"/>
          <w:lang w:eastAsia="zh-CN"/>
        </w:rPr>
        <w:t xml:space="preserve"> 利润中心：指对企业投资资产、经营收入、经营成本及利润承担责任的管理单位，本标准中的利润中心责任人为公司总经理、副总经理及各部门负责人。</w:t>
      </w:r>
    </w:p>
    <w:p>
      <w:pPr>
        <w:pStyle w:val="15"/>
        <w:numPr>
          <w:ilvl w:val="0"/>
          <w:numId w:val="3"/>
        </w:numPr>
        <w:ind w:firstLineChars="0"/>
        <w:jc w:val="both"/>
        <w:rPr>
          <w:rFonts w:asciiTheme="minorHAnsi" w:hAnsiTheme="minorHAnsi" w:eastAsiaTheme="minorEastAsia" w:cstheme="minorBidi"/>
          <w:sz w:val="24"/>
          <w:szCs w:val="28"/>
          <w:lang w:eastAsia="zh-CN"/>
        </w:rPr>
      </w:pPr>
      <w:r>
        <w:rPr>
          <w:rFonts w:hint="eastAsia" w:asciiTheme="minorHAnsi" w:hAnsiTheme="minorHAnsi" w:eastAsiaTheme="minorEastAsia" w:cstheme="minorBidi" w:ascii="SimHei" w:hAnsi="SimHei" w:eastAsia="黑体"/>
          <w:b/>
          <w:sz w:val="24"/>
          <w:szCs w:val="28"/>
          <w:lang w:eastAsia="zh-CN"/>
        </w:rPr>
        <w:t>管理标准</w:t>
      </w:r>
    </w:p>
    <w:p>
      <w:pPr>
        <w:jc w:val="both"/>
        <w:rPr>
          <w:rFonts w:asciiTheme="minorHAnsi" w:hAnsiTheme="minorHAnsi" w:eastAsiaTheme="minorEastAsia" w:cstheme="minorBidi"/>
          <w:sz w:val="24"/>
          <w:szCs w:val="28"/>
          <w:lang w:eastAsia="zh-CN"/>
        </w:rPr>
      </w:pPr>
      <w:r>
        <w:rPr>
          <w:rFonts w:hint="eastAsia" w:asciiTheme="minorHAnsi" w:hAnsiTheme="minorHAnsi" w:eastAsiaTheme="minorEastAsia" w:cstheme="minorBidi" w:ascii="SimHei" w:hAnsi="SimHei" w:eastAsia="黑体"/>
          <w:sz w:val="24"/>
          <w:szCs w:val="28"/>
          <w:lang w:eastAsia="zh-CN"/>
        </w:rPr>
        <w:t xml:space="preserve">5．1 </w:t>
      </w:r>
      <w:r>
        <w:rPr>
          <w:rFonts w:hint="eastAsia" w:asciiTheme="minorHAnsi" w:hAnsiTheme="minorHAnsi" w:eastAsiaTheme="minorEastAsia" w:cstheme="minorBidi" w:ascii="SimHei" w:hAnsi="SimHei" w:eastAsia="黑体"/>
          <w:b/>
          <w:sz w:val="24"/>
          <w:szCs w:val="28"/>
          <w:lang w:eastAsia="zh-CN"/>
        </w:rPr>
        <w:t>绩效指标：</w:t>
      </w:r>
      <w:r>
        <w:rPr>
          <w:rFonts w:hint="eastAsia" w:asciiTheme="minorHAnsi" w:hAnsiTheme="minorHAnsi" w:eastAsiaTheme="minorEastAsia" w:cstheme="minorBidi" w:ascii="SimHei" w:hAnsi="SimHei" w:eastAsia="黑体"/>
          <w:sz w:val="24"/>
          <w:szCs w:val="28"/>
          <w:lang w:eastAsia="zh-CN"/>
        </w:rPr>
        <w:t>2021年利润中心绩效考核指标如下</w:t>
      </w:r>
    </w:p>
    <w:p>
      <w:pPr>
        <w:jc w:val="both"/>
        <w:rPr>
          <w:rFonts w:asciiTheme="minorHAnsi" w:hAnsiTheme="minorHAnsi" w:eastAsiaTheme="minorEastAsia" w:cstheme="minorBidi"/>
          <w:sz w:val="24"/>
          <w:szCs w:val="28"/>
          <w:lang w:eastAsia="zh-CN"/>
        </w:rPr>
      </w:pPr>
      <w:r>
        <w:rPr>
          <w:rFonts w:hint="eastAsia" w:ascii="SimHei" w:hAnsi="SimHei" w:eastAsia="黑体"/>
          <w:sz w:val="32"/>
          <w:szCs w:val="32"/>
          <w:lang w:eastAsia="zh-CN"/>
        </w:rPr>
      </w:r>
    </w:p>
    <w:p>
      <w:pPr>
        <w:jc w:val="both"/>
        <w:rPr>
          <w:rFonts w:asciiTheme="minorHAnsi" w:hAnsiTheme="minorHAnsi" w:eastAsiaTheme="minorEastAsia" w:cstheme="minorBidi"/>
          <w:sz w:val="24"/>
          <w:szCs w:val="28"/>
          <w:lang w:eastAsia="zh-CN"/>
        </w:rPr>
      </w:pPr>
      <w:r>
        <w:rPr>
          <w:rFonts w:hint="eastAsia" w:asciiTheme="minorHAnsi" w:hAnsiTheme="minorHAnsi" w:eastAsiaTheme="minorEastAsia" w:cstheme="minorBidi" w:ascii="SimHei" w:hAnsi="SimHei" w:eastAsia="黑体"/>
          <w:sz w:val="24"/>
          <w:szCs w:val="28"/>
          <w:lang w:eastAsia="zh-CN"/>
        </w:rPr>
        <w:t>备注：销售额、经营成本、净利润指标单位为亿元人民币。</w:t>
      </w:r>
    </w:p>
    <w:p>
      <w:pPr>
        <w:jc w:val="both"/>
        <w:rPr>
          <w:rFonts w:asciiTheme="minorHAnsi" w:hAnsiTheme="minorHAnsi" w:eastAsiaTheme="minorEastAsia" w:cstheme="minorBidi"/>
          <w:sz w:val="24"/>
          <w:szCs w:val="28"/>
          <w:lang w:eastAsia="zh-CN"/>
        </w:rPr>
      </w:pPr>
      <w:r>
        <w:rPr>
          <w:rFonts w:hint="eastAsia" w:asciiTheme="minorHAnsi" w:hAnsiTheme="minorHAnsi" w:eastAsiaTheme="minorEastAsia" w:cstheme="minorBidi" w:ascii="SimHei" w:hAnsi="SimHei" w:eastAsia="黑体"/>
          <w:sz w:val="24"/>
          <w:szCs w:val="28"/>
          <w:lang w:eastAsia="zh-CN"/>
        </w:rPr>
        <w:t xml:space="preserve">5.2 </w:t>
      </w:r>
      <w:r>
        <w:rPr>
          <w:rFonts w:hint="eastAsia" w:asciiTheme="minorHAnsi" w:hAnsiTheme="minorHAnsi" w:eastAsiaTheme="minorEastAsia" w:cstheme="minorBidi" w:ascii="SimHei" w:hAnsi="SimHei" w:eastAsia="黑体"/>
          <w:b/>
          <w:sz w:val="24"/>
          <w:szCs w:val="28"/>
          <w:lang w:eastAsia="zh-CN"/>
        </w:rPr>
        <w:t>指标说明</w:t>
      </w:r>
    </w:p>
    <w:p>
      <w:pPr>
        <w:jc w:val="both"/>
        <w:rPr>
          <w:rFonts w:asciiTheme="minorHAnsi" w:hAnsiTheme="minorHAnsi" w:eastAsiaTheme="minorEastAsia" w:cstheme="minorBidi"/>
          <w:sz w:val="24"/>
          <w:szCs w:val="28"/>
          <w:lang w:eastAsia="zh-CN"/>
        </w:rPr>
      </w:pPr>
      <w:r>
        <w:rPr>
          <w:rFonts w:hint="eastAsia" w:asciiTheme="minorHAnsi" w:hAnsiTheme="minorHAnsi" w:eastAsiaTheme="minorEastAsia" w:cstheme="minorBidi" w:ascii="SimHei" w:hAnsi="SimHei" w:eastAsia="黑体"/>
          <w:sz w:val="24"/>
          <w:szCs w:val="28"/>
          <w:lang w:eastAsia="zh-CN"/>
        </w:rPr>
        <w:t>5.2.1 销售额以实际出货为准；</w:t>
      </w:r>
    </w:p>
    <w:p>
      <w:pPr>
        <w:jc w:val="both"/>
        <w:rPr>
          <w:rFonts w:asciiTheme="minorHAnsi" w:hAnsiTheme="minorHAnsi" w:eastAsiaTheme="minorEastAsia" w:cstheme="minorBidi"/>
          <w:sz w:val="24"/>
          <w:szCs w:val="28"/>
          <w:lang w:eastAsia="zh-CN"/>
        </w:rPr>
      </w:pPr>
      <w:r>
        <w:rPr>
          <w:rFonts w:hint="eastAsia" w:asciiTheme="minorHAnsi" w:hAnsiTheme="minorHAnsi" w:eastAsiaTheme="minorEastAsia" w:cstheme="minorBidi" w:ascii="SimHei" w:hAnsi="SimHei" w:eastAsia="黑体"/>
          <w:sz w:val="24"/>
          <w:szCs w:val="28"/>
          <w:lang w:eastAsia="zh-CN"/>
        </w:rPr>
        <w:t>5.2.2经营成本是指所有运动成本的总和，包括但不限于销售费用、管理费用、财务费用、制造成本等；</w:t>
      </w:r>
    </w:p>
    <w:p>
      <w:pPr>
        <w:jc w:val="both"/>
        <w:rPr>
          <w:rFonts w:asciiTheme="minorHAnsi" w:hAnsiTheme="minorHAnsi" w:eastAsiaTheme="minorEastAsia" w:cstheme="minorBidi"/>
          <w:sz w:val="24"/>
          <w:szCs w:val="28"/>
          <w:lang w:eastAsia="zh-CN"/>
        </w:rPr>
      </w:pPr>
      <w:r>
        <w:rPr>
          <w:rFonts w:hint="eastAsia" w:asciiTheme="minorHAnsi" w:hAnsiTheme="minorHAnsi" w:eastAsiaTheme="minorEastAsia" w:cstheme="minorBidi" w:ascii="SimHei" w:hAnsi="SimHei" w:eastAsia="黑体"/>
          <w:sz w:val="24"/>
          <w:szCs w:val="28"/>
          <w:lang w:eastAsia="zh-CN"/>
        </w:rPr>
        <w:t>5.2.3净利润是指合法纳税后的经营利润；</w:t>
      </w:r>
    </w:p>
    <w:p>
      <w:pPr>
        <w:jc w:val="both"/>
        <w:rPr>
          <w:rFonts w:asciiTheme="minorHAnsi" w:hAnsiTheme="minorHAnsi" w:eastAsiaTheme="minorEastAsia" w:cstheme="minorBidi"/>
          <w:sz w:val="24"/>
          <w:szCs w:val="28"/>
          <w:lang w:eastAsia="zh-CN"/>
        </w:rPr>
      </w:pPr>
      <w:r>
        <w:rPr>
          <w:rFonts w:hint="eastAsia" w:asciiTheme="minorHAnsi" w:hAnsiTheme="minorHAnsi" w:eastAsiaTheme="minorEastAsia" w:cstheme="minorBidi" w:ascii="SimHei" w:hAnsi="SimHei" w:eastAsia="黑体"/>
          <w:sz w:val="24"/>
          <w:szCs w:val="28"/>
          <w:lang w:eastAsia="zh-CN"/>
        </w:rPr>
        <w:t>5.2.4 净资产投资回报率中的净资产算法按年度加权平均计算；</w:t>
      </w:r>
    </w:p>
    <w:p>
      <w:pPr>
        <w:jc w:val="both"/>
        <w:rPr>
          <w:rFonts w:asciiTheme="minorHAnsi" w:hAnsiTheme="minorHAnsi" w:eastAsiaTheme="minorEastAsia" w:cstheme="minorBidi"/>
          <w:sz w:val="24"/>
          <w:szCs w:val="28"/>
          <w:lang w:eastAsia="zh-CN"/>
        </w:rPr>
      </w:pPr>
      <w:r>
        <w:rPr>
          <w:rFonts w:hint="eastAsia" w:asciiTheme="minorHAnsi" w:hAnsiTheme="minorHAnsi" w:eastAsiaTheme="minorEastAsia" w:cstheme="minorBidi" w:ascii="SimHei" w:hAnsi="SimHei" w:eastAsia="黑体"/>
          <w:sz w:val="24"/>
          <w:szCs w:val="28"/>
          <w:lang w:eastAsia="zh-CN"/>
        </w:rPr>
        <w:t>5.3</w:t>
      </w:r>
      <w:r>
        <w:rPr>
          <w:rFonts w:hint="eastAsia" w:asciiTheme="minorHAnsi" w:hAnsiTheme="minorHAnsi" w:eastAsiaTheme="minorEastAsia" w:cstheme="minorBidi" w:ascii="SimHei" w:hAnsi="SimHei" w:eastAsia="黑体"/>
          <w:b/>
          <w:sz w:val="24"/>
          <w:szCs w:val="28"/>
          <w:lang w:eastAsia="zh-CN"/>
        </w:rPr>
        <w:t>绩效考核责任单位：</w:t>
      </w:r>
    </w:p>
    <w:p>
      <w:pPr>
        <w:jc w:val="both"/>
        <w:rPr>
          <w:rFonts w:asciiTheme="minorHAnsi" w:hAnsiTheme="minorHAnsi" w:eastAsiaTheme="minorEastAsia" w:cstheme="minorBidi"/>
          <w:sz w:val="24"/>
          <w:szCs w:val="28"/>
          <w:lang w:eastAsia="zh-CN"/>
        </w:rPr>
      </w:pPr>
      <w:r>
        <w:rPr>
          <w:rFonts w:hint="eastAsia" w:asciiTheme="minorHAnsi" w:hAnsiTheme="minorHAnsi" w:eastAsiaTheme="minorEastAsia" w:cstheme="minorBidi" w:ascii="SimHei" w:hAnsi="SimHei" w:eastAsia="黑体"/>
          <w:sz w:val="24"/>
          <w:szCs w:val="28"/>
          <w:lang w:eastAsia="zh-CN"/>
        </w:rPr>
        <w:t>5.3.1 考核责任单位为总经办（公司领导各部门负责人）</w:t>
      </w:r>
    </w:p>
    <w:p>
      <w:pPr>
        <w:jc w:val="both"/>
        <w:rPr>
          <w:rFonts w:asciiTheme="minorHAnsi" w:hAnsiTheme="minorHAnsi" w:eastAsiaTheme="minorEastAsia" w:cstheme="minorBidi"/>
          <w:b/>
          <w:sz w:val="24"/>
          <w:szCs w:val="28"/>
          <w:lang w:eastAsia="zh-CN"/>
        </w:rPr>
      </w:pPr>
      <w:r>
        <w:rPr>
          <w:rFonts w:hint="eastAsia" w:asciiTheme="minorHAnsi" w:hAnsiTheme="minorHAnsi" w:eastAsiaTheme="minorEastAsia" w:cstheme="minorBidi" w:ascii="SimHei" w:hAnsi="SimHei" w:eastAsia="黑体"/>
          <w:sz w:val="24"/>
          <w:szCs w:val="28"/>
          <w:lang w:eastAsia="zh-CN"/>
        </w:rPr>
        <w:t>5.4</w:t>
      </w:r>
      <w:r>
        <w:rPr>
          <w:rFonts w:hint="eastAsia" w:asciiTheme="minorHAnsi" w:hAnsiTheme="minorHAnsi" w:eastAsiaTheme="minorEastAsia" w:cstheme="minorBidi" w:ascii="SimHei" w:hAnsi="SimHei" w:eastAsia="黑体"/>
          <w:b/>
          <w:sz w:val="24"/>
          <w:szCs w:val="28"/>
          <w:lang w:eastAsia="zh-CN"/>
        </w:rPr>
        <w:t>绩效考核方式及周期</w:t>
      </w:r>
    </w:p>
    <w:p>
      <w:pPr>
        <w:jc w:val="both"/>
        <w:rPr>
          <w:rFonts w:asciiTheme="minorHAnsi" w:hAnsiTheme="minorHAnsi" w:eastAsiaTheme="minorEastAsia" w:cstheme="minorBidi"/>
          <w:sz w:val="24"/>
          <w:szCs w:val="28"/>
          <w:lang w:eastAsia="zh-CN"/>
        </w:rPr>
      </w:pPr>
      <w:r>
        <w:rPr>
          <w:rFonts w:hint="eastAsia" w:asciiTheme="minorHAnsi" w:hAnsiTheme="minorHAnsi" w:eastAsiaTheme="minorEastAsia" w:cstheme="minorBidi" w:ascii="SimHei" w:hAnsi="SimHei" w:eastAsia="黑体"/>
          <w:sz w:val="24"/>
          <w:szCs w:val="28"/>
          <w:lang w:eastAsia="zh-CN"/>
        </w:rPr>
        <w:t>5.4.1 每月由公司财务中心向总经理提供相关的财务报告；</w:t>
      </w:r>
    </w:p>
    <w:p>
      <w:pPr>
        <w:jc w:val="both"/>
        <w:rPr>
          <w:rFonts w:asciiTheme="minorHAnsi" w:hAnsiTheme="minorHAnsi" w:eastAsiaTheme="minorEastAsia" w:cstheme="minorBidi"/>
          <w:sz w:val="24"/>
          <w:szCs w:val="28"/>
          <w:lang w:eastAsia="zh-CN"/>
        </w:rPr>
      </w:pPr>
      <w:r>
        <w:rPr>
          <w:rFonts w:hint="eastAsia" w:asciiTheme="minorHAnsi" w:hAnsiTheme="minorHAnsi" w:eastAsiaTheme="minorEastAsia" w:cstheme="minorBidi" w:ascii="SimHei" w:hAnsi="SimHei" w:eastAsia="黑体"/>
          <w:sz w:val="24"/>
          <w:szCs w:val="28"/>
          <w:lang w:eastAsia="zh-CN"/>
        </w:rPr>
        <w:t>5.4.2每季度由公司的财务中心向总经理的财务报告，并分析指标达成或未达成的原因；</w:t>
      </w:r>
    </w:p>
    <w:p>
      <w:pPr>
        <w:jc w:val="both"/>
        <w:rPr>
          <w:rFonts w:asciiTheme="minorHAnsi" w:hAnsiTheme="minorHAnsi" w:eastAsiaTheme="minorEastAsia" w:cstheme="minorBidi"/>
          <w:sz w:val="24"/>
          <w:szCs w:val="28"/>
          <w:lang w:eastAsia="zh-CN"/>
        </w:rPr>
      </w:pPr>
      <w:r>
        <w:rPr>
          <w:rFonts w:hint="eastAsia" w:asciiTheme="minorHAnsi" w:hAnsiTheme="minorHAnsi" w:eastAsiaTheme="minorEastAsia" w:cstheme="minorBidi" w:ascii="SimHei" w:hAnsi="SimHei" w:eastAsia="黑体"/>
          <w:sz w:val="24"/>
          <w:szCs w:val="28"/>
          <w:lang w:eastAsia="zh-CN"/>
        </w:rPr>
        <w:t>5.4.3总经理指标的达成情况及未达成的原因分析，招开经营管理会议并形成决议，责任经营层进行管理调整；</w:t>
      </w:r>
    </w:p>
    <w:p>
      <w:pPr>
        <w:jc w:val="both"/>
        <w:rPr>
          <w:rFonts w:asciiTheme="minorHAnsi" w:hAnsiTheme="minorHAnsi" w:eastAsiaTheme="minorEastAsia" w:cstheme="minorBidi"/>
          <w:sz w:val="24"/>
          <w:szCs w:val="28"/>
          <w:lang w:eastAsia="zh-CN"/>
        </w:rPr>
      </w:pPr>
      <w:r>
        <w:rPr>
          <w:rFonts w:hint="eastAsia" w:asciiTheme="minorHAnsi" w:hAnsiTheme="minorHAnsi" w:eastAsiaTheme="minorEastAsia" w:cstheme="minorBidi" w:ascii="SimHei" w:hAnsi="SimHei" w:eastAsia="黑体"/>
          <w:sz w:val="24"/>
          <w:szCs w:val="28"/>
          <w:lang w:eastAsia="zh-CN"/>
        </w:rPr>
        <w:t>5.5</w:t>
      </w:r>
      <w:r>
        <w:rPr>
          <w:rFonts w:hint="eastAsia" w:asciiTheme="minorHAnsi" w:hAnsiTheme="minorHAnsi" w:eastAsiaTheme="minorEastAsia" w:cstheme="minorBidi" w:ascii="SimHei" w:hAnsi="SimHei" w:eastAsia="黑体"/>
          <w:b/>
          <w:sz w:val="24"/>
          <w:szCs w:val="28"/>
          <w:lang w:eastAsia="zh-CN"/>
        </w:rPr>
        <w:t>绩效考核结果的运用</w:t>
      </w:r>
    </w:p>
    <w:p>
      <w:pPr>
        <w:jc w:val="both"/>
        <w:rPr>
          <w:rFonts w:asciiTheme="minorHAnsi" w:hAnsiTheme="minorHAnsi" w:eastAsiaTheme="minorEastAsia" w:cstheme="minorBidi"/>
          <w:sz w:val="24"/>
          <w:szCs w:val="28"/>
          <w:lang w:eastAsia="zh-CN"/>
        </w:rPr>
      </w:pPr>
      <w:r>
        <w:rPr>
          <w:rFonts w:hint="eastAsia" w:asciiTheme="minorHAnsi" w:hAnsiTheme="minorHAnsi" w:eastAsiaTheme="minorEastAsia" w:cstheme="minorBidi" w:ascii="SimHei" w:hAnsi="SimHei" w:eastAsia="黑体"/>
          <w:sz w:val="24"/>
          <w:szCs w:val="28"/>
          <w:lang w:eastAsia="zh-CN"/>
        </w:rPr>
        <w:t>5.5.1 绩效考核结果为公司营运提供数据分析支持，绩效考核结果的分析为经营管理工作的改善提供依据；</w:t>
      </w:r>
    </w:p>
    <w:p>
      <w:pPr>
        <w:jc w:val="both"/>
        <w:rPr>
          <w:rFonts w:asciiTheme="minorHAnsi" w:hAnsiTheme="minorHAnsi" w:eastAsiaTheme="minorEastAsia" w:cstheme="minorBidi"/>
          <w:sz w:val="24"/>
          <w:szCs w:val="28"/>
          <w:lang w:eastAsia="zh-CN"/>
        </w:rPr>
      </w:pPr>
      <w:r>
        <w:rPr>
          <w:rFonts w:hint="eastAsia" w:asciiTheme="minorHAnsi" w:hAnsiTheme="minorHAnsi" w:eastAsiaTheme="minorEastAsia" w:cstheme="minorBidi" w:ascii="SimHei" w:hAnsi="SimHei" w:eastAsia="黑体"/>
          <w:sz w:val="24"/>
          <w:szCs w:val="28"/>
          <w:lang w:eastAsia="zh-CN"/>
        </w:rPr>
        <w:t>5.5.2绩效考核结果为评价公司高层管理人员及职能部门的团队工作绩效提供依据；</w:t>
      </w:r>
    </w:p>
    <w:p>
      <w:pPr>
        <w:jc w:val="both"/>
        <w:rPr>
          <w:rFonts w:asciiTheme="minorHAnsi" w:hAnsiTheme="minorHAnsi" w:eastAsiaTheme="minorEastAsia" w:cstheme="minorBidi"/>
          <w:sz w:val="24"/>
          <w:szCs w:val="28"/>
          <w:lang w:eastAsia="zh-CN"/>
        </w:rPr>
      </w:pPr>
      <w:r>
        <w:rPr>
          <w:rFonts w:hint="eastAsia" w:asciiTheme="minorHAnsi" w:hAnsiTheme="minorHAnsi" w:eastAsiaTheme="minorEastAsia" w:cstheme="minorBidi" w:ascii="SimHei" w:hAnsi="SimHei" w:eastAsia="黑体"/>
          <w:sz w:val="24"/>
          <w:szCs w:val="28"/>
          <w:lang w:eastAsia="zh-CN"/>
        </w:rPr>
        <w:t>5.5.3绩效考核结果为公司中高层的年度绩效奖金发放提供依据；</w:t>
      </w:r>
    </w:p>
    <w:p>
      <w:pPr>
        <w:jc w:val="both"/>
        <w:rPr>
          <w:rFonts w:asciiTheme="minorHAnsi" w:hAnsiTheme="minorHAnsi" w:eastAsiaTheme="minorEastAsia" w:cstheme="minorBidi"/>
          <w:sz w:val="24"/>
          <w:szCs w:val="28"/>
          <w:lang w:eastAsia="zh-CN"/>
        </w:rPr>
      </w:pPr>
      <w:r>
        <w:rPr>
          <w:rFonts w:hint="eastAsia" w:asciiTheme="minorHAnsi" w:hAnsiTheme="minorHAnsi" w:eastAsiaTheme="minorEastAsia" w:cstheme="minorBidi" w:ascii="SimHei" w:hAnsi="SimHei" w:eastAsia="黑体"/>
          <w:sz w:val="24"/>
          <w:szCs w:val="28"/>
          <w:lang w:eastAsia="zh-CN"/>
        </w:rPr>
        <w:t>5.5.4 年度绩效达成的中高层管理团队对应的年度奖金规划</w:t>
      </w:r>
    </w:p>
    <w:p>
      <w:pPr>
        <w:jc w:val="both"/>
        <w:rPr>
          <w:rFonts w:asciiTheme="minorHAnsi" w:hAnsiTheme="minorHAnsi" w:eastAsiaTheme="minorEastAsia" w:cstheme="minorBidi"/>
          <w:sz w:val="24"/>
          <w:szCs w:val="28"/>
          <w:lang w:eastAsia="zh-CN"/>
        </w:rPr>
      </w:pPr>
      <w:r>
        <w:rPr>
          <w:rFonts w:hint="eastAsia" w:ascii="SimHei" w:hAnsi="SimHei" w:eastAsia="黑体"/>
          <w:sz w:val="32"/>
          <w:szCs w:val="32"/>
        </w:rPr>
      </w:r>
    </w:p>
    <w:p>
      <w:pPr>
        <w:jc w:val="both"/>
        <w:rPr>
          <w:rFonts w:asciiTheme="minorHAnsi" w:hAnsiTheme="minorHAnsi" w:eastAsiaTheme="minorEastAsia" w:cstheme="minorBidi"/>
          <w:sz w:val="24"/>
          <w:szCs w:val="28"/>
          <w:lang w:eastAsia="zh-CN"/>
        </w:rPr>
      </w:pPr>
      <w:r>
        <w:rPr>
          <w:rFonts w:hint="eastAsia" w:asciiTheme="minorHAnsi" w:hAnsiTheme="minorHAnsi" w:eastAsiaTheme="minorEastAsia" w:cstheme="minorBidi" w:ascii="SimHei" w:hAnsi="SimHei" w:eastAsia="黑体"/>
          <w:sz w:val="24"/>
          <w:szCs w:val="28"/>
          <w:lang w:eastAsia="zh-CN"/>
        </w:rPr>
        <w:t>备注：年薪单位为万元，收入指税后收入；技术职称等同同级别的管理职称</w:t>
      </w:r>
    </w:p>
    <w:p>
      <w:pPr>
        <w:jc w:val="both"/>
        <w:rPr>
          <w:rFonts w:asciiTheme="minorHAnsi" w:hAnsiTheme="minorHAnsi" w:eastAsiaTheme="minorEastAsia" w:cstheme="minorBidi"/>
          <w:sz w:val="24"/>
          <w:szCs w:val="28"/>
          <w:lang w:eastAsia="zh-CN"/>
        </w:rPr>
      </w:pPr>
      <w:r>
        <w:rPr>
          <w:rFonts w:hint="eastAsia" w:asciiTheme="minorHAnsi" w:hAnsiTheme="minorHAnsi" w:eastAsiaTheme="minorEastAsia" w:cstheme="minorBidi" w:ascii="SimHei" w:hAnsi="SimHei" w:eastAsia="黑体"/>
          <w:sz w:val="24"/>
          <w:szCs w:val="28"/>
          <w:lang w:eastAsia="zh-CN"/>
        </w:rPr>
        <w:t>6、考核算法说明</w:t>
      </w:r>
    </w:p>
    <w:p>
      <w:pPr>
        <w:jc w:val="both"/>
        <w:rPr>
          <w:rFonts w:asciiTheme="minorHAnsi" w:hAnsiTheme="minorHAnsi" w:eastAsiaTheme="minorEastAsia" w:cstheme="minorBidi"/>
          <w:sz w:val="24"/>
          <w:szCs w:val="28"/>
          <w:lang w:eastAsia="zh-CN"/>
        </w:rPr>
      </w:pPr>
      <w:r>
        <w:rPr>
          <w:rFonts w:hint="eastAsia" w:asciiTheme="minorHAnsi" w:hAnsiTheme="minorHAnsi" w:eastAsiaTheme="minorEastAsia" w:cstheme="minorBidi" w:ascii="SimHei" w:hAnsi="SimHei" w:eastAsia="黑体"/>
          <w:sz w:val="24"/>
          <w:szCs w:val="28"/>
          <w:lang w:eastAsia="zh-CN"/>
        </w:rPr>
        <w:t>6.1绩效考核指标达到目标值为满分（100分），超出目标值按比例加分，低于目标值按比例减分；低于下限值计零分；</w:t>
      </w:r>
    </w:p>
    <w:p>
      <w:pPr>
        <w:jc w:val="both"/>
        <w:rPr>
          <w:rFonts w:asciiTheme="minorHAnsi" w:hAnsiTheme="minorHAnsi" w:eastAsiaTheme="minorEastAsia" w:cstheme="minorBidi"/>
          <w:sz w:val="24"/>
          <w:szCs w:val="28"/>
          <w:lang w:eastAsia="zh-CN"/>
        </w:rPr>
      </w:pPr>
      <w:r>
        <w:rPr>
          <w:rFonts w:hint="eastAsia" w:asciiTheme="minorHAnsi" w:hAnsiTheme="minorHAnsi" w:eastAsiaTheme="minorEastAsia" w:cstheme="minorBidi" w:ascii="SimHei" w:hAnsi="SimHei" w:eastAsia="黑体"/>
          <w:sz w:val="24"/>
          <w:szCs w:val="28"/>
          <w:lang w:eastAsia="zh-CN"/>
        </w:rPr>
        <w:t>6.2各指标的加权得分为经营管理团队的最终绩效考核得分；</w:t>
      </w:r>
    </w:p>
    <w:p>
      <w:pPr>
        <w:jc w:val="both"/>
        <w:rPr>
          <w:rFonts w:asciiTheme="minorHAnsi" w:hAnsiTheme="minorHAnsi" w:eastAsiaTheme="minorEastAsia" w:cstheme="minorBidi"/>
          <w:sz w:val="24"/>
          <w:szCs w:val="28"/>
          <w:lang w:eastAsia="zh-CN"/>
        </w:rPr>
      </w:pPr>
      <w:r>
        <w:rPr>
          <w:rFonts w:hint="eastAsia" w:asciiTheme="minorHAnsi" w:hAnsiTheme="minorHAnsi" w:eastAsiaTheme="minorEastAsia" w:cstheme="minorBidi" w:ascii="SimHei" w:hAnsi="SimHei" w:eastAsia="黑体"/>
          <w:sz w:val="24"/>
          <w:szCs w:val="28"/>
          <w:lang w:eastAsia="zh-CN"/>
        </w:rPr>
        <w:t>6.3经营管理团队的绩效考核系数=经营管理团队的绩效考核得分/100；</w:t>
      </w:r>
    </w:p>
    <w:p>
      <w:pPr>
        <w:jc w:val="both"/>
        <w:rPr>
          <w:rFonts w:asciiTheme="minorHAnsi" w:hAnsiTheme="minorHAnsi" w:eastAsiaTheme="minorEastAsia" w:cstheme="minorBidi"/>
          <w:sz w:val="24"/>
          <w:szCs w:val="28"/>
          <w:lang w:eastAsia="zh-CN"/>
        </w:rPr>
      </w:pPr>
      <w:r>
        <w:rPr>
          <w:rFonts w:hint="eastAsia" w:asciiTheme="minorHAnsi" w:hAnsiTheme="minorHAnsi" w:eastAsiaTheme="minorEastAsia" w:cstheme="minorBidi" w:ascii="SimHei" w:hAnsi="SimHei" w:eastAsia="黑体"/>
          <w:sz w:val="24"/>
          <w:szCs w:val="28"/>
          <w:lang w:eastAsia="zh-CN"/>
        </w:rPr>
        <w:t>6.4各管理层级的年度收入水平=各层级的年度收入规划*经营管理团队的绩效考核系数</w:t>
      </w:r>
    </w:p>
    <w:p>
      <w:pPr>
        <w:jc w:val="both"/>
        <w:rPr>
          <w:rFonts w:asciiTheme="minorHAnsi" w:hAnsiTheme="minorHAnsi" w:eastAsiaTheme="minorEastAsia" w:cstheme="minorBidi"/>
          <w:sz w:val="24"/>
          <w:szCs w:val="28"/>
          <w:lang w:eastAsia="zh-CN"/>
        </w:rPr>
      </w:pPr>
      <w:r>
        <w:rPr>
          <w:rFonts w:hint="eastAsia" w:asciiTheme="minorHAnsi" w:hAnsiTheme="minorHAnsi" w:eastAsiaTheme="minorEastAsia" w:cstheme="minorBidi" w:ascii="SimHei" w:hAnsi="SimHei" w:eastAsia="黑体"/>
          <w:sz w:val="24"/>
          <w:szCs w:val="28"/>
          <w:lang w:eastAsia="zh-CN"/>
        </w:rPr>
        <w:t>6.5 奖金总额计入成本；</w:t>
      </w:r>
    </w:p>
    <w:p>
      <w:pPr>
        <w:jc w:val="both"/>
        <w:rPr>
          <w:rFonts w:asciiTheme="minorHAnsi" w:hAnsiTheme="minorHAnsi" w:eastAsiaTheme="minorEastAsia" w:cstheme="minorBidi"/>
          <w:sz w:val="24"/>
          <w:szCs w:val="28"/>
          <w:lang w:eastAsia="zh-CN"/>
        </w:rPr>
      </w:pPr>
      <w:r>
        <w:rPr>
          <w:rFonts w:hint="eastAsia" w:asciiTheme="minorHAnsi" w:hAnsiTheme="minorHAnsi" w:eastAsiaTheme="minorEastAsia" w:cstheme="minorBidi" w:ascii="SimHei" w:hAnsi="SimHei" w:eastAsia="黑体"/>
          <w:sz w:val="24"/>
          <w:szCs w:val="28"/>
          <w:lang w:eastAsia="zh-CN"/>
        </w:rPr>
        <w:t>6.7岗位个人奖金=同级别年度收入总额/</w:t>
      </w:r>
      <w:r>
        <w:rPr>
          <w:rFonts w:hint="eastAsia" w:ascii="SimHei" w:hAnsi="SimHei" w:eastAsia="黑体" w:cstheme="minorBidi"/>
          <w:sz w:val="24"/>
          <w:szCs w:val="28"/>
          <w:lang w:eastAsia="zh-CN"/>
        </w:rPr>
        <w:t>∑</w:t>
      </w:r>
      <w:r>
        <w:rPr>
          <w:rFonts w:hint="eastAsia" w:asciiTheme="minorHAnsi" w:hAnsiTheme="minorHAnsi" w:eastAsiaTheme="minorEastAsia" w:cstheme="minorBidi" w:ascii="SimHei" w:hAnsi="SimHei" w:eastAsia="黑体"/>
          <w:sz w:val="24"/>
          <w:szCs w:val="28"/>
          <w:lang w:eastAsia="zh-CN"/>
        </w:rPr>
        <w:t>同级别岗位考评系数*个人岗位考评系数-月度薪资总额</w:t>
      </w:r>
    </w:p>
    <w:p>
      <w:pPr>
        <w:jc w:val="both"/>
        <w:rPr>
          <w:rFonts w:asciiTheme="minorHAnsi" w:hAnsiTheme="minorHAnsi" w:eastAsiaTheme="minorEastAsia" w:cstheme="minorBidi"/>
          <w:sz w:val="24"/>
          <w:szCs w:val="28"/>
          <w:lang w:eastAsia="zh-CN"/>
        </w:rPr>
      </w:pPr>
      <w:r>
        <w:rPr>
          <w:rFonts w:hint="eastAsia" w:asciiTheme="minorHAnsi" w:hAnsiTheme="minorHAnsi" w:eastAsiaTheme="minorEastAsia" w:cstheme="minorBidi" w:ascii="SimHei" w:hAnsi="SimHei" w:eastAsia="黑体"/>
          <w:sz w:val="24"/>
          <w:szCs w:val="28"/>
          <w:lang w:eastAsia="zh-CN"/>
        </w:rPr>
        <w:t>7、本标准人资部或财务部起草、修订，经董事会批准后执行；</w:t>
      </w:r>
    </w:p>
    <w:p>
      <w:pPr>
        <w:jc w:val="both"/>
        <w:rPr>
          <w:rFonts w:asciiTheme="minorHAnsi" w:hAnsiTheme="minorHAnsi" w:eastAsiaTheme="minorEastAsia" w:cstheme="minorBidi"/>
          <w:sz w:val="24"/>
          <w:szCs w:val="28"/>
          <w:lang w:eastAsia="zh-CN"/>
        </w:rPr>
      </w:pPr>
      <w:r>
        <w:rPr>
          <w:rFonts w:hint="eastAsia" w:asciiTheme="minorHAnsi" w:hAnsiTheme="minorHAnsi" w:eastAsiaTheme="minorEastAsia" w:cstheme="minorBidi" w:ascii="SimHei" w:hAnsi="SimHei" w:eastAsia="黑体"/>
          <w:sz w:val="24"/>
          <w:szCs w:val="28"/>
          <w:lang w:eastAsia="zh-CN"/>
        </w:rPr>
        <w:t>8、附件：</w:t>
      </w:r>
    </w:p>
    <w:p>
      <w:pPr>
        <w:jc w:val="both"/>
        <w:rPr>
          <w:rFonts w:asciiTheme="minorHAnsi" w:hAnsiTheme="minorHAnsi" w:eastAsiaTheme="minorEastAsia" w:cstheme="minorBidi"/>
          <w:sz w:val="24"/>
          <w:szCs w:val="28"/>
          <w:lang w:eastAsia="zh-CN"/>
        </w:rPr>
      </w:pPr>
      <w:r>
        <w:rPr>
          <w:rFonts w:hint="eastAsia" w:asciiTheme="minorHAnsi" w:hAnsiTheme="minorHAnsi" w:eastAsiaTheme="minorEastAsia" w:cstheme="minorBidi" w:ascii="SimHei" w:hAnsi="SimHei" w:eastAsia="黑体"/>
          <w:sz w:val="24"/>
          <w:szCs w:val="28"/>
          <w:lang w:eastAsia="zh-CN"/>
        </w:rPr>
        <w:t>8.1 成本中心绩效考核管理标准；</w:t>
      </w:r>
    </w:p>
    <w:p>
      <w:pPr>
        <w:jc w:val="both"/>
        <w:rPr>
          <w:rFonts w:asciiTheme="minorHAnsi" w:hAnsiTheme="minorHAnsi" w:eastAsiaTheme="minorEastAsia" w:cstheme="minorBidi"/>
          <w:sz w:val="24"/>
          <w:szCs w:val="28"/>
          <w:lang w:eastAsia="zh-CN"/>
        </w:rPr>
      </w:pPr>
      <w:r>
        <w:rPr>
          <w:rFonts w:hint="eastAsia" w:asciiTheme="minorHAnsi" w:hAnsiTheme="minorHAnsi" w:eastAsiaTheme="minorEastAsia" w:cstheme="minorBidi" w:ascii="SimHei" w:hAnsi="SimHei" w:eastAsia="黑体"/>
          <w:sz w:val="24"/>
          <w:szCs w:val="28"/>
          <w:lang w:eastAsia="zh-CN"/>
        </w:rPr>
        <w:t>8.2职能部门绩效考核管理标准；</w:t>
      </w:r>
    </w:p>
    <w:sectPr>
      <w:pgSz w:w="11906" w:h="16838"/>
      <w:pgMar w:top="680" w:right="851" w:bottom="1134" w:left="851" w:header="567" w:footer="386" w:gutter="0"/>
      <w:pgNumType w:start="0"/>
      <w:cols w:space="425" w:num="1"/>
      <w:titlePg/>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DFKai-SB">
    <w:altName w:val="Microsoft JhengHei Light"/>
    <w:panose1 w:val="03000509000000000000"/>
    <w:charset w:val="88"/>
    <w:family w:val="script"/>
    <w:pitch w:val="default"/>
    <w:sig w:usb0="00000000" w:usb1="00000000" w:usb2="00000016" w:usb3="00000000" w:csb0="00100001" w:csb1="00000000"/>
  </w:font>
  <w:font w:name="Microsoft JhengHei Light">
    <w:panose1 w:val="020B0304030504040204"/>
    <w:charset w:val="88"/>
    <w:family w:val="auto"/>
    <w:pitch w:val="default"/>
    <w:sig w:usb0="800002A7" w:usb1="28CF4400" w:usb2="00000016" w:usb3="00000000" w:csb0="00100009" w:csb1="00000000"/>
  </w:font>
  <w:font w:name="MingLiU">
    <w:altName w:val="PMingLiU-ExtB"/>
    <w:panose1 w:val="02020509000000000000"/>
    <w:charset w:val="88"/>
    <w:family w:val="modern"/>
    <w:pitch w:val="default"/>
    <w:sig w:usb0="00000000" w:usb1="00000000" w:usb2="00000010" w:usb3="00000000" w:csb0="001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BF30D0"/>
    <w:multiLevelType w:val="multilevel"/>
    <w:tmpl w:val="17BF30D0"/>
    <w:lvl w:ilvl="0" w:tentative="0">
      <w:start w:val="1"/>
      <w:numFmt w:val="decimal"/>
      <w:lvlText w:val="%1．"/>
      <w:lvlJc w:val="left"/>
      <w:pPr>
        <w:ind w:left="360" w:hanging="360"/>
      </w:pPr>
      <w:rPr>
        <w:rFonts w:asciiTheme="minorHAnsi" w:hAnsiTheme="minorHAnsi" w:eastAsiaTheme="minorEastAsia"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1CA6907"/>
    <w:multiLevelType w:val="multilevel"/>
    <w:tmpl w:val="21CA6907"/>
    <w:lvl w:ilvl="0" w:tentative="0">
      <w:start w:val="1"/>
      <w:numFmt w:val="decimal"/>
      <w:lvlText w:val="%1"/>
      <w:lvlJc w:val="left"/>
      <w:pPr>
        <w:ind w:left="360" w:hanging="360"/>
      </w:pPr>
      <w:rPr>
        <w:rFonts w:hint="default"/>
      </w:rPr>
    </w:lvl>
    <w:lvl w:ilvl="1" w:tentative="0">
      <w:start w:val="2"/>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080" w:hanging="108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abstractNum w:abstractNumId="2">
    <w:nsid w:val="2D721A84"/>
    <w:multiLevelType w:val="multilevel"/>
    <w:tmpl w:val="2D721A84"/>
    <w:lvl w:ilvl="0" w:tentative="0">
      <w:start w:val="5"/>
      <w:numFmt w:val="decimal"/>
      <w:lvlText w:val="%1．"/>
      <w:lvlJc w:val="left"/>
      <w:pPr>
        <w:ind w:left="360" w:hanging="360"/>
      </w:pPr>
      <w:rPr>
        <w:rFonts w:hint="default"/>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mirrorMargin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jb3VudCI6MiwiaGRpZCI6IjQ1N2FiZGQxOTg2OTEzMjk4MzliOGY3NmU1MTc1YWYyIiwidXNlckNvdW50IjoxfQ=="/>
  </w:docVars>
  <w:rsids>
    <w:rsidRoot w:val="5DDB721E"/>
    <w:rsid w:val="00002325"/>
    <w:rsid w:val="00005279"/>
    <w:rsid w:val="000118CF"/>
    <w:rsid w:val="000228A1"/>
    <w:rsid w:val="00023FDC"/>
    <w:rsid w:val="00031EAD"/>
    <w:rsid w:val="0003503C"/>
    <w:rsid w:val="00043263"/>
    <w:rsid w:val="00050CDD"/>
    <w:rsid w:val="00051262"/>
    <w:rsid w:val="00076DA8"/>
    <w:rsid w:val="000905C2"/>
    <w:rsid w:val="000954FF"/>
    <w:rsid w:val="000A2184"/>
    <w:rsid w:val="000A4695"/>
    <w:rsid w:val="000B151E"/>
    <w:rsid w:val="000B4D0F"/>
    <w:rsid w:val="000B534E"/>
    <w:rsid w:val="000B6863"/>
    <w:rsid w:val="000C01E0"/>
    <w:rsid w:val="000C550A"/>
    <w:rsid w:val="000D1577"/>
    <w:rsid w:val="000E07B7"/>
    <w:rsid w:val="000E4043"/>
    <w:rsid w:val="000E464B"/>
    <w:rsid w:val="000E6024"/>
    <w:rsid w:val="000E729D"/>
    <w:rsid w:val="000F7436"/>
    <w:rsid w:val="000F7576"/>
    <w:rsid w:val="00111CA7"/>
    <w:rsid w:val="00120C9B"/>
    <w:rsid w:val="00123D50"/>
    <w:rsid w:val="00127F05"/>
    <w:rsid w:val="001310EC"/>
    <w:rsid w:val="001330C6"/>
    <w:rsid w:val="00135EE3"/>
    <w:rsid w:val="00146CC8"/>
    <w:rsid w:val="001473AB"/>
    <w:rsid w:val="0016121F"/>
    <w:rsid w:val="0016515F"/>
    <w:rsid w:val="00167474"/>
    <w:rsid w:val="00172DC0"/>
    <w:rsid w:val="00174F57"/>
    <w:rsid w:val="001775F3"/>
    <w:rsid w:val="001823D4"/>
    <w:rsid w:val="001908F8"/>
    <w:rsid w:val="0019740B"/>
    <w:rsid w:val="001A1B40"/>
    <w:rsid w:val="001A40F4"/>
    <w:rsid w:val="001B14C8"/>
    <w:rsid w:val="001B162F"/>
    <w:rsid w:val="001C3E60"/>
    <w:rsid w:val="001E1F15"/>
    <w:rsid w:val="001E76A5"/>
    <w:rsid w:val="001F035A"/>
    <w:rsid w:val="001F144B"/>
    <w:rsid w:val="002114F8"/>
    <w:rsid w:val="00216AD1"/>
    <w:rsid w:val="00224088"/>
    <w:rsid w:val="00225739"/>
    <w:rsid w:val="00260CA4"/>
    <w:rsid w:val="00263099"/>
    <w:rsid w:val="002649F0"/>
    <w:rsid w:val="00264CA2"/>
    <w:rsid w:val="00267CAF"/>
    <w:rsid w:val="00273B88"/>
    <w:rsid w:val="0027622A"/>
    <w:rsid w:val="00292BD4"/>
    <w:rsid w:val="002968FC"/>
    <w:rsid w:val="002B1748"/>
    <w:rsid w:val="002B4FDB"/>
    <w:rsid w:val="002C09DB"/>
    <w:rsid w:val="002C4959"/>
    <w:rsid w:val="002D4FC5"/>
    <w:rsid w:val="0030170F"/>
    <w:rsid w:val="00304B49"/>
    <w:rsid w:val="00312B90"/>
    <w:rsid w:val="00315E4C"/>
    <w:rsid w:val="00317C12"/>
    <w:rsid w:val="00322156"/>
    <w:rsid w:val="0032315B"/>
    <w:rsid w:val="00331EC7"/>
    <w:rsid w:val="003416E4"/>
    <w:rsid w:val="00347966"/>
    <w:rsid w:val="00361921"/>
    <w:rsid w:val="00367349"/>
    <w:rsid w:val="0037701D"/>
    <w:rsid w:val="00387E12"/>
    <w:rsid w:val="003956A5"/>
    <w:rsid w:val="00396DEE"/>
    <w:rsid w:val="003A0F01"/>
    <w:rsid w:val="003B1D3D"/>
    <w:rsid w:val="003B73A0"/>
    <w:rsid w:val="003C2A6F"/>
    <w:rsid w:val="003C3DD9"/>
    <w:rsid w:val="003D020F"/>
    <w:rsid w:val="003D7FD8"/>
    <w:rsid w:val="003E379E"/>
    <w:rsid w:val="003E7E68"/>
    <w:rsid w:val="0040421C"/>
    <w:rsid w:val="004043DC"/>
    <w:rsid w:val="004124BE"/>
    <w:rsid w:val="00417B77"/>
    <w:rsid w:val="00433E28"/>
    <w:rsid w:val="00434474"/>
    <w:rsid w:val="00440449"/>
    <w:rsid w:val="00443510"/>
    <w:rsid w:val="0045077E"/>
    <w:rsid w:val="00455813"/>
    <w:rsid w:val="00456734"/>
    <w:rsid w:val="0046254E"/>
    <w:rsid w:val="00462DC1"/>
    <w:rsid w:val="00463F7C"/>
    <w:rsid w:val="0047606A"/>
    <w:rsid w:val="00476267"/>
    <w:rsid w:val="00477DE8"/>
    <w:rsid w:val="00480551"/>
    <w:rsid w:val="00480800"/>
    <w:rsid w:val="004952CB"/>
    <w:rsid w:val="00497E60"/>
    <w:rsid w:val="004A427C"/>
    <w:rsid w:val="004A61E8"/>
    <w:rsid w:val="004A6D64"/>
    <w:rsid w:val="004B1870"/>
    <w:rsid w:val="004B1AD4"/>
    <w:rsid w:val="004B2142"/>
    <w:rsid w:val="004B621B"/>
    <w:rsid w:val="004C0686"/>
    <w:rsid w:val="004C0AFA"/>
    <w:rsid w:val="004D28B3"/>
    <w:rsid w:val="004E6B49"/>
    <w:rsid w:val="004F4C14"/>
    <w:rsid w:val="005008CF"/>
    <w:rsid w:val="00500BB9"/>
    <w:rsid w:val="00504CC2"/>
    <w:rsid w:val="005116E3"/>
    <w:rsid w:val="00512345"/>
    <w:rsid w:val="00512E44"/>
    <w:rsid w:val="00527557"/>
    <w:rsid w:val="00533B3B"/>
    <w:rsid w:val="0053633D"/>
    <w:rsid w:val="00557803"/>
    <w:rsid w:val="00557DE4"/>
    <w:rsid w:val="00564906"/>
    <w:rsid w:val="00580459"/>
    <w:rsid w:val="005806F8"/>
    <w:rsid w:val="0058342D"/>
    <w:rsid w:val="00583EDE"/>
    <w:rsid w:val="005915BA"/>
    <w:rsid w:val="00597314"/>
    <w:rsid w:val="00597C57"/>
    <w:rsid w:val="005B24D7"/>
    <w:rsid w:val="005B411C"/>
    <w:rsid w:val="005C0147"/>
    <w:rsid w:val="005C3B56"/>
    <w:rsid w:val="005C4044"/>
    <w:rsid w:val="005D24CA"/>
    <w:rsid w:val="005D3515"/>
    <w:rsid w:val="005D5B21"/>
    <w:rsid w:val="005E364A"/>
    <w:rsid w:val="006028BF"/>
    <w:rsid w:val="0060370C"/>
    <w:rsid w:val="00610EB7"/>
    <w:rsid w:val="006206DD"/>
    <w:rsid w:val="00622D9B"/>
    <w:rsid w:val="0062351B"/>
    <w:rsid w:val="00630DB2"/>
    <w:rsid w:val="006455A0"/>
    <w:rsid w:val="006467B1"/>
    <w:rsid w:val="00652AF4"/>
    <w:rsid w:val="006565D1"/>
    <w:rsid w:val="006631F3"/>
    <w:rsid w:val="00666F6D"/>
    <w:rsid w:val="00677B32"/>
    <w:rsid w:val="0068554B"/>
    <w:rsid w:val="00696262"/>
    <w:rsid w:val="00697FE9"/>
    <w:rsid w:val="006A5851"/>
    <w:rsid w:val="006B3E5B"/>
    <w:rsid w:val="006C6AF4"/>
    <w:rsid w:val="006D16D5"/>
    <w:rsid w:val="006D1737"/>
    <w:rsid w:val="006E75D0"/>
    <w:rsid w:val="006F29F3"/>
    <w:rsid w:val="006F4435"/>
    <w:rsid w:val="006F60B1"/>
    <w:rsid w:val="0070417A"/>
    <w:rsid w:val="00705597"/>
    <w:rsid w:val="00706ECA"/>
    <w:rsid w:val="00712CA0"/>
    <w:rsid w:val="00720B19"/>
    <w:rsid w:val="00727025"/>
    <w:rsid w:val="007344B7"/>
    <w:rsid w:val="007346BF"/>
    <w:rsid w:val="00741172"/>
    <w:rsid w:val="007417C8"/>
    <w:rsid w:val="00755F61"/>
    <w:rsid w:val="00760655"/>
    <w:rsid w:val="00760F1A"/>
    <w:rsid w:val="00766313"/>
    <w:rsid w:val="00776911"/>
    <w:rsid w:val="00776FB7"/>
    <w:rsid w:val="00781988"/>
    <w:rsid w:val="00782110"/>
    <w:rsid w:val="0078537C"/>
    <w:rsid w:val="00786525"/>
    <w:rsid w:val="007A0FBE"/>
    <w:rsid w:val="007A25BC"/>
    <w:rsid w:val="007A2B57"/>
    <w:rsid w:val="007A655E"/>
    <w:rsid w:val="007B4C81"/>
    <w:rsid w:val="007B73C0"/>
    <w:rsid w:val="007E0253"/>
    <w:rsid w:val="007E25E6"/>
    <w:rsid w:val="00815135"/>
    <w:rsid w:val="008251F8"/>
    <w:rsid w:val="00834EAC"/>
    <w:rsid w:val="00835846"/>
    <w:rsid w:val="0084092C"/>
    <w:rsid w:val="0084494B"/>
    <w:rsid w:val="00847AE6"/>
    <w:rsid w:val="00875CA7"/>
    <w:rsid w:val="00880DA1"/>
    <w:rsid w:val="0088234D"/>
    <w:rsid w:val="008831D8"/>
    <w:rsid w:val="008838E9"/>
    <w:rsid w:val="00895559"/>
    <w:rsid w:val="00897D67"/>
    <w:rsid w:val="008A4B52"/>
    <w:rsid w:val="008B4DBE"/>
    <w:rsid w:val="008C08B0"/>
    <w:rsid w:val="008C277F"/>
    <w:rsid w:val="008C66C1"/>
    <w:rsid w:val="008F37BE"/>
    <w:rsid w:val="008F49AB"/>
    <w:rsid w:val="009051EF"/>
    <w:rsid w:val="00922E48"/>
    <w:rsid w:val="009230B7"/>
    <w:rsid w:val="009304A2"/>
    <w:rsid w:val="00943F0A"/>
    <w:rsid w:val="009471A9"/>
    <w:rsid w:val="00947F7C"/>
    <w:rsid w:val="00950912"/>
    <w:rsid w:val="00951C97"/>
    <w:rsid w:val="00993C57"/>
    <w:rsid w:val="00994DBC"/>
    <w:rsid w:val="009957CA"/>
    <w:rsid w:val="00996939"/>
    <w:rsid w:val="009A2C36"/>
    <w:rsid w:val="009A522B"/>
    <w:rsid w:val="009A7756"/>
    <w:rsid w:val="009B1EE7"/>
    <w:rsid w:val="009C0651"/>
    <w:rsid w:val="009C40DD"/>
    <w:rsid w:val="009D232F"/>
    <w:rsid w:val="009D28F0"/>
    <w:rsid w:val="009D36D7"/>
    <w:rsid w:val="009E6144"/>
    <w:rsid w:val="00A0001F"/>
    <w:rsid w:val="00A01B38"/>
    <w:rsid w:val="00A07756"/>
    <w:rsid w:val="00A15F96"/>
    <w:rsid w:val="00A2011A"/>
    <w:rsid w:val="00A214C4"/>
    <w:rsid w:val="00A31409"/>
    <w:rsid w:val="00A32F7B"/>
    <w:rsid w:val="00A60964"/>
    <w:rsid w:val="00A713E3"/>
    <w:rsid w:val="00A77169"/>
    <w:rsid w:val="00A9002D"/>
    <w:rsid w:val="00AA045F"/>
    <w:rsid w:val="00AA421A"/>
    <w:rsid w:val="00AA441B"/>
    <w:rsid w:val="00AA44C4"/>
    <w:rsid w:val="00AB2788"/>
    <w:rsid w:val="00AC23B8"/>
    <w:rsid w:val="00AC2BCE"/>
    <w:rsid w:val="00AC33BF"/>
    <w:rsid w:val="00AC7E55"/>
    <w:rsid w:val="00AD1593"/>
    <w:rsid w:val="00AD29AD"/>
    <w:rsid w:val="00AD449F"/>
    <w:rsid w:val="00AF0263"/>
    <w:rsid w:val="00AF02AF"/>
    <w:rsid w:val="00AF1A04"/>
    <w:rsid w:val="00AF4E1A"/>
    <w:rsid w:val="00B0509E"/>
    <w:rsid w:val="00B06070"/>
    <w:rsid w:val="00B1440B"/>
    <w:rsid w:val="00B1508F"/>
    <w:rsid w:val="00B2394A"/>
    <w:rsid w:val="00B23FC5"/>
    <w:rsid w:val="00B343B2"/>
    <w:rsid w:val="00B45C68"/>
    <w:rsid w:val="00B67AEA"/>
    <w:rsid w:val="00B769A1"/>
    <w:rsid w:val="00B7759A"/>
    <w:rsid w:val="00B84240"/>
    <w:rsid w:val="00B85477"/>
    <w:rsid w:val="00B86905"/>
    <w:rsid w:val="00B87214"/>
    <w:rsid w:val="00B93597"/>
    <w:rsid w:val="00BB2B81"/>
    <w:rsid w:val="00BB706A"/>
    <w:rsid w:val="00BD09AD"/>
    <w:rsid w:val="00BD223D"/>
    <w:rsid w:val="00BD4985"/>
    <w:rsid w:val="00BE189B"/>
    <w:rsid w:val="00BF7709"/>
    <w:rsid w:val="00C00FA0"/>
    <w:rsid w:val="00C07F57"/>
    <w:rsid w:val="00C21405"/>
    <w:rsid w:val="00C357E1"/>
    <w:rsid w:val="00C36285"/>
    <w:rsid w:val="00C437E8"/>
    <w:rsid w:val="00C50B5F"/>
    <w:rsid w:val="00C568FF"/>
    <w:rsid w:val="00C61380"/>
    <w:rsid w:val="00C71CA2"/>
    <w:rsid w:val="00C82C89"/>
    <w:rsid w:val="00C90273"/>
    <w:rsid w:val="00C92207"/>
    <w:rsid w:val="00C95F4C"/>
    <w:rsid w:val="00C96675"/>
    <w:rsid w:val="00CB4C7C"/>
    <w:rsid w:val="00CC5A6C"/>
    <w:rsid w:val="00CD3759"/>
    <w:rsid w:val="00CD3FA2"/>
    <w:rsid w:val="00CE5517"/>
    <w:rsid w:val="00CE7D6E"/>
    <w:rsid w:val="00D23D9F"/>
    <w:rsid w:val="00D26A6F"/>
    <w:rsid w:val="00D3402B"/>
    <w:rsid w:val="00D35619"/>
    <w:rsid w:val="00D401BD"/>
    <w:rsid w:val="00D4357F"/>
    <w:rsid w:val="00D4606A"/>
    <w:rsid w:val="00D508E4"/>
    <w:rsid w:val="00D5145F"/>
    <w:rsid w:val="00D61878"/>
    <w:rsid w:val="00D64978"/>
    <w:rsid w:val="00D657F2"/>
    <w:rsid w:val="00D72F97"/>
    <w:rsid w:val="00D85DE9"/>
    <w:rsid w:val="00D93061"/>
    <w:rsid w:val="00DA2425"/>
    <w:rsid w:val="00DA5D31"/>
    <w:rsid w:val="00DA7FCE"/>
    <w:rsid w:val="00DB582A"/>
    <w:rsid w:val="00DD03BD"/>
    <w:rsid w:val="00DD44B8"/>
    <w:rsid w:val="00DF00EE"/>
    <w:rsid w:val="00DF19DE"/>
    <w:rsid w:val="00DF3715"/>
    <w:rsid w:val="00E02126"/>
    <w:rsid w:val="00E070B0"/>
    <w:rsid w:val="00E070E6"/>
    <w:rsid w:val="00E14F45"/>
    <w:rsid w:val="00E17954"/>
    <w:rsid w:val="00E41E64"/>
    <w:rsid w:val="00E45E6F"/>
    <w:rsid w:val="00E47748"/>
    <w:rsid w:val="00E56369"/>
    <w:rsid w:val="00E57954"/>
    <w:rsid w:val="00E72B01"/>
    <w:rsid w:val="00E75BE6"/>
    <w:rsid w:val="00E7610F"/>
    <w:rsid w:val="00E7734E"/>
    <w:rsid w:val="00E77B6A"/>
    <w:rsid w:val="00E77ED2"/>
    <w:rsid w:val="00E85BE2"/>
    <w:rsid w:val="00E90856"/>
    <w:rsid w:val="00EA010D"/>
    <w:rsid w:val="00EA10D9"/>
    <w:rsid w:val="00EA6AD2"/>
    <w:rsid w:val="00EB3D1C"/>
    <w:rsid w:val="00EC08F8"/>
    <w:rsid w:val="00EC68A6"/>
    <w:rsid w:val="00ED7823"/>
    <w:rsid w:val="00EE1709"/>
    <w:rsid w:val="00EF0535"/>
    <w:rsid w:val="00EF512D"/>
    <w:rsid w:val="00EF512E"/>
    <w:rsid w:val="00EF59EC"/>
    <w:rsid w:val="00EF612B"/>
    <w:rsid w:val="00EF7D3E"/>
    <w:rsid w:val="00F06EB5"/>
    <w:rsid w:val="00F12A0F"/>
    <w:rsid w:val="00F218CE"/>
    <w:rsid w:val="00F329D8"/>
    <w:rsid w:val="00F3697E"/>
    <w:rsid w:val="00F4438C"/>
    <w:rsid w:val="00F56DA8"/>
    <w:rsid w:val="00F66625"/>
    <w:rsid w:val="00F779E4"/>
    <w:rsid w:val="00FA2DAA"/>
    <w:rsid w:val="00FA42EF"/>
    <w:rsid w:val="00FA4E0F"/>
    <w:rsid w:val="00FB2D7B"/>
    <w:rsid w:val="00FB638D"/>
    <w:rsid w:val="00FC0F73"/>
    <w:rsid w:val="00FE7F26"/>
    <w:rsid w:val="1D6822D0"/>
    <w:rsid w:val="5DDB72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PMingLiU"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nhideWhenUsed="0" w:uiPriority="0" w:semiHidden="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PMingLiU" w:cs="Times New Roman"/>
      <w:kern w:val="2"/>
      <w:sz w:val="24"/>
      <w:szCs w:val="24"/>
      <w:lang w:val="en-US" w:eastAsia="zh-TW" w:bidi="ar-SA"/>
    </w:rPr>
  </w:style>
  <w:style w:type="paragraph" w:styleId="2">
    <w:name w:val="heading 1"/>
    <w:basedOn w:val="1"/>
    <w:next w:val="1"/>
    <w:qFormat/>
    <w:uiPriority w:val="0"/>
    <w:pPr>
      <w:keepNext/>
      <w:spacing w:before="180" w:after="180" w:line="720" w:lineRule="auto"/>
      <w:outlineLvl w:val="0"/>
    </w:pPr>
    <w:rPr>
      <w:rFonts w:ascii="Arial" w:hAnsi="Arial"/>
      <w:b/>
      <w:kern w:val="52"/>
      <w:sz w:val="52"/>
      <w:szCs w:val="20"/>
    </w:rPr>
  </w:style>
  <w:style w:type="paragraph" w:styleId="3">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Date"/>
    <w:basedOn w:val="1"/>
    <w:next w:val="1"/>
    <w:uiPriority w:val="0"/>
    <w:pPr>
      <w:jc w:val="right"/>
    </w:pPr>
    <w:rPr>
      <w:rFonts w:ascii="DFKai-SB" w:eastAsia="DFKai-SB"/>
      <w:b/>
      <w:sz w:val="32"/>
      <w:szCs w:val="20"/>
    </w:rPr>
  </w:style>
  <w:style w:type="paragraph" w:styleId="5">
    <w:name w:val="Balloon Text"/>
    <w:basedOn w:val="1"/>
    <w:link w:val="13"/>
    <w:uiPriority w:val="0"/>
    <w:rPr>
      <w:sz w:val="18"/>
      <w:szCs w:val="18"/>
    </w:rPr>
  </w:style>
  <w:style w:type="paragraph" w:styleId="6">
    <w:name w:val="footer"/>
    <w:basedOn w:val="1"/>
    <w:uiPriority w:val="0"/>
    <w:pPr>
      <w:tabs>
        <w:tab w:val="center" w:pos="4153"/>
        <w:tab w:val="right" w:pos="8306"/>
      </w:tabs>
      <w:snapToGrid w:val="0"/>
    </w:pPr>
    <w:rPr>
      <w:sz w:val="20"/>
      <w:szCs w:val="20"/>
    </w:rPr>
  </w:style>
  <w:style w:type="paragraph" w:styleId="7">
    <w:name w:val="header"/>
    <w:basedOn w:val="1"/>
    <w:link w:val="16"/>
    <w:uiPriority w:val="0"/>
    <w:pPr>
      <w:tabs>
        <w:tab w:val="center" w:pos="4153"/>
        <w:tab w:val="right" w:pos="8306"/>
      </w:tabs>
      <w:snapToGrid w:val="0"/>
    </w:pPr>
    <w:rPr>
      <w:sz w:val="20"/>
      <w:szCs w:val="20"/>
    </w:rPr>
  </w:style>
  <w:style w:type="table" w:styleId="9">
    <w:name w:val="Table Grid"/>
    <w:basedOn w:val="8"/>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uiPriority w:val="0"/>
  </w:style>
  <w:style w:type="paragraph" w:customStyle="1" w:styleId="12">
    <w:name w:val="font1"/>
    <w:basedOn w:val="1"/>
    <w:uiPriority w:val="0"/>
    <w:pPr>
      <w:widowControl/>
      <w:spacing w:before="100" w:beforeAutospacing="1" w:after="100" w:afterAutospacing="1"/>
    </w:pPr>
    <w:rPr>
      <w:rFonts w:hint="eastAsia" w:ascii="MingLiU" w:hAnsi="MingLiU" w:eastAsia="MingLiU"/>
      <w:kern w:val="0"/>
      <w:sz w:val="22"/>
      <w:szCs w:val="22"/>
      <w:lang w:eastAsia="zh-CN"/>
    </w:rPr>
  </w:style>
  <w:style w:type="character" w:customStyle="1" w:styleId="13">
    <w:name w:val="批注框文本 字符"/>
    <w:basedOn w:val="10"/>
    <w:link w:val="5"/>
    <w:uiPriority w:val="0"/>
    <w:rPr>
      <w:kern w:val="2"/>
      <w:sz w:val="18"/>
      <w:szCs w:val="18"/>
      <w:lang w:eastAsia="zh-TW"/>
    </w:rPr>
  </w:style>
  <w:style w:type="table" w:customStyle="1" w:styleId="14">
    <w:name w:val="网格型1"/>
    <w:basedOn w:val="8"/>
    <w:uiPriority w:val="5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5">
    <w:name w:val="List Paragraph"/>
    <w:basedOn w:val="1"/>
    <w:qFormat/>
    <w:uiPriority w:val="34"/>
    <w:pPr>
      <w:ind w:firstLine="420" w:firstLineChars="200"/>
    </w:pPr>
  </w:style>
  <w:style w:type="character" w:customStyle="1" w:styleId="16">
    <w:name w:val="页眉 字符"/>
    <w:basedOn w:val="10"/>
    <w:link w:val="7"/>
    <w:uiPriority w:val="0"/>
    <w:rPr>
      <w:kern w:val="2"/>
      <w:lang w:eastAsia="zh-TW"/>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image" Target="media/image2.emf"/><Relationship Id="rId4" Type="http://schemas.openxmlformats.org/officeDocument/2006/relationships/image" Target="media/image1.em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26472;&#29141;&#38155;\AppData\Roaming\kingsoft\office6\templates\download\0d3c88f8-ccef-434a-818b-3ec9efa4ddc6\&#21033;&#28070;&#20013;&#24515;&#39640;&#31649;&#24180;&#34218;&#21046;&#32489;&#25928;&#32771;&#26680;&#31649;&#29702;&#26041;&#26696;.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D2F165-F426-42D2-81EB-A945169314B6}">
  <ds:schemaRefs/>
</ds:datastoreItem>
</file>

<file path=docProps/app.xml><?xml version="1.0" encoding="utf-8"?>
<Properties xmlns="http://schemas.openxmlformats.org/officeDocument/2006/extended-properties" xmlns:vt="http://schemas.openxmlformats.org/officeDocument/2006/docPropsVTypes">
  <Template>利润中心高管年薪制绩效考核管理方案.docx</Template>
  <Pages>3</Pages>
  <Words>1057</Words>
  <Characters>1139</Characters>
  <Lines>9</Lines>
  <Paragraphs>2</Paragraphs>
  <TotalTime>5</TotalTime>
  <ScaleCrop>false</ScaleCrop>
  <LinksUpToDate>false</LinksUpToDate>
  <CharactersWithSpaces>1160</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2022-07-23T15:19:00Z</dcterms:created>
  <dc:creator>yyf^_^</dc:creator>
  <cp:lastModifiedBy>王佩</cp:lastModifiedBy>
  <dcterms:modified xsi:type="dcterms:W3CDTF">2022-07-26T06:42:02Z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KSOTemplateUUID">
    <vt:lpwstr>v1.0_mb_VTk9Qm+5OsqUqpxSR/kuVw==</vt:lpwstr>
  </property>
  <property fmtid="{D5CDD505-2E9C-101B-9397-08002B2CF9AE}" pid="4" name="ICV">
    <vt:lpwstr>D867E94E8345443D84766548A8781CF5</vt:lpwstr>
  </property>
</Properties>
</file>