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61" w:after="360"/>
        <w:textAlignment w:val="baseline"/>
        <w:rPr>
          <w:rFonts w:ascii="楷体" w:hAnsi="楷体" w:eastAsia="楷体" w:cs="宋体"/>
          <w:bCs w:val="false"/>
          <w:color w:val="000000"/>
          <w:sz w:val="24"/>
        </w:rPr>
      </w:pPr>
      <w:r>
        <w:rPr>
          <w:rFonts w:ascii="SimHei" w:hAnsi="SimHei" w:cs="宋体" w:eastAsia="黑体"/>
          <w:color w:val="000000"/>
          <w:sz w:val="36"/>
        </w:rPr>
        <w:t>合理避税的各种技巧</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避税是指企业为了实现利润最大化和税负最低化，研究各国税收法律之间的差异，某集团内部财务节税计划，以规避纳税。</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外资企业都各有避税秘方，虽然说避税违反了税收立法意图，有悖于政府的税收政策导向，但避税并不违法，法律上存在合理避税之说。正因如此，很多外资企业采取各种招术，以达合理避税的目的。</w:t>
      </w:r>
    </w:p>
    <w:p>
      <w:pPr>
        <w:pStyle w:val="Heading1"/>
        <w:spacing w:lineRule="auto" w:line="360" w:before="0" w:after="0"/>
        <w:ind w:firstLine="424"/>
        <w:rPr>
          <w:rFonts w:ascii="楷体" w:hAnsi="楷体" w:eastAsia="楷体" w:cs="宋体"/>
          <w:color w:val="000000"/>
          <w:sz w:val="24"/>
          <w:szCs w:val="21"/>
        </w:rPr>
      </w:pPr>
      <w:r>
        <w:rPr>
          <w:rFonts w:ascii="SimHei" w:hAnsi="SimHei" w:cs="宋体" w:eastAsia="黑体"/>
          <w:color w:val="000000"/>
          <w:sz w:val="28"/>
          <w:szCs w:val="21"/>
        </w:rPr>
        <w:t>转让定价</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一家总部设在国外分部设在国内的加工制造企业，总部有意提高原材料成本价格，增大负债，在售价不变的情况下，使收益减低，甚至出现亏损，在亏损后，还会增加投资，常年如此，税务部门拿这种做法也无可奈何。这种做法被审计人员叫做“转移定价”。这家企业“长亏不倒”的做法在很多外企中也很盛行。</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转让定价是现代企业特别是跨国公司进行国际避税所借用的重要手段。在现代经济生活中，许多避税活动，不论是国内避税还是国际避税，都与转让定价有关。它们往往通过从高税国向低税国或避税地以较低的内部转让定价销售商品和分配费用，或者从低税国或避税地向高税国以较高的内部转让定价销售商品和分配费用，使国际关联企业的整体税收负担减轻。</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贷款高利率利用专有技术等无形资产作价高于国际市场价格，或隐藏在设备价款中的一种手法。外商利用人们不了解设备和技术的真实价格，从中抬高设备价格和技术转让价格，将企业利润向境外转移。它们在抬高设备价款的同时，把技术转让价款隐藏在设备价款中，以躲避特许权使用费收入应纳的预提税。</w:t>
      </w:r>
    </w:p>
    <w:p>
      <w:pPr>
        <w:pStyle w:val="Heading1"/>
        <w:spacing w:lineRule="auto" w:line="360" w:before="0" w:after="0"/>
        <w:ind w:firstLine="424"/>
        <w:rPr>
          <w:rFonts w:ascii="楷体" w:hAnsi="楷体" w:eastAsia="楷体" w:cs="宋体"/>
          <w:color w:val="000000"/>
          <w:sz w:val="24"/>
          <w:szCs w:val="21"/>
        </w:rPr>
      </w:pPr>
      <w:r>
        <w:rPr>
          <w:rFonts w:ascii="SimHei" w:hAnsi="SimHei" w:cs="宋体" w:eastAsia="黑体"/>
          <w:color w:val="000000"/>
          <w:sz w:val="28"/>
          <w:szCs w:val="21"/>
        </w:rPr>
        <w:t>劳务收费标准“高进低出”</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关联企业之间相互提供服务或劳务，通常是境外公司收费高，境内公司收费低甚至不收费。有的还虚列境外公司费用。</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资产评估提高折旧张小姐曾遇到过一家香港公司，每年都要对其房地产进行价值评估，其在华子公司因为要与香港母公司进行合并报表，所以也要同时评估其在华房产。这也是外资一种避税的有效方法。如房地产评估增值，每年计提的折旧也会相应的增加，纳税自然也会相应减少。</w:t>
      </w:r>
    </w:p>
    <w:p>
      <w:pPr>
        <w:pStyle w:val="Heading1"/>
        <w:spacing w:lineRule="auto" w:line="360" w:before="0" w:after="0"/>
        <w:ind w:firstLine="424"/>
        <w:rPr>
          <w:rFonts w:ascii="楷体" w:hAnsi="楷体" w:eastAsia="楷体" w:cs="宋体"/>
          <w:color w:val="000000"/>
          <w:sz w:val="24"/>
          <w:szCs w:val="21"/>
        </w:rPr>
      </w:pPr>
      <w:r>
        <w:rPr>
          <w:rFonts w:ascii="SimHei" w:hAnsi="SimHei" w:cs="宋体" w:eastAsia="黑体"/>
          <w:color w:val="000000"/>
          <w:sz w:val="28"/>
          <w:szCs w:val="21"/>
        </w:rPr>
        <w:t>国际避税地建公司</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在避税港注册也是一种办法。他们那里曾经也采用过相同的办法。在国际避税地建立公司，然后通过避税地的公司与其他地方的公司进行商业、财务运作，把利润转移到避税地，靠避税地的免税收或低税收减少税负。在长三角地区，一些外资企业的投资方来自英属维尔京群岛等地方，而实际在岛上，它们可能只有一间办公室。</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运用避税港进行避税是跨国纳税人减轻税负增加收入的手段之一，而维持税收制度在筹措国家财政资金方面的有效性，又是各国税务当局面临的重要任务之一。在跨国纳税人不断运用避税港的情况下，国家的税收权益不断遭到损害，税收收入受到影响，税收的公平原则也相应遭到破坏。因此，许多国家尤其是发达国家特别注意如何防止跨国投资经营者运用避税港从事避税活动。</w:t>
      </w:r>
    </w:p>
    <w:p>
      <w:pPr>
        <w:pStyle w:val="Heading1"/>
        <w:spacing w:lineRule="auto" w:line="360" w:before="0" w:after="0"/>
        <w:ind w:firstLine="424"/>
        <w:rPr>
          <w:rFonts w:ascii="楷体" w:hAnsi="楷体" w:eastAsia="楷体" w:cs="宋体"/>
          <w:color w:val="000000"/>
          <w:sz w:val="24"/>
          <w:szCs w:val="21"/>
        </w:rPr>
      </w:pPr>
      <w:r>
        <w:rPr>
          <w:rFonts w:ascii="SimHei" w:hAnsi="SimHei" w:cs="宋体" w:eastAsia="黑体"/>
          <w:color w:val="000000"/>
          <w:sz w:val="28"/>
          <w:szCs w:val="21"/>
        </w:rPr>
        <w:t>其他方法层出不穷</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外企避税另一主要手段是利用关联交易，高进低出。这种手段占到避税金额的</w:t>
      </w:r>
      <w:r>
        <w:rPr>
          <w:rFonts w:eastAsia="黑体" w:cs="宋体" w:ascii="SimHei" w:hAnsi="SimHei"/>
          <w:color w:val="000000"/>
          <w:sz w:val="24"/>
          <w:szCs w:val="21"/>
        </w:rPr>
        <w:t>60%</w:t>
      </w:r>
      <w:r>
        <w:rPr>
          <w:rFonts w:ascii="SimHei" w:hAnsi="SimHei" w:cs="宋体" w:eastAsia="黑体"/>
          <w:color w:val="000000"/>
          <w:sz w:val="24"/>
          <w:szCs w:val="21"/>
        </w:rPr>
        <w:t>以上。另外，目前外商投资中国的资金中，</w:t>
      </w:r>
      <w:r>
        <w:rPr>
          <w:rFonts w:eastAsia="黑体" w:cs="宋体" w:ascii="SimHei" w:hAnsi="SimHei"/>
          <w:color w:val="000000"/>
          <w:sz w:val="24"/>
          <w:szCs w:val="21"/>
        </w:rPr>
        <w:t>60%</w:t>
      </w:r>
      <w:r>
        <w:rPr>
          <w:rFonts w:ascii="SimHei" w:hAnsi="SimHei" w:cs="宋体" w:eastAsia="黑体"/>
          <w:color w:val="000000"/>
          <w:sz w:val="24"/>
          <w:szCs w:val="21"/>
        </w:rPr>
        <w:t>以上是借贷资金，即便是一些实力雄厚的国际公司也向境内外银行借大量资金，利用税前列支利息，达到少交或免交企业所得税的目的。</w:t>
      </w:r>
    </w:p>
    <w:p>
      <w:pPr>
        <w:pStyle w:val="Normal"/>
        <w:shd w:fill="FFFFFF" w:val="clear"/>
        <w:snapToGrid w:val="true"/>
        <w:spacing w:lineRule="auto" w:line="360" w:before="0" w:after="0"/>
        <w:ind w:firstLine="480"/>
        <w:jc w:val="both"/>
        <w:rPr>
          <w:rFonts w:ascii="楷体" w:hAnsi="楷体" w:eastAsia="楷体" w:cs="宋体"/>
          <w:color w:val="000000"/>
          <w:sz w:val="24"/>
          <w:szCs w:val="21"/>
        </w:rPr>
      </w:pPr>
      <w:r>
        <w:rPr>
          <w:rFonts w:ascii="SimHei" w:hAnsi="SimHei" w:cs="宋体" w:eastAsia="黑体"/>
          <w:color w:val="000000"/>
          <w:sz w:val="24"/>
          <w:szCs w:val="21"/>
        </w:rPr>
        <w:t>反避税涉及到社会经济生活的各个部门。税收制度不够完备，地区间、部门间的不协调，是避税形成的客观原因。专家指出，应从税法和征管两方面完善和加强现有税收体制。首先，现行的涉外的税法规定外商投资企业享受着和内资企业不同的税收政策，这种税收设置，为合法避税行为提供了一个很大空间。只有内外资企业所得税合并，才能够进一步完善税法和严格征管，在反避税上从根本上打下一个非常好的基础，否则，现在两套税制，随意性很大。</w:t>
      </w:r>
    </w:p>
    <w:p>
      <w:pPr>
        <w:pStyle w:val="Normal"/>
        <w:shd w:fill="FFFFFF" w:val="clear"/>
        <w:snapToGrid w:val="true"/>
        <w:spacing w:lineRule="auto" w:line="360" w:before="0" w:after="0"/>
        <w:ind w:firstLine="480"/>
        <w:jc w:val="both"/>
        <w:rPr>
          <w:rFonts w:ascii="楷体" w:hAnsi="楷体" w:eastAsia="楷体" w:cs="楷体"/>
          <w:color w:val="000000"/>
          <w:sz w:val="24"/>
          <w:szCs w:val="21"/>
        </w:rPr>
      </w:pPr>
      <w:r>
        <w:rPr>
          <w:rFonts w:ascii="SimHei" w:hAnsi="SimHei" w:cs="宋体" w:eastAsia="黑体"/>
          <w:color w:val="000000"/>
          <w:sz w:val="24"/>
          <w:szCs w:val="21"/>
        </w:rPr>
        <w:t>其次是征管方面。在征管手段上要跟上计算机的信息控制，另外也涉及到出口退税和骗税问题，要求海关、外贸部门和税务机关三方面能够迅速信息相通，这些方面和国际上都还存在差距，需要进一步改进。</w:t>
      </w:r>
    </w:p>
    <w:sectPr>
      <w:footerReference w:type="default" r:id="rId2"/>
      <w:type w:val="nextPage"/>
      <w:pgSz w:w="11906" w:h="16838"/>
      <w:pgMar w:left="1474" w:right="1474" w:header="0" w:top="850" w:footer="397" w:bottom="850"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ahoma">
    <w:charset w:val="00" w:characterSet="windows-1252"/>
    <w:family w:val="swiss"/>
    <w:pitch w:val="default"/>
  </w:font>
  <w:font w:name="Cambria">
    <w:charset w:val="00" w:characterSet="windows-1252"/>
    <w:family w:val="roman"/>
    <w:pitch w:val="default"/>
  </w:font>
  <w:font w:name="宋体">
    <w:charset w:val="86"/>
    <w:family w:val="auto"/>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00"/>
      <w:rPr>
        <w:sz w:val="18"/>
      </w:rPr>
    </w:pPr>
    <w:r>
      <w:rPr>
        <w:sz w:val="18"/>
      </w:rPr>
    </w:r>
    <w:r>
      <mc:AlternateContent>
        <mc:Choice Requires="wps">
          <w:drawing>
            <wp:anchor behindDoc="1" distT="0" distB="0" distL="114935" distR="114935" simplePos="0" locked="0" layoutInCell="0" allowOverlap="1" relativeHeight="3">
              <wp:simplePos x="0" y="0"/>
              <wp:positionH relativeFrom="margin">
                <wp:align>center</wp:align>
              </wp:positionH>
              <wp:positionV relativeFrom="paragraph">
                <wp:posOffset>635</wp:posOffset>
              </wp:positionV>
              <wp:extent cx="74930" cy="134620"/>
              <wp:effectExtent l="0" t="0" r="0" b="0"/>
              <wp:wrapNone/>
              <wp:docPr id="1" name="Frame1"/>
              <a:graphic xmlns:a="http://schemas.openxmlformats.org/drawingml/2006/main">
                <a:graphicData uri="http://schemas.microsoft.com/office/word/2010/wordprocessingShape">
                  <wps:wsp>
                    <wps:cNvSpPr txBox="1"/>
                    <wps:spPr>
                      <a:xfrm>
                        <a:off x="0" y="0"/>
                        <a:ext cx="74930" cy="134620"/>
                      </a:xfrm>
                      <a:prstGeom prst="rect"/>
                      <a:solidFill>
                        <a:srgbClr val="FFFFFF">
                          <a:alpha val="0"/>
                        </a:srgbClr>
                      </a:solidFill>
                    </wps:spPr>
                    <wps:txbx>
                      <w:txbxContent>
                        <w:p>
                          <w:pPr>
                            <w:pStyle w:val="Footer"/>
                            <w:spacing w:before="0" w:after="200"/>
                            <w:rPr>
                              <w:lang w:eastAsia="zh-CN"/>
                            </w:rPr>
                          </w:pPr>
                          <w:r>
                            <w:rPr>
                              <w:lang w:eastAsia="zh-CN"/>
                            </w:rPr>
                            <w:fldChar w:fldCharType="begin"/>
                          </w:r>
                          <w:r>
                            <w:rPr>
                              <w:lang w:eastAsia="zh-CN"/>
                            </w:rPr>
                            <w:instrText> PAGE </w:instrText>
                          </w:r>
                          <w:r>
                            <w:rPr>
                              <w:lang w:eastAsia="zh-CN"/>
                            </w:rPr>
                            <w:fldChar w:fldCharType="separate"/>
                          </w:r>
                          <w:r>
                            <w:rPr>
                              <w:lang w:eastAsia="zh-CN"/>
                            </w:rPr>
                            <w:t>2</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5.9pt;height:10.6pt;mso-wrap-distance-left:9.05pt;mso-wrap-distance-right:9.05pt;mso-wrap-distance-top:0pt;mso-wrap-distance-bottom:0pt;margin-top:0pt;mso-position-vertical-relative:text;margin-left:221pt;mso-position-horizontal:center;mso-position-horizontal-relative:margin">
              <v:fill opacity="0f"/>
              <v:textbox inset="0.000694444444444444in,0.000694444444444444in,0.000694444444444444in,0.000694444444444444in">
                <w:txbxContent>
                  <w:p>
                    <w:pPr>
                      <w:pStyle w:val="Footer"/>
                      <w:spacing w:before="0" w:after="200"/>
                      <w:rPr>
                        <w:lang w:eastAsia="zh-CN"/>
                      </w:rPr>
                    </w:pPr>
                    <w:r>
                      <w:rPr>
                        <w:lang w:eastAsia="zh-CN"/>
                      </w:rPr>
                      <w:fldChar w:fldCharType="begin"/>
                    </w:r>
                    <w:r>
                      <w:rPr>
                        <w:lang w:eastAsia="zh-CN"/>
                      </w:rPr>
                      <w:instrText> PAGE </w:instrText>
                    </w:r>
                    <w:r>
                      <w:rPr>
                        <w:lang w:eastAsia="zh-CN"/>
                      </w:rPr>
                      <w:fldChar w:fldCharType="separate"/>
                    </w:r>
                    <w:r>
                      <w:rPr>
                        <w:lang w:eastAsia="zh-CN"/>
                      </w:rPr>
                      <w:t>2</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snapToGrid w:val="false"/>
      <w:spacing w:before="0" w:after="200"/>
    </w:pPr>
    <w:rPr>
      <w:rFonts w:ascii="Tahoma" w:hAnsi="Tahoma" w:eastAsia="微软雅黑" w:cs="Tahoma"/>
      <w:color w:val="auto"/>
      <w:sz w:val="22"/>
      <w:szCs w:val="22"/>
      <w:lang w:val="en-US" w:eastAsia="zh-CN" w:bidi="ar-SA"/>
    </w:rPr>
  </w:style>
  <w:style w:type="paragraph" w:styleId="Heading1">
    <w:name w:val="Heading 1"/>
    <w:basedOn w:val="Normal"/>
    <w:next w:val="Normal"/>
    <w:qFormat/>
    <w:pPr>
      <w:keepNext w:val="true"/>
      <w:keepLines/>
      <w:widowControl w:val="false"/>
      <w:numPr>
        <w:ilvl w:val="0"/>
        <w:numId w:val="1"/>
      </w:numPr>
      <w:snapToGrid w:val="true"/>
      <w:spacing w:lineRule="auto" w:line="576" w:before="340" w:after="330"/>
      <w:jc w:val="both"/>
      <w:outlineLvl w:val="0"/>
    </w:pPr>
    <w:rPr>
      <w:rFonts w:ascii="Times New Roman" w:hAnsi="Times New Roman" w:eastAsia="宋体" w:cs="Times New Roman"/>
      <w:b/>
      <w:bCs/>
      <w:kern w:val="2"/>
      <w:sz w:val="44"/>
      <w:szCs w:val="44"/>
    </w:rPr>
  </w:style>
  <w:style w:type="character" w:styleId="Style13">
    <w:name w:val="默认段落字体"/>
    <w:qFormat/>
    <w:rPr/>
  </w:style>
  <w:style w:type="character" w:styleId="PageNumber">
    <w:name w:val="Page Number"/>
    <w:basedOn w:val="Style13"/>
    <w:rPr/>
  </w:style>
  <w:style w:type="character" w:styleId="Appleconvertedspace">
    <w:name w:val="apple-converted-space"/>
    <w:basedOn w:val="Style13"/>
    <w:qFormat/>
    <w:rPr/>
  </w:style>
  <w:style w:type="character" w:styleId="Char">
    <w:name w:val="标题 Char"/>
    <w:basedOn w:val="Style13"/>
    <w:qFormat/>
    <w:rPr>
      <w:rFonts w:ascii="Cambria" w:hAnsi="Cambria" w:eastAsia="宋体" w:cs="Cambria"/>
      <w:b/>
      <w:bCs/>
      <w:sz w:val="32"/>
      <w:szCs w:val="32"/>
    </w:rPr>
  </w:style>
  <w:style w:type="character" w:styleId="Char1">
    <w:name w:val="页眉 Char"/>
    <w:basedOn w:val="Style13"/>
    <w:qFormat/>
    <w:rPr>
      <w:rFonts w:ascii="Tahoma" w:hAnsi="Tahoma" w:cs="Tahoma"/>
      <w:sz w:val="18"/>
      <w:szCs w:val="18"/>
    </w:rPr>
  </w:style>
  <w:style w:type="character" w:styleId="Char2">
    <w:name w:val="页脚 Char"/>
    <w:basedOn w:val="Style13"/>
    <w:qFormat/>
    <w:rPr>
      <w:rFonts w:ascii="Tahoma" w:hAnsi="Tahoma" w:cs="Tahoma"/>
      <w:sz w:val="18"/>
      <w:szCs w:val="18"/>
    </w:rPr>
  </w:style>
  <w:style w:type="character" w:styleId="1Char">
    <w:name w:val="标题 1 Char"/>
    <w:basedOn w:val="Style13"/>
    <w:qFormat/>
    <w:rPr>
      <w:rFonts w:ascii="Times New Roman" w:hAnsi="Times New Roman" w:eastAsia="宋体" w:cs="Times New Roman"/>
      <w:b/>
      <w:bCs/>
      <w:kern w:val="2"/>
      <w:sz w:val="44"/>
      <w:szCs w:val="44"/>
    </w:rPr>
  </w:style>
  <w:style w:type="paragraph" w:styleId="Heading">
    <w:name w:val="Heading"/>
    <w:basedOn w:val="Normal"/>
    <w:next w:val="Normal"/>
    <w:qFormat/>
    <w:pPr>
      <w:widowControl w:val="false"/>
      <w:snapToGrid w:val="true"/>
      <w:spacing w:lineRule="atLeast" w:line="312" w:before="240" w:after="60"/>
      <w:jc w:val="center"/>
      <w:textAlignment w:val="baseline"/>
      <w:outlineLvl w:val="0"/>
    </w:pPr>
    <w:rPr>
      <w:rFonts w:ascii="Cambria" w:hAnsi="Cambria" w:eastAsia="宋体" w:cs="Cambria"/>
      <w:b/>
      <w:bCs/>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pPr>
    <w:rPr>
      <w:sz w:val="18"/>
      <w:szCs w:val="18"/>
    </w:rPr>
  </w:style>
  <w:style w:type="paragraph" w:styleId="Style14">
    <w:name w:val="普通(网站)"/>
    <w:basedOn w:val="Normal"/>
    <w:qFormat/>
    <w:pPr>
      <w:snapToGrid w:val="true"/>
      <w:spacing w:before="280" w:after="280"/>
    </w:pPr>
    <w:rPr>
      <w:rFonts w:ascii="宋体" w:hAnsi="宋体" w:eastAsia="宋体" w:cs="宋体"/>
      <w:sz w:val="24"/>
      <w:szCs w:val="24"/>
    </w:rPr>
  </w:style>
  <w:style w:type="paragraph" w:styleId="Header">
    <w:name w:val="Header"/>
    <w:basedOn w:val="Normal"/>
    <w:pPr>
      <w:tabs>
        <w:tab w:val="clear" w:pos="720"/>
        <w:tab w:val="center" w:pos="4153" w:leader="none"/>
        <w:tab w:val="right" w:pos="8306" w:leader="none"/>
      </w:tabs>
      <w:jc w:val="center"/>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2019-04-08T18:01:00Z</dcterms:created>
  <dc:creator>Administrator</dc:creator>
  <dc:description/>
  <dc:language>en-US</dc:language>
  <cp:lastModifiedBy>Administrator</cp:lastModifiedBy>
  <dcterms:modified xsi:type="dcterms:W3CDTF">2019-10-16T16:28:59Z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