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jc w:val="center"/>
        <w:rPr>
          <w:rFonts w:hint="eastAsia" w:ascii="宋体" w:hAnsi="宋体" w:eastAsia="宋体" w:cs="宋体"/>
          <w:b/>
          <w:bCs/>
          <w:color w:val="auto"/>
          <w:kern w:val="0"/>
          <w:sz w:val="44"/>
          <w:szCs w:val="44"/>
          <w:u w:val="none"/>
        </w:rPr>
      </w:pPr>
      <w:bookmarkStart w:id="86" w:name="_GoBack"/>
      <w:bookmarkEnd w:id="86"/>
      <w:r>
        <w:rPr>
          <w:rFonts w:hint="eastAsia" w:ascii="SimHei" w:hAnsi="SimHei" w:eastAsia="黑体" w:cs="宋体"/>
          <w:b/>
          <w:bCs/>
          <w:smallCaps/>
          <w:color w:val="auto"/>
          <w:kern w:val="0"/>
          <w:sz w:val="44"/>
          <w:szCs w:val="44"/>
          <w:u w:val="none"/>
        </w:rPr>
        <w:t>贸易公司员工手册</w:t>
      </w:r>
    </w:p>
    <w:p>
      <w:pPr>
        <w:widowControl/>
        <w:numPr>
          <w:ilvl w:val="0"/>
          <w:numId w:val="1"/>
        </w:numPr>
        <w:shd w:val="clear" w:color="auto" w:fill="FFFFFF"/>
        <w:spacing w:line="720" w:lineRule="auto"/>
        <w:jc w:val="center"/>
        <w:outlineLvl w:val="0"/>
        <w:rPr>
          <w:rFonts w:hint="eastAsia" w:ascii="宋体" w:hAnsi="宋体" w:eastAsia="宋体" w:cs="宋体"/>
          <w:b/>
          <w:bCs/>
          <w:color w:val="auto"/>
          <w:kern w:val="36"/>
          <w:sz w:val="28"/>
          <w:szCs w:val="28"/>
        </w:rPr>
      </w:pPr>
      <w:bookmarkStart w:id="0" w:name="_Toc89056992"/>
      <w:bookmarkEnd w:id="0"/>
      <w:r>
        <w:rPr>
          <w:rFonts w:hint="eastAsia" w:ascii="SimHei" w:hAnsi="SimHei" w:eastAsia="黑体" w:cs="宋体"/>
          <w:b/>
          <w:bCs/>
          <w:color w:val="auto"/>
          <w:kern w:val="36"/>
          <w:sz w:val="28"/>
          <w:szCs w:val="28"/>
        </w:rPr>
        <w:t>总 则</w:t>
      </w:r>
    </w:p>
    <w:p>
      <w:pPr>
        <w:widowControl/>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rPr>
          <w:rFonts w:hint="eastAsia" w:ascii="宋体" w:hAnsi="宋体" w:eastAsia="宋体" w:cs="宋体"/>
          <w:b/>
          <w:bCs/>
          <w:caps/>
          <w:smallCaps/>
          <w:color w:val="auto"/>
          <w:kern w:val="0"/>
          <w:sz w:val="28"/>
          <w:szCs w:val="28"/>
        </w:rPr>
      </w:pPr>
      <w:r>
        <w:rPr>
          <w:rFonts w:hint="eastAsia" w:ascii="SimHei" w:hAnsi="SimHei" w:eastAsia="黑体" w:cs="宋体"/>
          <w:b/>
          <w:bCs/>
          <w:caps/>
          <w:smallCaps/>
          <w:color w:val="auto"/>
          <w:kern w:val="0"/>
          <w:sz w:val="28"/>
          <w:szCs w:val="28"/>
        </w:rPr>
        <w:t>欢迎辞（略）</w:t>
      </w:r>
    </w:p>
    <w:p>
      <w:pPr>
        <w:widowControl/>
        <w:rPr>
          <w:rFonts w:hint="eastAsia" w:ascii="宋体" w:hAnsi="宋体" w:eastAsia="宋体" w:cs="宋体"/>
          <w:b/>
          <w:bCs/>
          <w:caps/>
          <w:smallCaps/>
          <w:color w:val="auto"/>
          <w:kern w:val="0"/>
          <w:sz w:val="28"/>
          <w:szCs w:val="28"/>
        </w:rPr>
      </w:pPr>
      <w:r>
        <w:rPr>
          <w:rFonts w:hint="eastAsia" w:ascii="SimHei" w:hAnsi="SimHei" w:eastAsia="黑体" w:cs="宋体"/>
          <w:b/>
          <w:bCs/>
          <w:caps/>
          <w:smallCaps/>
          <w:color w:val="auto"/>
          <w:kern w:val="0"/>
          <w:sz w:val="28"/>
          <w:szCs w:val="28"/>
        </w:rPr>
        <w:t>公司简介（略）</w:t>
      </w:r>
    </w:p>
    <w:p>
      <w:pPr>
        <w:widowControl/>
        <w:snapToGrid w:val="0"/>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本员工手册旨在帮助您了解新的工作环境，从而使您尽快与公司融为一体。</w:t>
      </w:r>
    </w:p>
    <w:p>
      <w:pPr>
        <w:widowControl/>
        <w:snapToGrid w:val="0"/>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本手册包含着每一位员工必不可少和应该建立的信念，还可以使您了解公司的方针政策和全体员工必须遵守的各种规章制度。</w:t>
      </w:r>
    </w:p>
    <w:p>
      <w:pPr>
        <w:widowControl/>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本手册极其简明地阐述了属于我们大家共同享有的责任、权力、义务和尊严。熟悉了这些内容后，您将对公司运作和管理风格有一个更清楚的认识，包括您对我们的期望和我们对您的期望。</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1" w:name="_Toc89056996"/>
      <w:bookmarkEnd w:id="1"/>
      <w:r>
        <w:rPr>
          <w:rFonts w:hint="eastAsia" w:ascii="SimHei" w:hAnsi="SimHei" w:eastAsia="黑体" w:cs="宋体"/>
          <w:b/>
          <w:bCs/>
          <w:color w:val="auto"/>
          <w:kern w:val="0"/>
          <w:sz w:val="28"/>
          <w:szCs w:val="28"/>
        </w:rPr>
        <w:t>公司与员工双方的基本责任</w:t>
      </w:r>
    </w:p>
    <w:p>
      <w:pPr>
        <w:widowControl/>
        <w:snapToGrid w:val="0"/>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的基本责任是在执行国家和地方法律、法令、政策的前提下，合理地组织员工工作，及时地提出工作任务，尽可能根据每个员工的专长和熟练程度，恰当地安排工作，积极改善工作条件，使员工在安全、舒适、卫生的条件下进行工作，关心员工的文化教育，加强对员工的业务和技术培训，按时给付员工应得的报酬，并提供有竞争力的福利。</w:t>
      </w:r>
    </w:p>
    <w:p>
      <w:pPr>
        <w:widowControl/>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的基本责任是遵守国家和地方法律、法令、政策，遵守公司的劳动纪律和各项规章制度，服从公司的分配和调动，努力完成本职工作；学习文化，学习技术，学习管理，努力掌握好本职工作所需的文化知识、业务技术和技能；爱护和正确使用各种设备和工具，保守公司的秘密。</w:t>
      </w:r>
    </w:p>
    <w:p>
      <w:pPr>
        <w:widowControl/>
        <w:numPr>
          <w:ilvl w:val="0"/>
          <w:numId w:val="2"/>
        </w:numPr>
        <w:spacing w:line="720" w:lineRule="auto"/>
        <w:jc w:val="center"/>
        <w:outlineLvl w:val="0"/>
        <w:rPr>
          <w:rFonts w:hint="eastAsia" w:ascii="宋体" w:hAnsi="宋体" w:eastAsia="宋体" w:cs="宋体"/>
          <w:b/>
          <w:bCs/>
          <w:color w:val="auto"/>
          <w:kern w:val="36"/>
          <w:sz w:val="28"/>
          <w:szCs w:val="28"/>
        </w:rPr>
      </w:pPr>
      <w:r>
        <w:rPr>
          <w:rFonts w:hint="eastAsia" w:ascii="SimHei" w:hAnsi="SimHei" w:eastAsia="黑体" w:cs="宋体"/>
          <w:b/>
          <w:bCs/>
          <w:color w:val="auto"/>
          <w:kern w:val="36"/>
          <w:sz w:val="28"/>
          <w:szCs w:val="28"/>
        </w:rPr>
        <w:t xml:space="preserve"> </w:t>
      </w:r>
      <w:bookmarkStart w:id="2" w:name="_Toc89056997"/>
      <w:r>
        <w:rPr>
          <w:rFonts w:hint="eastAsia" w:ascii="SimHei" w:hAnsi="SimHei" w:eastAsia="黑体" w:cs="宋体"/>
          <w:b/>
          <w:bCs/>
          <w:color w:val="auto"/>
          <w:kern w:val="36"/>
          <w:sz w:val="28"/>
          <w:szCs w:val="28"/>
        </w:rPr>
        <w:t>聘用</w:t>
      </w:r>
      <w:bookmarkEnd w:id="2"/>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3" w:name="_Toc18912678"/>
      <w:bookmarkEnd w:id="3"/>
      <w:bookmarkStart w:id="4" w:name="_Toc89056998"/>
      <w:r>
        <w:rPr>
          <w:rFonts w:hint="eastAsia" w:ascii="SimHei" w:hAnsi="SimHei" w:eastAsia="黑体" w:cs="宋体"/>
          <w:b/>
          <w:bCs/>
          <w:color w:val="auto"/>
          <w:kern w:val="0"/>
          <w:sz w:val="28"/>
          <w:szCs w:val="28"/>
        </w:rPr>
        <w:t>报到</w:t>
      </w:r>
      <w:bookmarkEnd w:id="4"/>
    </w:p>
    <w:p>
      <w:pPr>
        <w:widowControl/>
        <w:numPr>
          <w:ilvl w:val="0"/>
          <w:numId w:val="3"/>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提交材料</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行政部是具体负责办理报到手续的职能部门，报到时您须呈交以下材料或复印件必要时出示证件原件。</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证件、最高学历证书、学位证书；</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职称证书、资格证书；</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免冠一寸近照4张；</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员工登记表（求职人员登记表）；</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养老保险关系转移单。</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当个人资料有以下更改或补充时，请您在7个工作日内到行政部出示相关证明的原件并留下复印件，以确保与您有关的各项权益：</w:t>
      </w:r>
    </w:p>
    <w:p>
      <w:pPr>
        <w:widowControl/>
        <w:numPr>
          <w:ilvl w:val="0"/>
          <w:numId w:val="5"/>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姓名、证件号码、住址、户籍；</w:t>
      </w:r>
    </w:p>
    <w:p>
      <w:pPr>
        <w:widowControl/>
        <w:numPr>
          <w:ilvl w:val="0"/>
          <w:numId w:val="5"/>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婚姻、生育情况；</w:t>
      </w:r>
    </w:p>
    <w:p>
      <w:pPr>
        <w:widowControl/>
        <w:numPr>
          <w:ilvl w:val="0"/>
          <w:numId w:val="5"/>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职称、从业资格、培训结业或进修毕业；</w:t>
      </w:r>
    </w:p>
    <w:p>
      <w:pPr>
        <w:widowControl/>
        <w:numPr>
          <w:ilvl w:val="0"/>
          <w:numId w:val="5"/>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其他紧急情况。</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员工提供的个人资料要求内容真实，不弄虚作假。否则，一经发现，公司将立即与当事人终止试用关系或解除劳动合同。</w:t>
      </w:r>
    </w:p>
    <w:p>
      <w:pPr>
        <w:widowControl/>
        <w:numPr>
          <w:ilvl w:val="0"/>
          <w:numId w:val="3"/>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报到程序</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您在报到时，请按以下程序进行：</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snapToGrid w:val="0"/>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您报到后于人力资源部领取《员工手册》及《职务说明书》，与试用部门的负责人见面，确定办公场所并领取办公用品，落实岗位培训入职指引人，制定岗位培训计划。</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5" w:name="_Toc18912680"/>
      <w:bookmarkEnd w:id="5"/>
      <w:bookmarkStart w:id="6" w:name="_Toc89056999"/>
      <w:r>
        <w:rPr>
          <w:rFonts w:hint="eastAsia" w:ascii="SimHei" w:hAnsi="SimHei" w:eastAsia="黑体" w:cs="宋体"/>
          <w:b/>
          <w:bCs/>
          <w:color w:val="auto"/>
          <w:kern w:val="0"/>
          <w:sz w:val="28"/>
          <w:szCs w:val="28"/>
        </w:rPr>
        <w:t>办公及生活安排</w:t>
      </w:r>
      <w:bookmarkEnd w:id="6"/>
    </w:p>
    <w:p>
      <w:pPr>
        <w:widowControl/>
        <w:numPr>
          <w:ilvl w:val="0"/>
          <w:numId w:val="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入职指引</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您进入公司后，行政部或您所在部门会指定一名员工作为您的入职指引人。入职指引人除了向您介绍公司、部门的基本情况和您的工作任务外，还会指导您如何领取办公用品，使用办公设备，工作环境等有关具体事务。</w:t>
      </w:r>
    </w:p>
    <w:p>
      <w:pPr>
        <w:widowControl/>
        <w:numPr>
          <w:ilvl w:val="0"/>
          <w:numId w:val="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办公</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行政部将及时安排您的座位，办公设备等。您到部门报到后，到总台申领必需的用品，填写《办公用品领用登记表》，必要时填写《办公用品申购单》。</w:t>
      </w:r>
    </w:p>
    <w:p>
      <w:pPr>
        <w:widowControl/>
        <w:numPr>
          <w:ilvl w:val="0"/>
          <w:numId w:val="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用餐</w:t>
      </w:r>
    </w:p>
    <w:p>
      <w:pPr>
        <w:widowControl/>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公司为您提供一定的午餐补助。您自主安排午餐。茶水室备有电冰箱、微波炉、茶叶、饮用水等。</w:t>
      </w:r>
    </w:p>
    <w:p>
      <w:pPr>
        <w:widowControl/>
        <w:numPr>
          <w:ilvl w:val="0"/>
          <w:numId w:val="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住宿</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必要时，公司将视宿舍具体情况为您提供集体宿舍的床位。由入职指引人向您介绍宿舍起居的具体情况。</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7" w:name="_Toc18912681"/>
      <w:bookmarkEnd w:id="7"/>
      <w:bookmarkStart w:id="8" w:name="_Toc89057000"/>
      <w:r>
        <w:rPr>
          <w:rFonts w:hint="eastAsia" w:ascii="SimHei" w:hAnsi="SimHei" w:eastAsia="黑体" w:cs="宋体"/>
          <w:b/>
          <w:bCs/>
          <w:color w:val="auto"/>
          <w:kern w:val="0"/>
          <w:sz w:val="28"/>
          <w:szCs w:val="28"/>
        </w:rPr>
        <w:t>试用与转正</w:t>
      </w:r>
      <w:bookmarkEnd w:id="8"/>
    </w:p>
    <w:p>
      <w:pPr>
        <w:widowControl/>
        <w:snapToGrid w:val="0"/>
        <w:ind w:firstLine="420" w:firstLineChars="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您入职后，一般头三个月为试用期，入职时间以行政部核准的时间为最后依据。在试用期间您应尽快融入到公司的工作氛围中，充分展示您的才能。这是您与公司互相了解互相适应的时期。在试用期内的，如果您认为公司对您不合适，您可以完全自由地提出辞职。同样地，如果您的工作无法达到要求，公司也会终止对您的试用。试用期内将发给包干工资。</w:t>
      </w:r>
    </w:p>
    <w:p>
      <w:pPr>
        <w:widowControl/>
        <w:snapToGrid w:val="0"/>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员工如果在试用期内请假时间超过一个月，将被视为自动离职；试用期间无故旷工、迟到或早退累计三次的，公司将予以辞退。</w:t>
      </w:r>
    </w:p>
    <w:p>
      <w:pPr>
        <w:widowControl/>
        <w:snapToGrid w:val="0"/>
        <w:ind w:firstLine="420" w:firstLineChars="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试用期满前一周内，员工应向上级主管经理提交《转正申请表》和述职报告。员工的上级主管经理及行政部对其试用期工作表现进行综合考核。在试用期间，如果您表现突出，经过行政部考核，可缩短试用期，提前转正。</w:t>
      </w:r>
    </w:p>
    <w:p>
      <w:pPr>
        <w:widowControl/>
        <w:snapToGrid w:val="0"/>
        <w:ind w:firstLine="420" w:firstLineChars="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考核合格并通过总经理审批后，转为正式员工。公司将确定其正式工资级别并与其签订正式劳动合同。考核不合格者，公司将考虑辞退或适当延长试用期（但总试用期不能超过六个月）。</w:t>
      </w:r>
    </w:p>
    <w:p>
      <w:pPr>
        <w:widowControl/>
        <w:snapToGrid w:val="0"/>
        <w:ind w:firstLine="420" w:firstLineChars="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您转正后即为公司的正式员工，您的</w:t>
      </w:r>
      <w:r>
        <w:rPr>
          <w:rFonts w:hint="eastAsia" w:ascii="SimHei" w:hAnsi="SimHei" w:eastAsia="黑体" w:cs="宋体"/>
          <w:color w:val="auto"/>
          <w:kern w:val="0"/>
          <w:sz w:val="28"/>
          <w:szCs w:val="28"/>
          <w:lang w:eastAsia="zh-CN"/>
        </w:rPr>
        <w:t>工</w:t>
      </w:r>
      <w:r>
        <w:rPr>
          <w:rFonts w:hint="eastAsia" w:ascii="SimHei" w:hAnsi="SimHei" w:eastAsia="黑体" w:cs="宋体"/>
          <w:color w:val="auto"/>
          <w:kern w:val="0"/>
          <w:sz w:val="28"/>
          <w:szCs w:val="28"/>
        </w:rPr>
        <w:t>龄从转正之日开始计算。</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9" w:name="_Toc89057001"/>
      <w:bookmarkEnd w:id="9"/>
      <w:r>
        <w:rPr>
          <w:rFonts w:hint="eastAsia" w:ascii="SimHei" w:hAnsi="SimHei" w:eastAsia="黑体" w:cs="宋体"/>
          <w:b/>
          <w:bCs/>
          <w:color w:val="auto"/>
          <w:kern w:val="0"/>
          <w:sz w:val="28"/>
          <w:szCs w:val="28"/>
        </w:rPr>
        <w:t>档案</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公司为每位员工建立内部档案。公司认为，对人事档案进行恰当的管理十分重要。因为它体现了公司对每个员工的重视。为此，每位员工都有责任：</w:t>
      </w:r>
    </w:p>
    <w:p>
      <w:pPr>
        <w:widowControl/>
        <w:numPr>
          <w:ilvl w:val="0"/>
          <w:numId w:val="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在劳动关系开始前，真实地填写员工登记表。提供不正确或虚假情况的视为违反诚信方针，并可作为被解雇的理由。</w:t>
      </w:r>
    </w:p>
    <w:p>
      <w:pPr>
        <w:widowControl/>
        <w:numPr>
          <w:ilvl w:val="0"/>
          <w:numId w:val="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员工表中所填情况发生任何变化时，应及时通知直接主管经理和行政部。</w:t>
      </w:r>
    </w:p>
    <w:p>
      <w:pPr>
        <w:widowControl/>
        <w:numPr>
          <w:ilvl w:val="0"/>
          <w:numId w:val="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对个人情况保守秘密。</w:t>
      </w:r>
    </w:p>
    <w:p>
      <w:pPr>
        <w:widowControl/>
        <w:numPr>
          <w:ilvl w:val="0"/>
          <w:numId w:val="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除业务所需，不得私下打听他人的个人情况。</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0"/>
          <w:numId w:val="2"/>
        </w:numPr>
        <w:spacing w:line="720" w:lineRule="auto"/>
        <w:jc w:val="center"/>
        <w:outlineLvl w:val="0"/>
        <w:rPr>
          <w:rFonts w:hint="eastAsia" w:ascii="宋体" w:hAnsi="宋体" w:eastAsia="宋体" w:cs="宋体"/>
          <w:b/>
          <w:bCs/>
          <w:color w:val="auto"/>
          <w:kern w:val="36"/>
          <w:sz w:val="28"/>
          <w:szCs w:val="28"/>
        </w:rPr>
      </w:pPr>
      <w:r>
        <w:rPr>
          <w:rFonts w:hint="eastAsia" w:ascii="SimHei" w:hAnsi="SimHei" w:eastAsia="黑体" w:cs="宋体"/>
          <w:b/>
          <w:bCs/>
          <w:color w:val="auto"/>
          <w:kern w:val="36"/>
          <w:sz w:val="28"/>
          <w:szCs w:val="28"/>
        </w:rPr>
        <w:t xml:space="preserve"> </w:t>
      </w:r>
      <w:bookmarkStart w:id="10" w:name="_Toc89057002"/>
      <w:r>
        <w:rPr>
          <w:rFonts w:hint="eastAsia" w:ascii="SimHei" w:hAnsi="SimHei" w:eastAsia="黑体" w:cs="宋体"/>
          <w:b/>
          <w:bCs/>
          <w:color w:val="auto"/>
          <w:kern w:val="36"/>
          <w:sz w:val="28"/>
          <w:szCs w:val="28"/>
        </w:rPr>
        <w:t>纪律和规范</w:t>
      </w:r>
      <w:bookmarkEnd w:id="10"/>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11" w:name="_Toc18912683"/>
      <w:bookmarkEnd w:id="11"/>
      <w:bookmarkStart w:id="12" w:name="_Toc89057003"/>
      <w:r>
        <w:rPr>
          <w:rFonts w:hint="eastAsia" w:ascii="SimHei" w:hAnsi="SimHei" w:eastAsia="黑体" w:cs="宋体"/>
          <w:b/>
          <w:bCs/>
          <w:color w:val="auto"/>
          <w:kern w:val="0"/>
          <w:sz w:val="28"/>
          <w:szCs w:val="28"/>
        </w:rPr>
        <w:t>员工守则</w:t>
      </w:r>
      <w:bookmarkEnd w:id="12"/>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我们的企业精神是诚信、协作、精敏、高效，您是*********的一员，您应当遵守以下守则：</w:t>
      </w:r>
    </w:p>
    <w:p>
      <w:pPr>
        <w:widowControl/>
        <w:numPr>
          <w:ilvl w:val="0"/>
          <w:numId w:val="8"/>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热爱公司，服务社会；</w:t>
      </w:r>
    </w:p>
    <w:p>
      <w:pPr>
        <w:widowControl/>
        <w:numPr>
          <w:ilvl w:val="0"/>
          <w:numId w:val="8"/>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尊重他人，诚实守信；</w:t>
      </w:r>
    </w:p>
    <w:p>
      <w:pPr>
        <w:widowControl/>
        <w:numPr>
          <w:ilvl w:val="0"/>
          <w:numId w:val="8"/>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用心做事，追求卓越；</w:t>
      </w:r>
    </w:p>
    <w:p>
      <w:pPr>
        <w:widowControl/>
        <w:numPr>
          <w:ilvl w:val="0"/>
          <w:numId w:val="8"/>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不断进步，完善自我；</w:t>
      </w:r>
    </w:p>
    <w:p>
      <w:pPr>
        <w:widowControl/>
        <w:numPr>
          <w:ilvl w:val="0"/>
          <w:numId w:val="8"/>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团队合作，坚持原则；</w:t>
      </w:r>
    </w:p>
    <w:p>
      <w:pPr>
        <w:widowControl/>
        <w:numPr>
          <w:ilvl w:val="0"/>
          <w:numId w:val="8"/>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爱护公司财产，提倡勤俭节约；</w:t>
      </w:r>
    </w:p>
    <w:p>
      <w:pPr>
        <w:widowControl/>
        <w:numPr>
          <w:ilvl w:val="0"/>
          <w:numId w:val="8"/>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严守公司机密；</w:t>
      </w:r>
    </w:p>
    <w:p>
      <w:pPr>
        <w:widowControl/>
        <w:numPr>
          <w:ilvl w:val="0"/>
          <w:numId w:val="8"/>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保持环境卫生，注意个人仪表。</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同时如果您是公司的管理人员，即部门副经理及以上的管理级别，您会享有更高的权利和更好的待遇，同时您也将对公司的发展与部属的成长承担更大的责任，公司要求您要拥有以下所列的价值取向和行为原则。</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0"/>
          <w:numId w:val="8"/>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充满理想、富有激情、具有高度的责任感和使命感； </w:t>
      </w:r>
    </w:p>
    <w:p>
      <w:pPr>
        <w:widowControl/>
        <w:numPr>
          <w:ilvl w:val="0"/>
          <w:numId w:val="8"/>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开拓创新、高度务实、诚实守信；</w:t>
      </w:r>
    </w:p>
    <w:p>
      <w:pPr>
        <w:widowControl/>
        <w:numPr>
          <w:ilvl w:val="0"/>
          <w:numId w:val="8"/>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不懈努力，精通本行业的知识；</w:t>
      </w:r>
    </w:p>
    <w:p>
      <w:pPr>
        <w:widowControl/>
        <w:numPr>
          <w:ilvl w:val="0"/>
          <w:numId w:val="8"/>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对下级善于激励，合理授权，营造良好的沟通氛围；</w:t>
      </w:r>
    </w:p>
    <w:p>
      <w:pPr>
        <w:widowControl/>
        <w:numPr>
          <w:ilvl w:val="0"/>
          <w:numId w:val="8"/>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积极培养下属，科学管理，果断决策；</w:t>
      </w:r>
    </w:p>
    <w:p>
      <w:pPr>
        <w:widowControl/>
        <w:numPr>
          <w:ilvl w:val="0"/>
          <w:numId w:val="8"/>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胸怀坦荡，勇于批评与自我批评'</w:t>
      </w:r>
    </w:p>
    <w:p>
      <w:pPr>
        <w:widowControl/>
        <w:numPr>
          <w:ilvl w:val="0"/>
          <w:numId w:val="8"/>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严于律己，守法廉洁，堪为员工之表率；</w:t>
      </w:r>
    </w:p>
    <w:p>
      <w:pPr>
        <w:widowControl/>
        <w:numPr>
          <w:ilvl w:val="0"/>
          <w:numId w:val="8"/>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作风踏实，追求长远目标和效益，不急功近利。</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13" w:name="_Toc18912685"/>
      <w:bookmarkEnd w:id="13"/>
      <w:bookmarkStart w:id="14" w:name="_Toc89057004"/>
      <w:r>
        <w:rPr>
          <w:rFonts w:hint="eastAsia" w:ascii="SimHei" w:hAnsi="SimHei" w:eastAsia="黑体" w:cs="宋体"/>
          <w:b/>
          <w:bCs/>
          <w:color w:val="auto"/>
          <w:kern w:val="0"/>
          <w:sz w:val="28"/>
          <w:szCs w:val="28"/>
        </w:rPr>
        <w:t>工作</w:t>
      </w:r>
      <w:bookmarkEnd w:id="14"/>
      <w:r>
        <w:rPr>
          <w:rFonts w:hint="eastAsia" w:ascii="SimHei" w:hAnsi="SimHei" w:eastAsia="黑体" w:cs="宋体"/>
          <w:b/>
          <w:bCs/>
          <w:color w:val="auto"/>
          <w:kern w:val="0"/>
          <w:sz w:val="28"/>
          <w:szCs w:val="28"/>
        </w:rPr>
        <w:t>纪律</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公司鼓励员工间积极沟通交流，但不能因此妨碍工作。在办公期间，您应该坚守岗位，不要随意串岗聊天。需要暂时离开时，应知会同事。</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客户在场时，不得在办公区域进食或大声喧哗。</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办公室是公司办公场所，存有对公司来说很重要的财物和信息资料。所有来访的客人必须由总台人员或邀请人引导陪同方可进入；接待来访、业务洽谈应在洽谈室或会议室进行。</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上班时间使用电话应注意礼貌，语言简明扼要。员工相互商讨工作、接电话时应尽量低声，以免影响他人工作。不应长时间打私人电话。</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不得利用公司的电脑浏览不健康网站、玩游戏、聊天或做其它与业务无关的事。</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15" w:name="_Toc89057005"/>
      <w:bookmarkEnd w:id="15"/>
      <w:r>
        <w:rPr>
          <w:rFonts w:hint="eastAsia" w:ascii="SimHei" w:hAnsi="SimHei" w:eastAsia="黑体" w:cs="宋体"/>
          <w:b/>
          <w:bCs/>
          <w:color w:val="auto"/>
          <w:kern w:val="0"/>
          <w:sz w:val="28"/>
          <w:szCs w:val="28"/>
        </w:rPr>
        <w:t>环境与卫生</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为保持公司拥有有一个良好的工作环境，所有员工都应该自觉遵守下列规则：</w:t>
      </w:r>
    </w:p>
    <w:p>
      <w:pPr>
        <w:widowControl/>
        <w:numPr>
          <w:ilvl w:val="0"/>
          <w:numId w:val="9"/>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办公区域环境要求</w:t>
      </w:r>
    </w:p>
    <w:p>
      <w:pPr>
        <w:widowControl/>
        <w:numPr>
          <w:ilvl w:val="1"/>
          <w:numId w:val="9"/>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不得在办公区域聚集聊天及大声喧哗。</w:t>
      </w:r>
    </w:p>
    <w:p>
      <w:pPr>
        <w:widowControl/>
        <w:numPr>
          <w:ilvl w:val="1"/>
          <w:numId w:val="9"/>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个人办公区域内不得张贴与工作无关的图片及物品等。</w:t>
      </w:r>
    </w:p>
    <w:p>
      <w:pPr>
        <w:widowControl/>
        <w:numPr>
          <w:ilvl w:val="1"/>
          <w:numId w:val="9"/>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保证个人办公区域的卫生。办公桌椅和计算机表面不得有灰尘，桌面物品要码放整齐。</w:t>
      </w:r>
    </w:p>
    <w:p>
      <w:pPr>
        <w:widowControl/>
        <w:numPr>
          <w:ilvl w:val="1"/>
          <w:numId w:val="9"/>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及时将废纸、废物放入纸篓，剩水、剩茶倒入茶水间的水池。</w:t>
      </w:r>
    </w:p>
    <w:p>
      <w:pPr>
        <w:widowControl/>
        <w:numPr>
          <w:ilvl w:val="1"/>
          <w:numId w:val="9"/>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接水或泡茶等时应注意保持环境卫生，不污染，不积水。</w:t>
      </w:r>
    </w:p>
    <w:p>
      <w:pPr>
        <w:widowControl/>
        <w:numPr>
          <w:ilvl w:val="1"/>
          <w:numId w:val="9"/>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请爱护洗手间的公共设施，使用后冲水。卫生用品等杂物请放入洗手间的垃圾桶，不得丢入马桶内。</w:t>
      </w:r>
    </w:p>
    <w:p>
      <w:pPr>
        <w:widowControl/>
        <w:numPr>
          <w:ilvl w:val="0"/>
          <w:numId w:val="9"/>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会议室环境要求</w:t>
      </w:r>
    </w:p>
    <w:p>
      <w:pPr>
        <w:widowControl/>
        <w:numPr>
          <w:ilvl w:val="1"/>
          <w:numId w:val="9"/>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不得在会议室、洽谈室内用餐。</w:t>
      </w:r>
    </w:p>
    <w:p>
      <w:pPr>
        <w:widowControl/>
        <w:numPr>
          <w:ilvl w:val="1"/>
          <w:numId w:val="9"/>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为保证会议室的正常使用，会议室使用完毕后，应将桌椅恢复原位，及时清理桌面物品。 </w:t>
      </w:r>
    </w:p>
    <w:p>
      <w:pPr>
        <w:widowControl/>
        <w:numPr>
          <w:ilvl w:val="1"/>
          <w:numId w:val="9"/>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爱护会议室及洽谈室内的设施如桌椅、多媒体设备等，保持会议室及洽谈室的公共卫生。</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16" w:name="_Toc18912684"/>
      <w:bookmarkEnd w:id="16"/>
      <w:bookmarkStart w:id="17" w:name="_Toc89057006"/>
      <w:r>
        <w:rPr>
          <w:rFonts w:hint="eastAsia" w:ascii="SimHei" w:hAnsi="SimHei" w:eastAsia="黑体" w:cs="宋体"/>
          <w:b/>
          <w:bCs/>
          <w:color w:val="auto"/>
          <w:kern w:val="0"/>
          <w:sz w:val="28"/>
          <w:szCs w:val="28"/>
        </w:rPr>
        <w:t>考勤</w:t>
      </w:r>
      <w:bookmarkEnd w:id="17"/>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作为公司的员工，您有义务按公司规定的工作时间出勤。</w:t>
      </w:r>
    </w:p>
    <w:p>
      <w:pPr>
        <w:widowControl/>
        <w:numPr>
          <w:ilvl w:val="0"/>
          <w:numId w:val="1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规则</w:t>
      </w:r>
    </w:p>
    <w:p>
      <w:pPr>
        <w:widowControl/>
        <w:numPr>
          <w:ilvl w:val="1"/>
          <w:numId w:val="1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公司上班时间为9:00-5:30，12:00-13:30为午餐时间。实行六天工作制，即星期日休息。</w:t>
      </w:r>
    </w:p>
    <w:p>
      <w:pPr>
        <w:widowControl/>
        <w:numPr>
          <w:ilvl w:val="1"/>
          <w:numId w:val="1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公司实行打卡制度。您每天须在上午9:00以前，中午12:00以后，下午1:30以前，下午5:30以后共打卡四次。中午期间无外出的人员在此期间可免打卡，但应在1:30前准备就绪开始上班，否则按实际迟到时间计算处理。</w:t>
      </w:r>
    </w:p>
    <w:p>
      <w:pPr>
        <w:widowControl/>
        <w:numPr>
          <w:ilvl w:val="1"/>
          <w:numId w:val="1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不得互相代替打卡。如经发现，代人打卡者和被打卡者均按每次旷工一日论。考勤打卡原则上由总台负责监督，每位员工都有义务互相监督。</w:t>
      </w:r>
    </w:p>
    <w:p>
      <w:pPr>
        <w:widowControl/>
        <w:numPr>
          <w:ilvl w:val="1"/>
          <w:numId w:val="1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因公外出或出差不能按时打卡或忘记打卡，应在卡片上写明原因并由部门负责人签字。未打卡，又未请部门负责人签字的，您将被视为旷工。</w:t>
      </w:r>
    </w:p>
    <w:p>
      <w:pPr>
        <w:widowControl/>
        <w:numPr>
          <w:ilvl w:val="1"/>
          <w:numId w:val="1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上班期间如需外出办理公务，应事先向您的直接上级请示。在《外出记录》上注明外出时间、地点、事由，回公司后及时注明返回时间。每条外出记录都必须有相关负责人签名确认。如果无法在下班时间内返回公司，应电话通知负责人。</w:t>
      </w:r>
    </w:p>
    <w:p>
      <w:pPr>
        <w:widowControl/>
        <w:numPr>
          <w:ilvl w:val="1"/>
          <w:numId w:val="1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公司实行值勤制度。值班人员的上班时间为7:45。负责做好来电记录并转告相关人员，并在下班后负责关好办公区域门窗，切断除通讯设施外的用电器电源。</w:t>
      </w:r>
    </w:p>
    <w:p>
      <w:pPr>
        <w:widowControl/>
        <w:numPr>
          <w:ilvl w:val="0"/>
          <w:numId w:val="1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处置</w:t>
      </w:r>
    </w:p>
    <w:p>
      <w:pPr>
        <w:widowControl/>
        <w:numPr>
          <w:ilvl w:val="1"/>
          <w:numId w:val="1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迟到（早退）5分钟以内，原则上不予处理；迟到（早退）30分钟以内，每次扣罚20元。迟到三次以上，每次扣罚50元；迟到（早退）超过30分钟，按旷工半天处理，超过1小时，按旷工一天处理。</w:t>
      </w:r>
    </w:p>
    <w:p>
      <w:pPr>
        <w:widowControl/>
        <w:numPr>
          <w:ilvl w:val="1"/>
          <w:numId w:val="1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无故旷工者，两天(含)内，按每天标准额（标准额公式＝月工资*2/24.5）扣罚，连续旷工三日以上者，公司将会解除与您的劳动合同。</w:t>
      </w:r>
    </w:p>
    <w:p>
      <w:pPr>
        <w:widowControl/>
        <w:numPr>
          <w:ilvl w:val="1"/>
          <w:numId w:val="1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因工作需要，不能执行公司正常作息时间的员工，部门负责人应据实际情况适时安排调休假。</w:t>
      </w:r>
    </w:p>
    <w:p>
      <w:pPr>
        <w:widowControl/>
        <w:numPr>
          <w:ilvl w:val="1"/>
          <w:numId w:val="1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公司设立满勤奖。任何迟到、早退、病事假等休假、旷工将被视为没有出满勤，年休假除外。</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18" w:name="_Toc18912687"/>
      <w:bookmarkEnd w:id="18"/>
      <w:bookmarkStart w:id="19" w:name="_Toc89057007"/>
      <w:r>
        <w:rPr>
          <w:rFonts w:hint="eastAsia" w:ascii="SimHei" w:hAnsi="SimHei" w:eastAsia="黑体" w:cs="宋体"/>
          <w:b/>
          <w:bCs/>
          <w:color w:val="auto"/>
          <w:kern w:val="0"/>
          <w:sz w:val="28"/>
          <w:szCs w:val="28"/>
        </w:rPr>
        <w:t>保密</w:t>
      </w:r>
      <w:bookmarkEnd w:id="19"/>
    </w:p>
    <w:p>
      <w:pPr>
        <w:widowControl/>
        <w:snapToGrid w:val="0"/>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公司的保密信息是指公司拥有或掌握，涉及公司经营产品、技术或服务，但不为公司所属行业通常知晓的各项信息、资料。</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公司保密信息包括（但不限于）下列各项：</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公司各类文件(书面和电子文档)、决策、信件、传真及会议的内容；</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公司经营方针、经营管理情况、经营数据；</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公司客户（包括供应商、最终用户）名单、交易方式、习惯及其它任何客户资料；</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公司所获得的或所提供的商品和服务的价格；</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公司有关销售、成本、清单、账款及其它任何方面的财务资料；</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公司所有培训资料；</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公司所有人事（包括工资）、档案资料；</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公司所有合同、协议、合作计划、意向书及其它类似文件；</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其它保密资料。</w:t>
      </w:r>
    </w:p>
    <w:p>
      <w:pPr>
        <w:widowControl/>
        <w:snapToGrid w:val="0"/>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由于竞争的存在以及您对公司的责任，您有保守公司秘密的义务。这种保密的义务，不仅限于您在公司服务的合同期内，而且还应注意无论您是退休或离职后，您都将承担这种义务。</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您务必保管好您持有的涉密文件；</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未经授权或批准，您不得对外提供涉密的公司文件或其他未公开的经营状况、财务数据、产品情况等；</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对非本人职权范围内的公司机密，应做到不打听、不猜测、不传播；</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发现有可能泄密的现象应立即向有关责任人或上级报告。 </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20" w:name="_Toc89057008"/>
      <w:bookmarkEnd w:id="20"/>
      <w:r>
        <w:rPr>
          <w:rFonts w:hint="eastAsia" w:ascii="SimHei" w:hAnsi="SimHei" w:eastAsia="黑体" w:cs="宋体"/>
          <w:b/>
          <w:bCs/>
          <w:color w:val="auto"/>
          <w:kern w:val="0"/>
          <w:sz w:val="28"/>
          <w:szCs w:val="28"/>
        </w:rPr>
        <w:t>遵循商业道德</w:t>
      </w:r>
    </w:p>
    <w:p>
      <w:pPr>
        <w:widowControl/>
        <w:snapToGrid w:val="0"/>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公司的持续健康的发展，取决于每位员工的态度和行为符合公司的期望。每位员工应谨记自己代表公司，在任何时间、地点都应注意维护公司的形象和声誉。</w:t>
      </w:r>
    </w:p>
    <w:p>
      <w:pPr>
        <w:widowControl/>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不论是销售公司的产品或提供服务，或是向供应商购买产品或服务，应完全以品质、价格与服务作为决策的依据，不得给予或接受个别客户报酬、赠品或其他特殊待遇。</w:t>
      </w:r>
    </w:p>
    <w:p>
      <w:pPr>
        <w:widowControl/>
        <w:numPr>
          <w:ilvl w:val="0"/>
          <w:numId w:val="2"/>
        </w:numPr>
        <w:spacing w:line="720" w:lineRule="auto"/>
        <w:jc w:val="center"/>
        <w:outlineLvl w:val="0"/>
        <w:rPr>
          <w:rFonts w:hint="eastAsia" w:ascii="宋体" w:hAnsi="宋体" w:eastAsia="宋体" w:cs="宋体"/>
          <w:b/>
          <w:bCs/>
          <w:color w:val="auto"/>
          <w:kern w:val="36"/>
          <w:sz w:val="28"/>
          <w:szCs w:val="28"/>
        </w:rPr>
      </w:pPr>
      <w:r>
        <w:rPr>
          <w:rFonts w:hint="eastAsia" w:ascii="SimHei" w:hAnsi="SimHei" w:eastAsia="黑体" w:cs="宋体"/>
          <w:b/>
          <w:bCs/>
          <w:color w:val="auto"/>
          <w:kern w:val="36"/>
          <w:sz w:val="28"/>
          <w:szCs w:val="28"/>
        </w:rPr>
        <w:t xml:space="preserve">   </w:t>
      </w:r>
      <w:bookmarkStart w:id="21" w:name="_Toc89057009"/>
      <w:r>
        <w:rPr>
          <w:rFonts w:hint="eastAsia" w:ascii="SimHei" w:hAnsi="SimHei" w:eastAsia="黑体" w:cs="宋体"/>
          <w:b/>
          <w:bCs/>
          <w:color w:val="auto"/>
          <w:kern w:val="36"/>
          <w:sz w:val="28"/>
          <w:szCs w:val="28"/>
        </w:rPr>
        <w:t>礼仪</w:t>
      </w:r>
      <w:bookmarkEnd w:id="21"/>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22" w:name="_Toc18912686"/>
      <w:bookmarkEnd w:id="22"/>
      <w:bookmarkStart w:id="23" w:name="_Toc89057010"/>
      <w:r>
        <w:rPr>
          <w:rFonts w:hint="eastAsia" w:ascii="SimHei" w:hAnsi="SimHei" w:eastAsia="黑体" w:cs="宋体"/>
          <w:b/>
          <w:bCs/>
          <w:color w:val="auto"/>
          <w:kern w:val="0"/>
          <w:sz w:val="28"/>
          <w:szCs w:val="28"/>
        </w:rPr>
        <w:t>仪表</w:t>
      </w:r>
      <w:bookmarkEnd w:id="23"/>
    </w:p>
    <w:p>
      <w:pPr>
        <w:widowControl/>
        <w:snapToGrid w:val="0"/>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上班期间，您应保持精神振作、彬彬有礼、高效敏捷。</w:t>
      </w:r>
    </w:p>
    <w:p>
      <w:pPr>
        <w:widowControl/>
        <w:snapToGrid w:val="0"/>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头发应梳理妥当保持整齐。男职员头发长度应保持在衬衫领口之上。女职员发型文雅、庄重，梳理齐整，长发可用发卡等梳好。不浓妆艳抹。</w:t>
      </w:r>
    </w:p>
    <w:p>
      <w:pPr>
        <w:widowControl/>
        <w:snapToGrid w:val="0"/>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男士如穿西装，应保持平整、清洁，长裤有裤线。西装口袋不放物品。领口袖口保持清洁。领带应紧贴领口，系得美观大方。黑色或深色袜子。</w:t>
      </w:r>
    </w:p>
    <w:p>
      <w:pPr>
        <w:widowControl/>
        <w:snapToGrid w:val="0"/>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男士短指甲保持清洁。女士如涂指甲油须自然色。裙子长度适宜。肤色丝袜，无洞。</w:t>
      </w:r>
    </w:p>
    <w:p>
      <w:pPr>
        <w:widowControl/>
        <w:snapToGrid w:val="0"/>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皮鞋应保持光亮、无灰尘。</w:t>
      </w:r>
    </w:p>
    <w:p>
      <w:pPr>
        <w:widowControl/>
        <w:snapToGrid w:val="0"/>
        <w:rPr>
          <w:rFonts w:hint="eastAsia" w:ascii="宋体" w:hAnsi="宋体" w:eastAsia="宋体" w:cs="宋体"/>
          <w:b/>
          <w:bCs/>
          <w:color w:val="auto"/>
          <w:kern w:val="0"/>
          <w:sz w:val="28"/>
          <w:szCs w:val="28"/>
        </w:rPr>
      </w:pPr>
      <w:r>
        <w:rPr>
          <w:rFonts w:hint="eastAsia" w:ascii="SimHei" w:hAnsi="SimHei" w:eastAsia="黑体" w:cs="宋体"/>
          <w:b/>
          <w:bCs/>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24" w:name="_Toc89057011"/>
      <w:bookmarkEnd w:id="24"/>
      <w:r>
        <w:rPr>
          <w:rFonts w:hint="eastAsia" w:ascii="SimHei" w:hAnsi="SimHei" w:eastAsia="黑体" w:cs="宋体"/>
          <w:b/>
          <w:bCs/>
          <w:color w:val="auto"/>
          <w:kern w:val="0"/>
          <w:sz w:val="28"/>
          <w:szCs w:val="28"/>
        </w:rPr>
        <w:t>仪态</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工作中大家应注意自己的仪态，它不但是自我尊重和尊重他人的表现，也能反映出每一位员工的工作态度和责任感。原则上做到：站要挺拔；坐要端正；行要平稳轻快，不能左摇右晃，拖拉或声响过大。</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0"/>
          <w:numId w:val="11"/>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说话</w:t>
      </w:r>
    </w:p>
    <w:p>
      <w:pPr>
        <w:widowControl/>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讲话要保持适当声响，吐字清晰，措辞得体大方，讲话时神情要和蔼专注，不要东张西望，心不在焉。 </w:t>
      </w:r>
    </w:p>
    <w:p>
      <w:pPr>
        <w:widowControl/>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手势要适当，不要举动张扬。 </w:t>
      </w:r>
    </w:p>
    <w:p>
      <w:pPr>
        <w:widowControl/>
        <w:numPr>
          <w:ilvl w:val="0"/>
          <w:numId w:val="11"/>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行走</w:t>
      </w:r>
    </w:p>
    <w:p>
      <w:pPr>
        <w:widowControl/>
        <w:spacing w:line="240" w:lineRule="atLeas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走路时，要舒展肩背，微收腹，挺胸。不要弯腰、驼背。有急事也不要跑步，可快步行走。</w:t>
      </w:r>
    </w:p>
    <w:p>
      <w:pPr>
        <w:widowControl/>
        <w:numPr>
          <w:ilvl w:val="0"/>
          <w:numId w:val="11"/>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站姿</w:t>
      </w:r>
    </w:p>
    <w:p>
      <w:pPr>
        <w:widowControl/>
        <w:spacing w:line="240" w:lineRule="atLeas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正确的站姿是抬头、目视前方、挺胸直腰、肩平、双臂自然下垂、收腹、双腿并拢直立、脚尖分呈V字型、身体重心放到两脚中间；也可两脚分开，比肩略窄，将双手合起，放在腹前或腹后。</w:t>
      </w:r>
    </w:p>
    <w:p>
      <w:pPr>
        <w:widowControl/>
        <w:numPr>
          <w:ilvl w:val="0"/>
          <w:numId w:val="11"/>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坐姿</w:t>
      </w:r>
    </w:p>
    <w:p>
      <w:pPr>
        <w:widowControl/>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入座时要轻，至少要坐满椅子的2/3，后背轻靠椅背，双膝自然并拢（男职员可略分开）。身体稍向前倾，以表示尊重和谦虚。</w:t>
      </w:r>
    </w:p>
    <w:p>
      <w:pPr>
        <w:widowControl/>
        <w:numPr>
          <w:ilvl w:val="0"/>
          <w:numId w:val="4"/>
        </w:numPr>
        <w:snapToGrid w:val="0"/>
        <w:ind w:hanging="349"/>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男职员：可将双腿分开略向前伸，如长时间端坐，可双腿交叉重叠，但要注意将上面的腿向回收，脚尖向下。</w:t>
      </w:r>
    </w:p>
    <w:p>
      <w:pPr>
        <w:widowControl/>
        <w:numPr>
          <w:ilvl w:val="0"/>
          <w:numId w:val="4"/>
        </w:numPr>
        <w:snapToGrid w:val="0"/>
        <w:ind w:hanging="349"/>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女职员：入座前应先将裙角向前收拢，两腿并拢，双脚同时向左或向右放，两手叠放于左右腿上。如长时间端坐可将两腿交叉重叠，但要注意上面的腿向回收，脚尖向下。</w:t>
      </w:r>
    </w:p>
    <w:p>
      <w:pPr>
        <w:widowControl/>
        <w:numPr>
          <w:ilvl w:val="0"/>
          <w:numId w:val="11"/>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蹲姿</w:t>
      </w:r>
    </w:p>
    <w:p>
      <w:pPr>
        <w:widowControl/>
        <w:spacing w:line="240" w:lineRule="atLeas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如果您在拾取低处的物件时，应保持大方、端庄的蹲姿。一般是双脚一前一后，两腿向下蹲。前脚全着地，小腿基本垂直于地面。后腿跟提起，前脚掌着地。臀部向下。</w:t>
      </w:r>
    </w:p>
    <w:p>
      <w:pPr>
        <w:widowControl/>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25" w:name="_Toc89057012"/>
      <w:bookmarkEnd w:id="25"/>
      <w:r>
        <w:rPr>
          <w:rFonts w:hint="eastAsia" w:ascii="SimHei" w:hAnsi="SimHei" w:eastAsia="黑体" w:cs="宋体"/>
          <w:b/>
          <w:bCs/>
          <w:color w:val="auto"/>
          <w:kern w:val="0"/>
          <w:sz w:val="28"/>
          <w:szCs w:val="28"/>
        </w:rPr>
        <w:t>握手</w:t>
      </w:r>
    </w:p>
    <w:p>
      <w:pPr>
        <w:widowControl/>
        <w:snapToGrid w:val="0"/>
        <w:ind w:firstLine="433"/>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握手时，伸手的先后顺序是上级在先、主人在先、长者在先、女性在先。握手时间一般在2、3秒或4、5秒之间为宜。握手时要有力度以显自信，要注视对方并面带微笑。</w:t>
      </w:r>
    </w:p>
    <w:p>
      <w:pPr>
        <w:widowControl/>
        <w:snapToGrid w:val="0"/>
        <w:ind w:firstLine="433"/>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握手禁忌：</w:t>
      </w:r>
    </w:p>
    <w:p>
      <w:pPr>
        <w:widowControl/>
        <w:numPr>
          <w:ilvl w:val="0"/>
          <w:numId w:val="4"/>
        </w:numPr>
        <w:snapToGrid w:val="0"/>
        <w:ind w:hanging="349"/>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与多人交叉握手；</w:t>
      </w:r>
    </w:p>
    <w:p>
      <w:pPr>
        <w:widowControl/>
        <w:numPr>
          <w:ilvl w:val="0"/>
          <w:numId w:val="4"/>
        </w:numPr>
        <w:snapToGrid w:val="0"/>
        <w:ind w:hanging="349"/>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摆动幅度过大；</w:t>
      </w:r>
    </w:p>
    <w:p>
      <w:pPr>
        <w:widowControl/>
        <w:numPr>
          <w:ilvl w:val="0"/>
          <w:numId w:val="4"/>
        </w:numPr>
        <w:snapToGrid w:val="0"/>
        <w:ind w:hanging="349"/>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握手时用力过大或毫无力度。</w:t>
      </w:r>
    </w:p>
    <w:p>
      <w:pPr>
        <w:widowControl/>
        <w:numPr>
          <w:ilvl w:val="0"/>
          <w:numId w:val="4"/>
        </w:numPr>
        <w:snapToGrid w:val="0"/>
        <w:ind w:hanging="349"/>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与第三者说话（目视他人）；</w:t>
      </w:r>
    </w:p>
    <w:p>
      <w:pPr>
        <w:widowControl/>
        <w:numPr>
          <w:ilvl w:val="0"/>
          <w:numId w:val="4"/>
        </w:numPr>
        <w:snapToGrid w:val="0"/>
        <w:ind w:hanging="349"/>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戴手套或手不清洁。</w:t>
      </w:r>
    </w:p>
    <w:p>
      <w:pPr>
        <w:widowControl/>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26" w:name="_Toc89057013"/>
      <w:bookmarkEnd w:id="26"/>
      <w:r>
        <w:rPr>
          <w:rFonts w:hint="eastAsia" w:ascii="SimHei" w:hAnsi="SimHei" w:eastAsia="黑体" w:cs="宋体"/>
          <w:b/>
          <w:bCs/>
          <w:color w:val="auto"/>
          <w:kern w:val="0"/>
          <w:sz w:val="28"/>
          <w:szCs w:val="28"/>
        </w:rPr>
        <w:t>交换名片</w:t>
      </w:r>
    </w:p>
    <w:p>
      <w:pPr>
        <w:widowControl/>
        <w:numPr>
          <w:ilvl w:val="0"/>
          <w:numId w:val="12"/>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名片的准备</w:t>
      </w:r>
    </w:p>
    <w:p>
      <w:pPr>
        <w:widowControl/>
        <w:numPr>
          <w:ilvl w:val="0"/>
          <w:numId w:val="4"/>
        </w:numPr>
        <w:snapToGrid w:val="0"/>
        <w:ind w:hanging="349"/>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名片不要和钱包、笔记本等放在一起，原则上应该使用名片夹。</w:t>
      </w:r>
    </w:p>
    <w:p>
      <w:pPr>
        <w:widowControl/>
        <w:numPr>
          <w:ilvl w:val="0"/>
          <w:numId w:val="4"/>
        </w:numPr>
        <w:snapToGrid w:val="0"/>
        <w:ind w:hanging="349"/>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名片可放在上衣口袋（但不可放在裤兜里）。</w:t>
      </w:r>
    </w:p>
    <w:p>
      <w:pPr>
        <w:widowControl/>
        <w:numPr>
          <w:ilvl w:val="0"/>
          <w:numId w:val="4"/>
        </w:numPr>
        <w:snapToGrid w:val="0"/>
        <w:ind w:hanging="349"/>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要保持名片或名片夹的清洁、平整。</w:t>
      </w:r>
    </w:p>
    <w:p>
      <w:pPr>
        <w:widowControl/>
        <w:numPr>
          <w:ilvl w:val="0"/>
          <w:numId w:val="12"/>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接受名片</w:t>
      </w:r>
    </w:p>
    <w:p>
      <w:pPr>
        <w:widowControl/>
        <w:numPr>
          <w:ilvl w:val="0"/>
          <w:numId w:val="4"/>
        </w:numPr>
        <w:snapToGrid w:val="0"/>
        <w:ind w:hanging="349"/>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必须起身双手接收名片。</w:t>
      </w:r>
    </w:p>
    <w:p>
      <w:pPr>
        <w:widowControl/>
        <w:numPr>
          <w:ilvl w:val="0"/>
          <w:numId w:val="4"/>
        </w:numPr>
        <w:snapToGrid w:val="0"/>
        <w:ind w:hanging="349"/>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接收名片时，要认真地看一遍。</w:t>
      </w:r>
    </w:p>
    <w:p>
      <w:pPr>
        <w:widowControl/>
        <w:numPr>
          <w:ilvl w:val="0"/>
          <w:numId w:val="4"/>
        </w:numPr>
        <w:snapToGrid w:val="0"/>
        <w:ind w:hanging="349"/>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接收的名片不要在上面作标记或写字，不可来回摆弄。</w:t>
      </w:r>
    </w:p>
    <w:p>
      <w:pPr>
        <w:widowControl/>
        <w:numPr>
          <w:ilvl w:val="0"/>
          <w:numId w:val="4"/>
        </w:numPr>
        <w:snapToGrid w:val="0"/>
        <w:ind w:hanging="349"/>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不要将对方的名片遗忘在座位上，或存放时不注意落在地上。</w:t>
      </w:r>
    </w:p>
    <w:p>
      <w:pPr>
        <w:widowControl/>
        <w:numPr>
          <w:ilvl w:val="0"/>
          <w:numId w:val="12"/>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递名片</w:t>
      </w:r>
    </w:p>
    <w:p>
      <w:pPr>
        <w:widowControl/>
        <w:numPr>
          <w:ilvl w:val="0"/>
          <w:numId w:val="4"/>
        </w:numPr>
        <w:snapToGrid w:val="0"/>
        <w:ind w:hanging="349"/>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递名片的次序是由下级或访问方先递名片，如是介绍时，应由先被介绍方递名片。</w:t>
      </w:r>
    </w:p>
    <w:p>
      <w:pPr>
        <w:widowControl/>
        <w:numPr>
          <w:ilvl w:val="0"/>
          <w:numId w:val="4"/>
        </w:numPr>
        <w:snapToGrid w:val="0"/>
        <w:ind w:hanging="349"/>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递名片时，应说些“请多关照”、“请多指教”之类的寒喧语。</w:t>
      </w:r>
    </w:p>
    <w:p>
      <w:pPr>
        <w:widowControl/>
        <w:numPr>
          <w:ilvl w:val="0"/>
          <w:numId w:val="4"/>
        </w:numPr>
        <w:snapToGrid w:val="0"/>
        <w:ind w:hanging="349"/>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互换名片时，应用右手拿着自己的名片，用左手接对方的名片后，用双手托住。</w:t>
      </w:r>
    </w:p>
    <w:p>
      <w:pPr>
        <w:widowControl/>
        <w:numPr>
          <w:ilvl w:val="0"/>
          <w:numId w:val="4"/>
        </w:numPr>
        <w:snapToGrid w:val="0"/>
        <w:ind w:hanging="349"/>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互换名片时，也要看一遍对方职务、姓名等。</w:t>
      </w:r>
    </w:p>
    <w:p>
      <w:pPr>
        <w:widowControl/>
        <w:numPr>
          <w:ilvl w:val="0"/>
          <w:numId w:val="4"/>
        </w:numPr>
        <w:snapToGrid w:val="0"/>
        <w:ind w:hanging="349"/>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遇到难认字，应事先询问。</w:t>
      </w:r>
    </w:p>
    <w:p>
      <w:pPr>
        <w:widowControl/>
        <w:numPr>
          <w:ilvl w:val="0"/>
          <w:numId w:val="4"/>
        </w:numPr>
        <w:snapToGrid w:val="0"/>
        <w:ind w:hanging="349"/>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在会议室如遇到多数人相互交换名片时，可按对方座次排列名片。</w:t>
      </w:r>
    </w:p>
    <w:p>
      <w:pPr>
        <w:widowControl/>
        <w:numPr>
          <w:ilvl w:val="0"/>
          <w:numId w:val="4"/>
        </w:numPr>
        <w:snapToGrid w:val="0"/>
        <w:ind w:hanging="349"/>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会谈中，应称呼对方的职务、职称，如“×经理”、“×教授”等。无职务、职称时，称“×先生”、“×小姐”等，而尽量不使用“你”字，或直呼其名。</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27" w:name="_Toc89057014"/>
      <w:bookmarkEnd w:id="27"/>
      <w:r>
        <w:rPr>
          <w:rFonts w:hint="eastAsia" w:ascii="SimHei" w:hAnsi="SimHei" w:eastAsia="黑体" w:cs="宋体"/>
          <w:b/>
          <w:bCs/>
          <w:color w:val="auto"/>
          <w:kern w:val="0"/>
          <w:sz w:val="28"/>
          <w:szCs w:val="28"/>
        </w:rPr>
        <w:t>办公室礼节</w:t>
      </w:r>
    </w:p>
    <w:p>
      <w:pPr>
        <w:widowControl/>
        <w:numPr>
          <w:ilvl w:val="0"/>
          <w:numId w:val="13"/>
        </w:numPr>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引路</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应走在客人左前方的2－3步处。</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引路人走在走廊的左侧，让客人走在路中央。</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要与客人的步伐保持一致。</w:t>
      </w:r>
    </w:p>
    <w:p>
      <w:pPr>
        <w:widowControl/>
        <w:numPr>
          <w:ilvl w:val="0"/>
          <w:numId w:val="13"/>
        </w:numPr>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开门次序</w:t>
      </w:r>
    </w:p>
    <w:p>
      <w:pPr>
        <w:widowControl/>
        <w:numPr>
          <w:ilvl w:val="0"/>
          <w:numId w:val="1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向外开门时</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先敲门，打开门后把住门把手，站在门旁，对客人说“请进”并施礼。</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进入房间后，用右手将门轻轻关上。</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请客人入坐，安静退出。此时可用“请稍候”等语言。</w:t>
      </w:r>
    </w:p>
    <w:p>
      <w:pPr>
        <w:widowControl/>
        <w:numPr>
          <w:ilvl w:val="0"/>
          <w:numId w:val="1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向内开门时</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敲门后，自己先进入房间。</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侧身，把住门把手，对客人说“请进”并施礼。</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轻轻关上门后，请客人入坐后，安静退出。</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28" w:name="_Toc89057015"/>
      <w:bookmarkEnd w:id="28"/>
      <w:r>
        <w:rPr>
          <w:rFonts w:hint="eastAsia" w:ascii="SimHei" w:hAnsi="SimHei" w:eastAsia="黑体" w:cs="宋体"/>
          <w:b/>
          <w:bCs/>
          <w:color w:val="auto"/>
          <w:kern w:val="0"/>
          <w:sz w:val="28"/>
          <w:szCs w:val="28"/>
        </w:rPr>
        <w:t>电话礼仪</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您代表*********公司，第一形象十分重要。打电话的人会根据您接电话的语言及态度作出对公司的判断。应答电话要体现饱满的精神与工作状态。</w:t>
      </w:r>
    </w:p>
    <w:p>
      <w:pPr>
        <w:widowControl/>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电话接听的方法：</w:t>
      </w:r>
    </w:p>
    <w:p>
      <w:pPr>
        <w:widowControl/>
        <w:numPr>
          <w:ilvl w:val="0"/>
          <w:numId w:val="4"/>
        </w:numPr>
        <w:snapToGrid w:val="0"/>
        <w:ind w:left="735" w:hanging="315"/>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来电应答。当有新来电时，电话铃响同时对应线路的指示闪烁，提起听筒按下对应的线路按钮，开始应答。</w:t>
      </w:r>
    </w:p>
    <w:p>
      <w:pPr>
        <w:widowControl/>
        <w:numPr>
          <w:ilvl w:val="0"/>
          <w:numId w:val="4"/>
        </w:numPr>
        <w:snapToGrid w:val="0"/>
        <w:ind w:left="735" w:hanging="315"/>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转接。在清楚要转接的对象后，按“保留”键，再拨对应分机号通知接听。或直接拨对应分机号后再按F键，由接听方直接接听电话。</w:t>
      </w:r>
    </w:p>
    <w:p>
      <w:pPr>
        <w:widowControl/>
        <w:numPr>
          <w:ilvl w:val="0"/>
          <w:numId w:val="4"/>
        </w:numPr>
        <w:snapToGrid w:val="0"/>
        <w:ind w:left="735" w:hanging="315"/>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外部来电的响铃方式为连续响铃，内部电话或经转接的响铃为有间歇的长响。</w:t>
      </w:r>
    </w:p>
    <w:p>
      <w:pPr>
        <w:widowControl/>
        <w:numPr>
          <w:ilvl w:val="0"/>
          <w:numId w:val="4"/>
        </w:numPr>
        <w:snapToGrid w:val="0"/>
        <w:ind w:left="735" w:hanging="315"/>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公司电话共6线。前3线为长话接入专用，市内电话请尽量使用后3线，以免占用长途线路。</w:t>
      </w:r>
    </w:p>
    <w:p>
      <w:pPr>
        <w:widowControl/>
        <w:numPr>
          <w:ilvl w:val="0"/>
          <w:numId w:val="15"/>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一般应遵循以下原则：</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电话铃响在3声之内接起，5声以上应表示歉意。</w:t>
      </w:r>
    </w:p>
    <w:p>
      <w:pPr>
        <w:widowControl/>
        <w:numPr>
          <w:ilvl w:val="0"/>
          <w:numId w:val="4"/>
        </w:numPr>
        <w:snapToGrid w:val="0"/>
        <w:ind w:left="735" w:hanging="315"/>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接听电话时清楚地报出公司或公司和您的名字：“您好，*********”或“您好，我是*********××”。忌用“喂!……”之类的字眼。</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必要时，备好纸笔记录下时间、地点、对象和事由等重要事项，特别是有关产品数量、价格、款项等。</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对方留言时，要正确记下对方的姓名和电话号码、来电日期和时间。</w:t>
      </w:r>
    </w:p>
    <w:p>
      <w:pPr>
        <w:widowControl/>
        <w:numPr>
          <w:ilvl w:val="0"/>
          <w:numId w:val="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等对方放下电话后再轻轻放回电话机上。</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0"/>
          <w:numId w:val="2"/>
        </w:numPr>
        <w:spacing w:line="720" w:lineRule="auto"/>
        <w:jc w:val="center"/>
        <w:outlineLvl w:val="0"/>
        <w:rPr>
          <w:rFonts w:hint="eastAsia" w:ascii="宋体" w:hAnsi="宋体" w:eastAsia="宋体" w:cs="宋体"/>
          <w:b/>
          <w:bCs/>
          <w:color w:val="auto"/>
          <w:kern w:val="36"/>
          <w:sz w:val="28"/>
          <w:szCs w:val="28"/>
        </w:rPr>
      </w:pPr>
      <w:r>
        <w:rPr>
          <w:rFonts w:hint="eastAsia" w:ascii="SimHei" w:hAnsi="SimHei" w:eastAsia="黑体" w:cs="宋体"/>
          <w:b/>
          <w:bCs/>
          <w:color w:val="auto"/>
          <w:kern w:val="36"/>
          <w:sz w:val="28"/>
          <w:szCs w:val="28"/>
        </w:rPr>
        <w:t xml:space="preserve">  </w:t>
      </w:r>
      <w:bookmarkStart w:id="29" w:name="_Toc89057016"/>
      <w:r>
        <w:rPr>
          <w:rFonts w:hint="eastAsia" w:ascii="SimHei" w:hAnsi="SimHei" w:eastAsia="黑体" w:cs="宋体"/>
          <w:b/>
          <w:bCs/>
          <w:color w:val="auto"/>
          <w:kern w:val="36"/>
          <w:sz w:val="28"/>
          <w:szCs w:val="28"/>
        </w:rPr>
        <w:t>薪资</w:t>
      </w:r>
      <w:bookmarkEnd w:id="29"/>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snapToGrid w:val="0"/>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为了吸引和留住最优秀的人才，我们提供在同行业中具有竞争力的薪酬福利待遇。同时在公司内部有科学公正的机制，让表现优秀的员工得到相应的回报。</w:t>
      </w:r>
    </w:p>
    <w:p>
      <w:pPr>
        <w:widowControl/>
        <w:snapToGrid w:val="0"/>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30" w:name="_Toc89057017"/>
      <w:bookmarkEnd w:id="30"/>
      <w:r>
        <w:rPr>
          <w:rFonts w:hint="eastAsia" w:ascii="SimHei" w:hAnsi="SimHei" w:eastAsia="黑体" w:cs="宋体"/>
          <w:b/>
          <w:bCs/>
          <w:color w:val="auto"/>
          <w:kern w:val="0"/>
          <w:sz w:val="28"/>
          <w:szCs w:val="28"/>
        </w:rPr>
        <w:t>系列</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在公司，您的薪金收入由月工资、月奖金、满勤奖、其它补贴、年奖组成。</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当您进入公司时，行政部会根据您被聘的职位，您的经验评定您的薪级。薪级表明您在公司所承担的责任和义务，它确定您的月工资，并是您的月奖和年奖的基础。</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您转正的第一个月开始可以参与月奖的分配；您如果在第四季度以前进入公司，则可以参与当年终奖的分配。</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如果您在转正后仍处于学习阶段，您的奖金是市场部奖金的平均数；如果您直接参与开拓客户，则按您的实际业绩提取奖金。</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入职前如您与公司有特别协定，以协定的薪资为准。如有变动，公司会及时与您沟通。</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一般情况下，试用期与转正后的薪资不同。公司会在您入职后第一个月工资发放前告知予您，或按之前与您协定的为准。</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31" w:name="_Toc89057018"/>
      <w:bookmarkEnd w:id="31"/>
      <w:r>
        <w:rPr>
          <w:rFonts w:hint="eastAsia" w:ascii="SimHei" w:hAnsi="SimHei" w:eastAsia="黑体" w:cs="宋体"/>
          <w:b/>
          <w:bCs/>
          <w:color w:val="auto"/>
          <w:kern w:val="0"/>
          <w:sz w:val="28"/>
          <w:szCs w:val="28"/>
        </w:rPr>
        <w:t>支付</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每月工资的发放日为次月八日，月奖金的发放日为次月三十日，逢节假日则顺延。</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年终奖会在旧历年春节假期之前发放。</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上一个月的考勤情况作为工资计发的考核依据。每月工作日按当月的实际应出勤天数计算。新上岗员工工作不满整月的，按实际工作日计发工资。餐费补贴按您本人实际出勤天数计发。</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公司依照相关规定在发工资前代缴员工个人所得税、社会保险（个人缴纳部分）等。</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32" w:name="_Toc18912691"/>
      <w:bookmarkEnd w:id="32"/>
      <w:bookmarkStart w:id="33" w:name="_Toc89057019"/>
      <w:r>
        <w:rPr>
          <w:rFonts w:hint="eastAsia" w:ascii="SimHei" w:hAnsi="SimHei" w:eastAsia="黑体" w:cs="宋体"/>
          <w:b/>
          <w:bCs/>
          <w:color w:val="auto"/>
          <w:kern w:val="0"/>
          <w:sz w:val="28"/>
          <w:szCs w:val="28"/>
        </w:rPr>
        <w:t>调整</w:t>
      </w:r>
      <w:bookmarkEnd w:id="33"/>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公司坚持员工以自己的工作表现和绩效来获得增加收入的做法。季度与年度对员工的考核以改进我们的工作为目标，也是客观地调整员工薪资的基础。</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月奖金和年终奖将根据期间您的考核成绩和公司的业绩来确定。</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当您的年度考核成绩表现为优异或是极差时，您的职位会发生变动，您的薪级也将相应进行调整。</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原则上，公司每年会进行工资的年度普调。司龄也是薪资普调的参照因素。 </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0"/>
          <w:numId w:val="2"/>
        </w:numPr>
        <w:spacing w:line="720" w:lineRule="auto"/>
        <w:jc w:val="center"/>
        <w:outlineLvl w:val="0"/>
        <w:rPr>
          <w:rFonts w:hint="eastAsia" w:ascii="宋体" w:hAnsi="宋体" w:eastAsia="宋体" w:cs="宋体"/>
          <w:b/>
          <w:bCs/>
          <w:color w:val="auto"/>
          <w:kern w:val="36"/>
          <w:sz w:val="28"/>
          <w:szCs w:val="28"/>
        </w:rPr>
      </w:pPr>
      <w:r>
        <w:rPr>
          <w:rFonts w:hint="eastAsia" w:ascii="SimHei" w:hAnsi="SimHei" w:eastAsia="黑体" w:cs="宋体"/>
          <w:b/>
          <w:bCs/>
          <w:color w:val="auto"/>
          <w:kern w:val="36"/>
          <w:sz w:val="28"/>
          <w:szCs w:val="28"/>
        </w:rPr>
        <w:t xml:space="preserve">  </w:t>
      </w:r>
      <w:bookmarkStart w:id="34" w:name="_Toc89057020"/>
      <w:r>
        <w:rPr>
          <w:rFonts w:hint="eastAsia" w:ascii="SimHei" w:hAnsi="SimHei" w:eastAsia="黑体" w:cs="宋体"/>
          <w:b/>
          <w:bCs/>
          <w:color w:val="auto"/>
          <w:kern w:val="36"/>
          <w:sz w:val="28"/>
          <w:szCs w:val="28"/>
        </w:rPr>
        <w:t>福利</w:t>
      </w:r>
      <w:bookmarkEnd w:id="34"/>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凡试用期满并已转正的员工，可以享受公司提供的以下福利：</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35" w:name="_Toc89057021"/>
      <w:bookmarkEnd w:id="35"/>
      <w:r>
        <w:rPr>
          <w:rFonts w:hint="eastAsia" w:ascii="SimHei" w:hAnsi="SimHei" w:eastAsia="黑体" w:cs="宋体"/>
          <w:b/>
          <w:bCs/>
          <w:color w:val="auto"/>
          <w:kern w:val="0"/>
          <w:sz w:val="28"/>
          <w:szCs w:val="28"/>
        </w:rPr>
        <w:t>过节费及礼金</w:t>
      </w:r>
    </w:p>
    <w:p>
      <w:pPr>
        <w:widowControl/>
        <w:numPr>
          <w:ilvl w:val="0"/>
          <w:numId w:val="1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通讯</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公司按您所被聘的职位给您提供相应的通讯费用津贴。</w:t>
      </w:r>
    </w:p>
    <w:p>
      <w:pPr>
        <w:widowControl/>
        <w:numPr>
          <w:ilvl w:val="0"/>
          <w:numId w:val="1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佳节</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每年春节、妇女节、劳动节、中秋节、国庆、元旦等节日，每位员工都会得到此项津贴。</w:t>
      </w:r>
    </w:p>
    <w:p>
      <w:pPr>
        <w:widowControl/>
        <w:numPr>
          <w:ilvl w:val="0"/>
          <w:numId w:val="1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午餐</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所有在职员工可获当月实际出勤天数的午餐津贴。</w:t>
      </w:r>
    </w:p>
    <w:p>
      <w:pPr>
        <w:widowControl/>
        <w:numPr>
          <w:ilvl w:val="0"/>
          <w:numId w:val="1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降暑降温费</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五月份到九月份期间，公司每月会给员工发放固定的防暑降温费或实物津贴。</w:t>
      </w:r>
    </w:p>
    <w:p>
      <w:pPr>
        <w:widowControl/>
        <w:numPr>
          <w:ilvl w:val="0"/>
          <w:numId w:val="1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新婚贺礼</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公司正式员工新婚可享受价值人民币500元的新婚贺礼。</w:t>
      </w:r>
    </w:p>
    <w:p>
      <w:pPr>
        <w:widowControl/>
        <w:numPr>
          <w:ilvl w:val="0"/>
          <w:numId w:val="1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亲子贺礼</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公司正式员工第一胎新生儿出世可享受价值人民币300元的贺礼。双胞胎加倍。</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员工有子女在十四岁以下者，“六一”儿童节可获得50元的儿童礼品。</w:t>
      </w:r>
    </w:p>
    <w:p>
      <w:pPr>
        <w:widowControl/>
        <w:numPr>
          <w:ilvl w:val="0"/>
          <w:numId w:val="1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生日贺礼</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公司正式员工生日可享受价值人民币100元的生日贺礼。</w:t>
      </w:r>
    </w:p>
    <w:p>
      <w:pPr>
        <w:widowControl/>
        <w:numPr>
          <w:ilvl w:val="0"/>
          <w:numId w:val="1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住院医疗</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公司正式员工可享受价值人民币100元的慰问品。</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36" w:name="_Toc18912693"/>
      <w:bookmarkEnd w:id="36"/>
      <w:bookmarkStart w:id="37" w:name="_Toc89057022"/>
      <w:r>
        <w:rPr>
          <w:rFonts w:hint="eastAsia" w:ascii="SimHei" w:hAnsi="SimHei" w:eastAsia="黑体" w:cs="宋体"/>
          <w:b/>
          <w:bCs/>
          <w:color w:val="auto"/>
          <w:kern w:val="0"/>
          <w:sz w:val="28"/>
          <w:szCs w:val="28"/>
        </w:rPr>
        <w:t>保险</w:t>
      </w:r>
      <w:bookmarkEnd w:id="37"/>
    </w:p>
    <w:p>
      <w:pPr>
        <w:widowControl/>
        <w:numPr>
          <w:ilvl w:val="0"/>
          <w:numId w:val="18"/>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国家福利计划</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公司按有关法规，参加国家法定的社会统筹/保险计划。险种为：养老保险金、住院医疗保险。</w:t>
      </w:r>
    </w:p>
    <w:p>
      <w:pPr>
        <w:widowControl/>
        <w:numPr>
          <w:ilvl w:val="0"/>
          <w:numId w:val="18"/>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人身意外保险</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公司为经常外出公差的员工办理人身意外保险。员工若不幸发生意外，必须亲自或通过亲戚、朋友或同事立即通知其主管及行政部，以便及时报备。</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38" w:name="_Toc89057023"/>
      <w:bookmarkEnd w:id="38"/>
      <w:r>
        <w:rPr>
          <w:rFonts w:hint="eastAsia" w:ascii="SimHei" w:hAnsi="SimHei" w:eastAsia="黑体" w:cs="宋体"/>
          <w:b/>
          <w:bCs/>
          <w:color w:val="auto"/>
          <w:kern w:val="0"/>
          <w:sz w:val="28"/>
          <w:szCs w:val="28"/>
        </w:rPr>
        <w:t>假期</w:t>
      </w:r>
    </w:p>
    <w:p>
      <w:pPr>
        <w:widowControl/>
        <w:numPr>
          <w:ilvl w:val="0"/>
          <w:numId w:val="19"/>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休假类别</w:t>
      </w:r>
    </w:p>
    <w:p>
      <w:pPr>
        <w:widowControl/>
        <w:numPr>
          <w:ilvl w:val="0"/>
          <w:numId w:val="2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法定用公司假日</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您每年享有共计12个工作日的法定假和公司假</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元旦（一天）</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春节（三天），但为了方便外地员工返乡过年，公司会根据具体的情况安排春节假期。</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劳动节（三天）</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国庆节（三天）</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妇女节（女员工半天），由公司统一安排活动。</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青年节（半天），由公司统一安排活动。</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公司成立日（一天），由公司统一安排活动。</w:t>
      </w:r>
    </w:p>
    <w:p>
      <w:pPr>
        <w:widowControl/>
        <w:numPr>
          <w:ilvl w:val="0"/>
          <w:numId w:val="2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年休假</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公司鼓励您在安排好工作的前提下休假以调节和振奋自己，为此，公司给予员工每年最少五天的全薪年休假。</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服务满一年可享受5个工作日的年休假，此后每增加一年的司龄，年休假也相应增加一个工作日，最高为10个工作日。休假年度以旧历年为准。</w:t>
      </w:r>
    </w:p>
    <w:p>
      <w:pPr>
        <w:widowControl/>
        <w:numPr>
          <w:ilvl w:val="0"/>
          <w:numId w:val="2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探亲假</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如果公司正式员工，且符合使用条件，请参考以下标准取假：</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tbl>
      <w:tblPr>
        <w:tblStyle w:val="2"/>
        <w:tblW w:w="7668" w:type="dxa"/>
        <w:jc w:val="center"/>
        <w:tblLayout w:type="fixed"/>
        <w:tblCellMar>
          <w:top w:w="0" w:type="dxa"/>
          <w:left w:w="108" w:type="dxa"/>
          <w:bottom w:w="0" w:type="dxa"/>
          <w:right w:w="108" w:type="dxa"/>
        </w:tblCellMar>
      </w:tblPr>
      <w:tblGrid>
        <w:gridCol w:w="2321"/>
        <w:gridCol w:w="1462"/>
        <w:gridCol w:w="2322"/>
        <w:gridCol w:w="1563"/>
      </w:tblGrid>
      <w:tr>
        <w:tblPrEx>
          <w:tblCellMar>
            <w:top w:w="0" w:type="dxa"/>
            <w:left w:w="108" w:type="dxa"/>
            <w:bottom w:w="0" w:type="dxa"/>
            <w:right w:w="108" w:type="dxa"/>
          </w:tblCellMar>
        </w:tblPrEx>
        <w:trPr>
          <w:jc w:val="center"/>
        </w:trPr>
        <w:tc>
          <w:tcPr>
            <w:tcW w:w="2321" w:type="dxa"/>
            <w:tcBorders>
              <w:top w:val="single" w:color="000000" w:sz="4" w:space="0"/>
              <w:left w:val="single" w:color="000000" w:sz="4" w:space="0"/>
              <w:bottom w:val="single" w:color="000000" w:sz="4" w:space="0"/>
              <w:right w:val="single" w:color="000000" w:sz="4" w:space="0"/>
            </w:tcBorders>
          </w:tcPr>
          <w:p>
            <w:pPr>
              <w:widowControl/>
              <w:snapToGrid w:val="0"/>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探亲假类型</w:t>
            </w:r>
          </w:p>
        </w:tc>
        <w:tc>
          <w:tcPr>
            <w:tcW w:w="1462" w:type="dxa"/>
            <w:tcBorders>
              <w:top w:val="single" w:color="000000" w:sz="4" w:space="0"/>
              <w:left w:val="nil"/>
              <w:bottom w:val="single" w:color="000000" w:sz="4" w:space="0"/>
              <w:right w:val="single" w:color="000000" w:sz="4" w:space="0"/>
            </w:tcBorders>
          </w:tcPr>
          <w:p>
            <w:pPr>
              <w:widowControl/>
              <w:snapToGrid w:val="0"/>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工龄要求</w:t>
            </w:r>
          </w:p>
        </w:tc>
        <w:tc>
          <w:tcPr>
            <w:tcW w:w="2322" w:type="dxa"/>
            <w:tcBorders>
              <w:top w:val="single" w:color="000000" w:sz="4" w:space="0"/>
              <w:left w:val="nil"/>
              <w:bottom w:val="single" w:color="000000" w:sz="4" w:space="0"/>
              <w:right w:val="single" w:color="000000" w:sz="4" w:space="0"/>
            </w:tcBorders>
          </w:tcPr>
          <w:p>
            <w:pPr>
              <w:widowControl/>
              <w:snapToGrid w:val="0"/>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休假时间/次</w:t>
            </w:r>
          </w:p>
        </w:tc>
        <w:tc>
          <w:tcPr>
            <w:tcW w:w="1563" w:type="dxa"/>
            <w:tcBorders>
              <w:top w:val="single" w:color="000000" w:sz="4" w:space="0"/>
              <w:left w:val="nil"/>
              <w:bottom w:val="single" w:color="000000" w:sz="4" w:space="0"/>
              <w:right w:val="single" w:color="000000" w:sz="4" w:space="0"/>
            </w:tcBorders>
          </w:tcPr>
          <w:p>
            <w:pPr>
              <w:widowControl/>
              <w:snapToGrid w:val="0"/>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休假周期</w:t>
            </w:r>
          </w:p>
        </w:tc>
      </w:tr>
      <w:tr>
        <w:tblPrEx>
          <w:tblCellMar>
            <w:top w:w="0" w:type="dxa"/>
            <w:left w:w="108" w:type="dxa"/>
            <w:bottom w:w="0" w:type="dxa"/>
            <w:right w:w="108" w:type="dxa"/>
          </w:tblCellMar>
        </w:tblPrEx>
        <w:trPr>
          <w:jc w:val="center"/>
        </w:trPr>
        <w:tc>
          <w:tcPr>
            <w:tcW w:w="2321" w:type="dxa"/>
            <w:tcBorders>
              <w:top w:val="single" w:color="000000" w:sz="4" w:space="0"/>
              <w:left w:val="single" w:color="000000" w:sz="4" w:space="0"/>
              <w:bottom w:val="single" w:color="000000" w:sz="4" w:space="0"/>
              <w:right w:val="single" w:color="000000" w:sz="4" w:space="0"/>
            </w:tcBorders>
          </w:tcPr>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未婚探父母假</w:t>
            </w:r>
          </w:p>
        </w:tc>
        <w:tc>
          <w:tcPr>
            <w:tcW w:w="1462" w:type="dxa"/>
            <w:tcBorders>
              <w:top w:val="single" w:color="000000" w:sz="4" w:space="0"/>
              <w:left w:val="nil"/>
              <w:bottom w:val="single" w:color="000000" w:sz="4" w:space="0"/>
              <w:right w:val="single" w:color="000000" w:sz="4" w:space="0"/>
            </w:tcBorders>
          </w:tcPr>
          <w:p>
            <w:pPr>
              <w:widowControl/>
              <w:snapToGrid w:val="0"/>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1年</w:t>
            </w:r>
          </w:p>
        </w:tc>
        <w:tc>
          <w:tcPr>
            <w:tcW w:w="2322" w:type="dxa"/>
            <w:tcBorders>
              <w:top w:val="single" w:color="000000" w:sz="4" w:space="0"/>
              <w:left w:val="nil"/>
              <w:bottom w:val="single" w:color="000000" w:sz="4" w:space="0"/>
              <w:right w:val="single" w:color="000000" w:sz="4" w:space="0"/>
            </w:tcBorders>
          </w:tcPr>
          <w:p>
            <w:pPr>
              <w:widowControl/>
              <w:snapToGrid w:val="0"/>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5天/次</w:t>
            </w:r>
          </w:p>
        </w:tc>
        <w:tc>
          <w:tcPr>
            <w:tcW w:w="1563" w:type="dxa"/>
            <w:tcBorders>
              <w:top w:val="single" w:color="000000" w:sz="4" w:space="0"/>
              <w:left w:val="nil"/>
              <w:bottom w:val="single" w:color="000000" w:sz="4" w:space="0"/>
              <w:right w:val="single" w:color="000000" w:sz="4" w:space="0"/>
            </w:tcBorders>
          </w:tcPr>
          <w:p>
            <w:pPr>
              <w:widowControl/>
              <w:snapToGrid w:val="0"/>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一年</w:t>
            </w:r>
          </w:p>
        </w:tc>
      </w:tr>
      <w:tr>
        <w:tblPrEx>
          <w:tblCellMar>
            <w:top w:w="0" w:type="dxa"/>
            <w:left w:w="108" w:type="dxa"/>
            <w:bottom w:w="0" w:type="dxa"/>
            <w:right w:w="108" w:type="dxa"/>
          </w:tblCellMar>
        </w:tblPrEx>
        <w:trPr>
          <w:jc w:val="center"/>
        </w:trPr>
        <w:tc>
          <w:tcPr>
            <w:tcW w:w="2321" w:type="dxa"/>
            <w:tcBorders>
              <w:top w:val="single" w:color="000000" w:sz="4" w:space="0"/>
              <w:left w:val="single" w:color="000000" w:sz="4" w:space="0"/>
              <w:bottom w:val="single" w:color="000000" w:sz="4" w:space="0"/>
              <w:right w:val="single" w:color="000000" w:sz="4" w:space="0"/>
            </w:tcBorders>
          </w:tcPr>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已婚探父母假</w:t>
            </w:r>
          </w:p>
        </w:tc>
        <w:tc>
          <w:tcPr>
            <w:tcW w:w="1462" w:type="dxa"/>
            <w:tcBorders>
              <w:top w:val="single" w:color="000000" w:sz="4" w:space="0"/>
              <w:left w:val="nil"/>
              <w:bottom w:val="single" w:color="000000" w:sz="4" w:space="0"/>
              <w:right w:val="single" w:color="000000" w:sz="4" w:space="0"/>
            </w:tcBorders>
          </w:tcPr>
          <w:p>
            <w:pPr>
              <w:widowControl/>
              <w:snapToGrid w:val="0"/>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2年</w:t>
            </w:r>
          </w:p>
        </w:tc>
        <w:tc>
          <w:tcPr>
            <w:tcW w:w="2322" w:type="dxa"/>
            <w:tcBorders>
              <w:top w:val="single" w:color="000000" w:sz="4" w:space="0"/>
              <w:left w:val="nil"/>
              <w:bottom w:val="single" w:color="000000" w:sz="4" w:space="0"/>
              <w:right w:val="single" w:color="000000" w:sz="4" w:space="0"/>
            </w:tcBorders>
          </w:tcPr>
          <w:p>
            <w:pPr>
              <w:widowControl/>
              <w:snapToGrid w:val="0"/>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20天/次</w:t>
            </w:r>
          </w:p>
        </w:tc>
        <w:tc>
          <w:tcPr>
            <w:tcW w:w="1563" w:type="dxa"/>
            <w:tcBorders>
              <w:top w:val="single" w:color="000000" w:sz="4" w:space="0"/>
              <w:left w:val="nil"/>
              <w:bottom w:val="single" w:color="000000" w:sz="4" w:space="0"/>
              <w:right w:val="single" w:color="000000" w:sz="4" w:space="0"/>
            </w:tcBorders>
          </w:tcPr>
          <w:p>
            <w:pPr>
              <w:widowControl/>
              <w:snapToGrid w:val="0"/>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四年</w:t>
            </w:r>
          </w:p>
        </w:tc>
      </w:tr>
      <w:tr>
        <w:tblPrEx>
          <w:tblCellMar>
            <w:top w:w="0" w:type="dxa"/>
            <w:left w:w="108" w:type="dxa"/>
            <w:bottom w:w="0" w:type="dxa"/>
            <w:right w:w="108" w:type="dxa"/>
          </w:tblCellMar>
        </w:tblPrEx>
        <w:trPr>
          <w:jc w:val="center"/>
        </w:trPr>
        <w:tc>
          <w:tcPr>
            <w:tcW w:w="2321" w:type="dxa"/>
            <w:tcBorders>
              <w:top w:val="single" w:color="000000" w:sz="4" w:space="0"/>
              <w:left w:val="single" w:color="000000" w:sz="4" w:space="0"/>
              <w:bottom w:val="single" w:color="000000" w:sz="4" w:space="0"/>
              <w:right w:val="single" w:color="000000" w:sz="4" w:space="0"/>
            </w:tcBorders>
          </w:tcPr>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已婚探配偶假</w:t>
            </w:r>
          </w:p>
        </w:tc>
        <w:tc>
          <w:tcPr>
            <w:tcW w:w="1462" w:type="dxa"/>
            <w:tcBorders>
              <w:top w:val="single" w:color="000000" w:sz="4" w:space="0"/>
              <w:left w:val="nil"/>
              <w:bottom w:val="single" w:color="000000" w:sz="4" w:space="0"/>
              <w:right w:val="single" w:color="000000" w:sz="4" w:space="0"/>
            </w:tcBorders>
          </w:tcPr>
          <w:p>
            <w:pPr>
              <w:widowControl/>
              <w:snapToGrid w:val="0"/>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1年</w:t>
            </w:r>
          </w:p>
        </w:tc>
        <w:tc>
          <w:tcPr>
            <w:tcW w:w="2322" w:type="dxa"/>
            <w:tcBorders>
              <w:top w:val="single" w:color="000000" w:sz="4" w:space="0"/>
              <w:left w:val="nil"/>
              <w:bottom w:val="single" w:color="000000" w:sz="4" w:space="0"/>
              <w:right w:val="single" w:color="000000" w:sz="4" w:space="0"/>
            </w:tcBorders>
          </w:tcPr>
          <w:p>
            <w:pPr>
              <w:widowControl/>
              <w:snapToGrid w:val="0"/>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15天/次</w:t>
            </w:r>
          </w:p>
        </w:tc>
        <w:tc>
          <w:tcPr>
            <w:tcW w:w="1563" w:type="dxa"/>
            <w:tcBorders>
              <w:top w:val="single" w:color="000000" w:sz="4" w:space="0"/>
              <w:left w:val="nil"/>
              <w:bottom w:val="single" w:color="000000" w:sz="4" w:space="0"/>
              <w:right w:val="single" w:color="000000" w:sz="4" w:space="0"/>
            </w:tcBorders>
          </w:tcPr>
          <w:p>
            <w:pPr>
              <w:widowControl/>
              <w:snapToGrid w:val="0"/>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一年</w:t>
            </w:r>
          </w:p>
        </w:tc>
      </w:tr>
    </w:tbl>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注意事项：</w:t>
      </w:r>
    </w:p>
    <w:p>
      <w:pPr>
        <w:widowControl/>
        <w:numPr>
          <w:ilvl w:val="1"/>
          <w:numId w:val="2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您与探望对象的工作地址和居住地址应均在异地（郊区县算同一城市）。</w:t>
      </w:r>
    </w:p>
    <w:p>
      <w:pPr>
        <w:widowControl/>
        <w:numPr>
          <w:ilvl w:val="1"/>
          <w:numId w:val="2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探亲假当年使用，未享受的天数自行作废。所享受探亲假不足年休假天数，可继续享受年休假。</w:t>
      </w:r>
    </w:p>
    <w:p>
      <w:pPr>
        <w:widowControl/>
        <w:numPr>
          <w:ilvl w:val="1"/>
          <w:numId w:val="2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各项探亲假不能在一年内同时使用。且均应在春节期间连续一次性使用。</w:t>
      </w:r>
    </w:p>
    <w:p>
      <w:pPr>
        <w:widowControl/>
        <w:numPr>
          <w:ilvl w:val="1"/>
          <w:numId w:val="2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假期以自然日历年结算。如员工未能为公司服务满整日历年，则其假日按比例计算。已享受当年探亲假的员工如未能为公司完成整年服务而离职，则多用的假日按日工资扣回。</w:t>
      </w:r>
    </w:p>
    <w:p>
      <w:pPr>
        <w:widowControl/>
        <w:numPr>
          <w:ilvl w:val="0"/>
          <w:numId w:val="2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婚假</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婚假一般为三天，晚婚者（男满25周岁，女满23周岁）可享受5天假期。</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您应在依法履行结婚注册手续后的半年内申请休假。</w:t>
      </w:r>
    </w:p>
    <w:p>
      <w:pPr>
        <w:widowControl/>
        <w:numPr>
          <w:ilvl w:val="0"/>
          <w:numId w:val="2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产假与陪产假</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凡在公司连续工作满12个月（自转正之日起）的正式女员工，可享受产假，取假标准如下：</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非晚育产假为三个月，晚育产假为三个半月。</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如果女员工非顺产，增加产假15天；若为多胞胎生育，每增加一胎，增加产假15天。产假以产前产后休假累计。</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男员工在配偶生产的第一周内享有全薪陪产假，取假标准：顺产3天，非顺产5天。</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产假为一次性休假。</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以上产假规定中，女24周岁以上初育为晚育。</w:t>
      </w:r>
    </w:p>
    <w:p>
      <w:pPr>
        <w:widowControl/>
        <w:numPr>
          <w:ilvl w:val="0"/>
          <w:numId w:val="2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哺乳假</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如员工子女不满一周岁，在休完产假后，女员工可享有全薪哺乳假。</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每天有60分钟的哺乳假。哺乳假时间包括交通和哺乳所需时间。可合并使用。</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如哺乳假使用有困难，公司每月给予母亲100元的补助。补助随工资发放，直至子女满一周岁为止。   </w:t>
      </w:r>
    </w:p>
    <w:p>
      <w:pPr>
        <w:widowControl/>
        <w:numPr>
          <w:ilvl w:val="0"/>
          <w:numId w:val="2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病假</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正式员工每年有5天全薪病假。新员工自试用期满之日起至当年12月31日止，每两月有一天全薪病假，自第二年起每年有5天带薪病假。</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请病假须于上班前或不迟于上班后30分钟内通知您所在部门的负责人，并于病假后上班的第一天补办正式的请假手续，同时附上医院的相关病历证明至行政部。</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伪造，骗取或涂改病历证明按旷工处理。</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全薪病假只能当年使用，不得隔年使用。未用之病假不以薪金形式补偿。</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病假超过其可使用有薪病假日，工资按本人基本工资的80％计发。不享受与工作绩效挂钩的奖金。</w:t>
      </w:r>
    </w:p>
    <w:p>
      <w:pPr>
        <w:widowControl/>
        <w:numPr>
          <w:ilvl w:val="0"/>
          <w:numId w:val="2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慰唁假</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如直系亲属即父母、岳父母、配偶、子女不幸身故，公司给予三天的假期。</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如旁系亲属即祖父母、外祖父母、姑姨、叔舅、兄弟姐妹不幸身故，公司给予一天的假期。</w:t>
      </w:r>
    </w:p>
    <w:p>
      <w:pPr>
        <w:widowControl/>
        <w:numPr>
          <w:ilvl w:val="0"/>
          <w:numId w:val="2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事假</w:t>
      </w:r>
    </w:p>
    <w:p>
      <w:pPr>
        <w:widowControl/>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员工因私事必须亲自处理可请事假。事假获准后，您应在离开工作岗位前安排好工作。</w:t>
      </w:r>
    </w:p>
    <w:p>
      <w:pPr>
        <w:widowControl/>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事假为无薪假。但仍按实际工作绩效计发奖金。</w:t>
      </w:r>
    </w:p>
    <w:p>
      <w:pPr>
        <w:widowControl/>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在一个月之内，如果您的事假超过(含)3天，您将不能参与当月奖金的分配。一年之内，事假累积15天以上不能参与当年年终奖金的分配。</w:t>
      </w:r>
    </w:p>
    <w:p>
      <w:pPr>
        <w:widowControl/>
        <w:numPr>
          <w:ilvl w:val="0"/>
          <w:numId w:val="20"/>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调休假</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公司员工节假日或休息日加班的可享受调休假。调休假最小单位为半天。</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调休假半年内休完，过期无效。</w:t>
      </w:r>
    </w:p>
    <w:p>
      <w:pPr>
        <w:widowControl/>
        <w:numPr>
          <w:ilvl w:val="0"/>
          <w:numId w:val="19"/>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休假特别说明</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您在同一年中只可享受年休假或探亲假。 </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年休假、婚假、慰唁假、陪产假，为全薪假期。</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探亲假、产假。按基本工资发放，不再计发奖金。</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探亲假、产假均含周末、法定和公司节假日。</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年休假、探亲假、婚假、产假均为一次性休假。</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探亲假不包括路途时间。婚假、丧假视情况另加路程假，最多另享受2天假期。</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探亲假往返交通费用的报销。乘坐汽车按实际票面价报销，火车以硬座价报销。 </w:t>
      </w:r>
    </w:p>
    <w:p>
      <w:pPr>
        <w:widowControl/>
        <w:numPr>
          <w:ilvl w:val="0"/>
          <w:numId w:val="19"/>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请假程序</w:t>
      </w:r>
    </w:p>
    <w:p>
      <w:pPr>
        <w:widowControl/>
        <w:numPr>
          <w:ilvl w:val="0"/>
          <w:numId w:val="16"/>
        </w:numPr>
        <w:snapToGrid w:val="0"/>
        <w:ind w:left="84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员工请假单按规定的批准权限批准后生效：原则上，3天以内的假期由部门负责人批准，3天以上的需经总经理批准，审核后交行政部备案，以便事后销假。</w:t>
      </w:r>
    </w:p>
    <w:p>
      <w:pPr>
        <w:widowControl/>
        <w:numPr>
          <w:ilvl w:val="0"/>
          <w:numId w:val="16"/>
        </w:numPr>
        <w:snapToGrid w:val="0"/>
        <w:ind w:left="84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员工请事假须于事前请假，填写《员工请假表》，经部门主管确认后交人力资源部认可生效；请假手续不得事后补办，未办手续者视为旷工。</w:t>
      </w:r>
    </w:p>
    <w:p>
      <w:pPr>
        <w:widowControl/>
        <w:numPr>
          <w:ilvl w:val="0"/>
          <w:numId w:val="16"/>
        </w:numPr>
        <w:snapToGrid w:val="0"/>
        <w:ind w:left="84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员工请病假必须于上班前或不迟于上班时间15分钟内，致电所在部门负责人及行政部，病假后上班第一天内向公司提供医疗机构出具的有效证明并补齐请假手续。 </w:t>
      </w:r>
    </w:p>
    <w:p>
      <w:pPr>
        <w:widowControl/>
        <w:numPr>
          <w:ilvl w:val="0"/>
          <w:numId w:val="16"/>
        </w:numPr>
        <w:snapToGrid w:val="0"/>
        <w:ind w:left="84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新员工试用考察期间可以请事假和病假，但试用期按请假天数顺延。员工如果在试用期内请假时间超过一个月，将被视为自动离职。</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39" w:name="_Toc89057024"/>
      <w:bookmarkEnd w:id="39"/>
      <w:r>
        <w:rPr>
          <w:rFonts w:hint="eastAsia" w:ascii="SimHei" w:hAnsi="SimHei" w:eastAsia="黑体" w:cs="宋体"/>
          <w:b/>
          <w:bCs/>
          <w:color w:val="auto"/>
          <w:kern w:val="0"/>
          <w:sz w:val="28"/>
          <w:szCs w:val="28"/>
        </w:rPr>
        <w:t>体检</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每年为员工组织一次体检，以确保每位员工身体健康，拥有最佳的精神状态投入工作。体检由行政部统一组织，在公司指定的医院进行。员工的体检结果由行政部备案。体检项目一般包括：常规体检、血常规、透视、心电图、B超、肝功、女员工妇科检查等。</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0"/>
          <w:numId w:val="2"/>
        </w:numPr>
        <w:spacing w:line="720" w:lineRule="auto"/>
        <w:jc w:val="center"/>
        <w:outlineLvl w:val="0"/>
        <w:rPr>
          <w:rFonts w:hint="eastAsia" w:ascii="宋体" w:hAnsi="宋体" w:eastAsia="宋体" w:cs="宋体"/>
          <w:b/>
          <w:bCs/>
          <w:color w:val="auto"/>
          <w:kern w:val="36"/>
          <w:sz w:val="28"/>
          <w:szCs w:val="28"/>
        </w:rPr>
      </w:pPr>
      <w:r>
        <w:rPr>
          <w:rFonts w:hint="eastAsia" w:ascii="SimHei" w:hAnsi="SimHei" w:eastAsia="黑体" w:cs="宋体"/>
          <w:b/>
          <w:bCs/>
          <w:color w:val="auto"/>
          <w:kern w:val="36"/>
          <w:sz w:val="28"/>
          <w:szCs w:val="28"/>
        </w:rPr>
        <w:t xml:space="preserve">  </w:t>
      </w:r>
      <w:bookmarkStart w:id="40" w:name="_Toc89057025"/>
      <w:r>
        <w:rPr>
          <w:rFonts w:hint="eastAsia" w:ascii="SimHei" w:hAnsi="SimHei" w:eastAsia="黑体" w:cs="宋体"/>
          <w:b/>
          <w:bCs/>
          <w:color w:val="auto"/>
          <w:kern w:val="36"/>
          <w:sz w:val="28"/>
          <w:szCs w:val="28"/>
        </w:rPr>
        <w:t>出差</w:t>
      </w:r>
      <w:bookmarkEnd w:id="40"/>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41" w:name="_Toc89057026"/>
      <w:bookmarkEnd w:id="41"/>
      <w:r>
        <w:rPr>
          <w:rFonts w:hint="eastAsia" w:ascii="SimHei" w:hAnsi="SimHei" w:eastAsia="黑体" w:cs="宋体"/>
          <w:b/>
          <w:bCs/>
          <w:color w:val="auto"/>
          <w:kern w:val="0"/>
          <w:sz w:val="28"/>
          <w:szCs w:val="28"/>
        </w:rPr>
        <w:t>差旅类型</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长差：指公司员工到外地执行公务达24小时以上的情况。</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短差：指出差当日往返的情况，如在本市岛外进行市场调查、拜访客户等。</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配送：*总部指送货出岛，事务所指随车送货的情况。</w:t>
      </w:r>
    </w:p>
    <w:p>
      <w:pPr>
        <w:widowControl/>
        <w:snapToGrid w:val="0"/>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42" w:name="_Toc89057027"/>
      <w:bookmarkEnd w:id="42"/>
      <w:r>
        <w:rPr>
          <w:rFonts w:hint="eastAsia" w:ascii="SimHei" w:hAnsi="SimHei" w:eastAsia="黑体" w:cs="宋体"/>
          <w:b/>
          <w:bCs/>
          <w:color w:val="auto"/>
          <w:kern w:val="0"/>
          <w:sz w:val="28"/>
          <w:szCs w:val="28"/>
        </w:rPr>
        <w:t>办理程序</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除配送差外，员工出差应事先填写《出差申请表》，并办理出差借款等手续。</w:t>
      </w:r>
    </w:p>
    <w:p>
      <w:pPr>
        <w:widowControl/>
        <w:numPr>
          <w:ilvl w:val="0"/>
          <w:numId w:val="21"/>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出差的审核决定权限如下：</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员工当日出差时由部门经理核准。</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市外出差：2日内（含）由部门经理核准，2日以上由总经理核准，部门经理以上人员由总经理核准。</w:t>
      </w:r>
    </w:p>
    <w:p>
      <w:pPr>
        <w:widowControl/>
        <w:numPr>
          <w:ilvl w:val="0"/>
          <w:numId w:val="21"/>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申请批准手续</w:t>
      </w:r>
    </w:p>
    <w:p>
      <w:pPr>
        <w:widowControl/>
        <w:snapToGrid w:val="0"/>
        <w:ind w:left="462"/>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员工出差须事前填写《出差申请表》，注明路线、事由、计划及费用预算，经部门经理同意，送行政部审核并呈报总经理批准后方可出差，此表由行政部留存。</w:t>
      </w:r>
    </w:p>
    <w:p>
      <w:pPr>
        <w:widowControl/>
        <w:numPr>
          <w:ilvl w:val="0"/>
          <w:numId w:val="21"/>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出差借款</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员工出差借款应持经批准的《出差申请表》到财务部申请，财务部凭出差申请单核定的出差时间，费用发生大致金额核定差旅费借款数额。</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出差员工返回后三个工作日之内完成报销手续，并结清余款。未按时报销者，财务部可于当月工资中先予扣回，等报销时再行核付。</w:t>
      </w:r>
    </w:p>
    <w:p>
      <w:pPr>
        <w:widowControl/>
        <w:numPr>
          <w:ilvl w:val="0"/>
          <w:numId w:val="21"/>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销账</w:t>
      </w:r>
    </w:p>
    <w:p>
      <w:pPr>
        <w:widowControl/>
        <w:snapToGrid w:val="0"/>
        <w:ind w:left="462"/>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出差完毕须凭借有效日期证明（如机票、车票等）向行政部备案，领回《出差申请表》，填写《差旅费申报表》并附相关凭证及已核准《出差申请表》，经部门主管和总经理核准后，到财务结清预支或支领垫付款。</w:t>
      </w:r>
    </w:p>
    <w:p>
      <w:pPr>
        <w:widowControl/>
        <w:snapToGrid w:val="0"/>
        <w:ind w:left="462"/>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员工外出考察必须出具详细书面报告供总经理审阅；</w:t>
      </w:r>
    </w:p>
    <w:p>
      <w:pPr>
        <w:widowControl/>
        <w:snapToGrid w:val="0"/>
        <w:ind w:left="462"/>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未经核准的出差，其费用不得报支，出勤考核依人事规章处理。</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43" w:name="_Toc89057028"/>
      <w:bookmarkEnd w:id="43"/>
      <w:r>
        <w:rPr>
          <w:rFonts w:hint="eastAsia" w:ascii="SimHei" w:hAnsi="SimHei" w:eastAsia="黑体" w:cs="宋体"/>
          <w:b/>
          <w:bCs/>
          <w:color w:val="auto"/>
          <w:kern w:val="0"/>
          <w:sz w:val="28"/>
          <w:szCs w:val="28"/>
        </w:rPr>
        <w:t>交通</w:t>
      </w:r>
    </w:p>
    <w:p>
      <w:pPr>
        <w:widowControl/>
        <w:snapToGrid w:val="0"/>
        <w:ind w:left="378"/>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出差至邻省不得搭乘飞机。其他情况需搭乘飞机的，应报经总经理审批。</w:t>
      </w:r>
    </w:p>
    <w:p>
      <w:pPr>
        <w:widowControl/>
        <w:snapToGrid w:val="0"/>
        <w:ind w:left="378"/>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乘坐汽车按实际票面价报销，火车以硬座价报销，轮船按三等舱报销。</w:t>
      </w:r>
    </w:p>
    <w:p>
      <w:pPr>
        <w:widowControl/>
        <w:ind w:left="378"/>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机票及火车票由行政部负责代购。</w:t>
      </w:r>
    </w:p>
    <w:p>
      <w:pPr>
        <w:widowControl/>
        <w:ind w:left="378"/>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使用公司车辆，应事先提出申请，经行政部核准用车，不得再报支交通费。</w:t>
      </w:r>
    </w:p>
    <w:p>
      <w:pPr>
        <w:widowControl/>
        <w:ind w:left="378"/>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业务人员由派驻地点出差到外地拓展业务者，其市内交通费用不可报销，但城市之间的交通费可以附票据报销。</w:t>
      </w:r>
    </w:p>
    <w:p>
      <w:pPr>
        <w:widowControl/>
        <w:ind w:left="378"/>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业务人员出差期间另行补贴通讯费RMB15元/日，交通费用RMB30元/日，特殊情况超支需注明原因报总经理批准。交通费对应的差旅路线应在《差旅费申报表》上详细列出。</w:t>
      </w:r>
    </w:p>
    <w:p>
      <w:pPr>
        <w:widowControl/>
        <w:ind w:left="378"/>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44" w:name="_Toc89057029"/>
      <w:bookmarkEnd w:id="44"/>
      <w:r>
        <w:rPr>
          <w:rFonts w:hint="eastAsia" w:ascii="SimHei" w:hAnsi="SimHei" w:eastAsia="黑体" w:cs="宋体"/>
          <w:b/>
          <w:bCs/>
          <w:color w:val="auto"/>
          <w:kern w:val="0"/>
          <w:sz w:val="28"/>
          <w:szCs w:val="28"/>
        </w:rPr>
        <w:t>住宿</w:t>
      </w:r>
    </w:p>
    <w:p>
      <w:pPr>
        <w:widowControl/>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住宿按下列标准附正式发票报支：(单位: 元/日 )</w:t>
      </w:r>
    </w:p>
    <w:tbl>
      <w:tblPr>
        <w:tblStyle w:val="2"/>
        <w:tblW w:w="8948" w:type="dxa"/>
        <w:tblInd w:w="472" w:type="dxa"/>
        <w:tblLayout w:type="fixed"/>
        <w:tblCellMar>
          <w:top w:w="0" w:type="dxa"/>
          <w:left w:w="28" w:type="dxa"/>
          <w:bottom w:w="0" w:type="dxa"/>
          <w:right w:w="28" w:type="dxa"/>
        </w:tblCellMar>
      </w:tblPr>
      <w:tblGrid>
        <w:gridCol w:w="2156"/>
        <w:gridCol w:w="2264"/>
        <w:gridCol w:w="2264"/>
        <w:gridCol w:w="2264"/>
      </w:tblGrid>
      <w:tr>
        <w:tc>
          <w:tcPr>
            <w:tcW w:w="2156" w:type="dxa"/>
            <w:tcBorders>
              <w:top w:val="single" w:color="000000" w:sz="4" w:space="0"/>
              <w:left w:val="single" w:color="000000" w:sz="4" w:space="0"/>
              <w:bottom w:val="single" w:color="000000" w:sz="4" w:space="0"/>
              <w:right w:val="single" w:color="000000" w:sz="4" w:space="0"/>
            </w:tcBorders>
          </w:tcPr>
          <w:p>
            <w:pPr>
              <w:widowControl/>
              <w:jc w:val="righ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城市</w:t>
            </w:r>
          </w:p>
          <w:p>
            <w:pPr>
              <w:widowControl/>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职等</w:t>
            </w:r>
          </w:p>
        </w:tc>
        <w:tc>
          <w:tcPr>
            <w:tcW w:w="2264"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一级城市</w:t>
            </w:r>
          </w:p>
        </w:tc>
        <w:tc>
          <w:tcPr>
            <w:tcW w:w="2264"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二级城市</w:t>
            </w:r>
          </w:p>
        </w:tc>
        <w:tc>
          <w:tcPr>
            <w:tcW w:w="2264"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三级城市</w:t>
            </w:r>
          </w:p>
        </w:tc>
      </w:tr>
      <w:tr>
        <w:tc>
          <w:tcPr>
            <w:tcW w:w="2156" w:type="dxa"/>
            <w:tcBorders>
              <w:top w:val="single" w:color="000000" w:sz="4" w:space="0"/>
              <w:left w:val="single" w:color="000000" w:sz="4" w:space="0"/>
              <w:bottom w:val="single" w:color="000000" w:sz="4" w:space="0"/>
              <w:right w:val="single" w:color="000000" w:sz="4" w:space="0"/>
            </w:tcBorders>
            <w:vAlign w:val="center"/>
          </w:tcPr>
          <w:p>
            <w:pPr>
              <w:widowControl/>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副总以上</w:t>
            </w:r>
          </w:p>
        </w:tc>
        <w:tc>
          <w:tcPr>
            <w:tcW w:w="2264" w:type="dxa"/>
            <w:tcBorders>
              <w:top w:val="single" w:color="000000" w:sz="4" w:space="0"/>
              <w:left w:val="nil"/>
              <w:bottom w:val="single" w:color="000000" w:sz="4" w:space="0"/>
              <w:right w:val="single" w:color="000000" w:sz="4" w:space="0"/>
            </w:tcBorders>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实报实销</w:t>
            </w:r>
          </w:p>
        </w:tc>
        <w:tc>
          <w:tcPr>
            <w:tcW w:w="2264" w:type="dxa"/>
            <w:tcBorders>
              <w:top w:val="single" w:color="000000" w:sz="4" w:space="0"/>
              <w:left w:val="nil"/>
              <w:bottom w:val="single" w:color="000000" w:sz="4" w:space="0"/>
              <w:right w:val="single" w:color="000000" w:sz="4" w:space="0"/>
            </w:tcBorders>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实报实销</w:t>
            </w:r>
          </w:p>
        </w:tc>
        <w:tc>
          <w:tcPr>
            <w:tcW w:w="2264" w:type="dxa"/>
            <w:tcBorders>
              <w:top w:val="single" w:color="000000" w:sz="4" w:space="0"/>
              <w:left w:val="nil"/>
              <w:bottom w:val="single" w:color="000000" w:sz="4" w:space="0"/>
              <w:right w:val="single" w:color="000000" w:sz="4" w:space="0"/>
            </w:tcBorders>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实报实销</w:t>
            </w:r>
          </w:p>
        </w:tc>
      </w:tr>
      <w:tr>
        <w:tc>
          <w:tcPr>
            <w:tcW w:w="2156" w:type="dxa"/>
            <w:tcBorders>
              <w:top w:val="single" w:color="000000" w:sz="4" w:space="0"/>
              <w:left w:val="single" w:color="000000" w:sz="4" w:space="0"/>
              <w:bottom w:val="single" w:color="000000" w:sz="4" w:space="0"/>
              <w:right w:val="single" w:color="000000" w:sz="4" w:space="0"/>
            </w:tcBorders>
            <w:vAlign w:val="center"/>
          </w:tcPr>
          <w:p>
            <w:pPr>
              <w:widowControl/>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部门经理</w:t>
            </w:r>
          </w:p>
        </w:tc>
        <w:tc>
          <w:tcPr>
            <w:tcW w:w="2264" w:type="dxa"/>
            <w:tcBorders>
              <w:top w:val="single" w:color="000000" w:sz="4" w:space="0"/>
              <w:left w:val="nil"/>
              <w:bottom w:val="single" w:color="000000" w:sz="4" w:space="0"/>
              <w:right w:val="single" w:color="000000" w:sz="4" w:space="0"/>
            </w:tcBorders>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上限350</w:t>
            </w:r>
          </w:p>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实报实销</w:t>
            </w:r>
          </w:p>
        </w:tc>
        <w:tc>
          <w:tcPr>
            <w:tcW w:w="2264" w:type="dxa"/>
            <w:tcBorders>
              <w:top w:val="single" w:color="000000" w:sz="4" w:space="0"/>
              <w:left w:val="nil"/>
              <w:bottom w:val="single" w:color="000000" w:sz="4" w:space="0"/>
              <w:right w:val="single" w:color="000000" w:sz="4" w:space="0"/>
            </w:tcBorders>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上限300元</w:t>
            </w:r>
          </w:p>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实报实销</w:t>
            </w:r>
          </w:p>
        </w:tc>
        <w:tc>
          <w:tcPr>
            <w:tcW w:w="2264" w:type="dxa"/>
            <w:tcBorders>
              <w:top w:val="single" w:color="000000" w:sz="4" w:space="0"/>
              <w:left w:val="nil"/>
              <w:bottom w:val="single" w:color="000000" w:sz="4" w:space="0"/>
              <w:right w:val="single" w:color="000000" w:sz="4" w:space="0"/>
            </w:tcBorders>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上限250元</w:t>
            </w:r>
          </w:p>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实报实销</w:t>
            </w:r>
          </w:p>
        </w:tc>
      </w:tr>
      <w:tr>
        <w:tc>
          <w:tcPr>
            <w:tcW w:w="2156" w:type="dxa"/>
            <w:tcBorders>
              <w:top w:val="single" w:color="000000" w:sz="4" w:space="0"/>
              <w:left w:val="single" w:color="000000" w:sz="4" w:space="0"/>
              <w:bottom w:val="single" w:color="000000" w:sz="4" w:space="0"/>
              <w:right w:val="single" w:color="000000" w:sz="4" w:space="0"/>
            </w:tcBorders>
            <w:vAlign w:val="center"/>
          </w:tcPr>
          <w:p>
            <w:pPr>
              <w:widowControl/>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事务所负责人</w:t>
            </w:r>
          </w:p>
        </w:tc>
        <w:tc>
          <w:tcPr>
            <w:tcW w:w="2264" w:type="dxa"/>
            <w:tcBorders>
              <w:top w:val="single" w:color="000000" w:sz="4" w:space="0"/>
              <w:left w:val="nil"/>
              <w:bottom w:val="single" w:color="000000" w:sz="4" w:space="0"/>
              <w:right w:val="single" w:color="000000" w:sz="4" w:space="0"/>
            </w:tcBorders>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上限260</w:t>
            </w:r>
          </w:p>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实报实销</w:t>
            </w:r>
          </w:p>
        </w:tc>
        <w:tc>
          <w:tcPr>
            <w:tcW w:w="2264" w:type="dxa"/>
            <w:tcBorders>
              <w:top w:val="single" w:color="000000" w:sz="4" w:space="0"/>
              <w:left w:val="nil"/>
              <w:bottom w:val="single" w:color="000000" w:sz="4" w:space="0"/>
              <w:right w:val="single" w:color="000000" w:sz="4" w:space="0"/>
            </w:tcBorders>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上限230元</w:t>
            </w:r>
          </w:p>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实报实销</w:t>
            </w:r>
          </w:p>
        </w:tc>
        <w:tc>
          <w:tcPr>
            <w:tcW w:w="2264" w:type="dxa"/>
            <w:tcBorders>
              <w:top w:val="single" w:color="000000" w:sz="4" w:space="0"/>
              <w:left w:val="nil"/>
              <w:bottom w:val="single" w:color="000000" w:sz="4" w:space="0"/>
              <w:right w:val="single" w:color="000000" w:sz="4" w:space="0"/>
            </w:tcBorders>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上限200元</w:t>
            </w:r>
          </w:p>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实报实销</w:t>
            </w:r>
          </w:p>
        </w:tc>
      </w:tr>
      <w:tr>
        <w:tc>
          <w:tcPr>
            <w:tcW w:w="2156" w:type="dxa"/>
            <w:tcBorders>
              <w:top w:val="single" w:color="000000" w:sz="4" w:space="0"/>
              <w:left w:val="single" w:color="000000" w:sz="4" w:space="0"/>
              <w:bottom w:val="single" w:color="000000" w:sz="4" w:space="0"/>
              <w:right w:val="single" w:color="000000" w:sz="4" w:space="0"/>
            </w:tcBorders>
            <w:vAlign w:val="center"/>
          </w:tcPr>
          <w:p>
            <w:pPr>
              <w:widowControl/>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普通员工</w:t>
            </w:r>
          </w:p>
        </w:tc>
        <w:tc>
          <w:tcPr>
            <w:tcW w:w="2264" w:type="dxa"/>
            <w:tcBorders>
              <w:top w:val="single" w:color="000000" w:sz="4" w:space="0"/>
              <w:left w:val="nil"/>
              <w:bottom w:val="single" w:color="000000" w:sz="4" w:space="0"/>
              <w:right w:val="single" w:color="000000" w:sz="4" w:space="0"/>
            </w:tcBorders>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上限200元</w:t>
            </w:r>
          </w:p>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实报实销</w:t>
            </w:r>
          </w:p>
        </w:tc>
        <w:tc>
          <w:tcPr>
            <w:tcW w:w="2264" w:type="dxa"/>
            <w:tcBorders>
              <w:top w:val="single" w:color="000000" w:sz="4" w:space="0"/>
              <w:left w:val="nil"/>
              <w:bottom w:val="single" w:color="000000" w:sz="4" w:space="0"/>
              <w:right w:val="single" w:color="000000" w:sz="4" w:space="0"/>
            </w:tcBorders>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上限180元</w:t>
            </w:r>
          </w:p>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实报实销</w:t>
            </w:r>
          </w:p>
        </w:tc>
        <w:tc>
          <w:tcPr>
            <w:tcW w:w="2264" w:type="dxa"/>
            <w:tcBorders>
              <w:top w:val="single" w:color="000000" w:sz="4" w:space="0"/>
              <w:left w:val="nil"/>
              <w:bottom w:val="single" w:color="000000" w:sz="4" w:space="0"/>
              <w:right w:val="single" w:color="000000" w:sz="4" w:space="0"/>
            </w:tcBorders>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上限150元</w:t>
            </w:r>
          </w:p>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实报实销</w:t>
            </w:r>
          </w:p>
        </w:tc>
      </w:tr>
      <w:tr>
        <w:tc>
          <w:tcPr>
            <w:tcW w:w="8948" w:type="dxa"/>
            <w:gridSpan w:val="4"/>
            <w:tcBorders>
              <w:top w:val="single" w:color="000000" w:sz="4" w:space="0"/>
              <w:left w:val="single" w:color="000000" w:sz="4" w:space="0"/>
              <w:bottom w:val="single" w:color="000000" w:sz="4" w:space="0"/>
              <w:right w:val="single" w:color="000000" w:sz="4" w:space="0"/>
            </w:tcBorders>
            <w:vAlign w:val="center"/>
          </w:tcPr>
          <w:p>
            <w:pPr>
              <w:widowControl/>
              <w:snapToGrid w:val="0"/>
              <w:ind w:left="36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注：</w:t>
            </w:r>
          </w:p>
          <w:p>
            <w:pPr>
              <w:widowControl/>
              <w:numPr>
                <w:ilvl w:val="0"/>
                <w:numId w:val="22"/>
              </w:numPr>
              <w:snapToGrid w:val="0"/>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一级城市：直辖市、各省会、五个经济特区</w:t>
            </w:r>
          </w:p>
          <w:p>
            <w:pPr>
              <w:widowControl/>
              <w:numPr>
                <w:ilvl w:val="0"/>
                <w:numId w:val="22"/>
              </w:numPr>
              <w:snapToGrid w:val="0"/>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二级城市：地级市</w:t>
            </w:r>
          </w:p>
          <w:p>
            <w:pPr>
              <w:widowControl/>
              <w:numPr>
                <w:ilvl w:val="0"/>
                <w:numId w:val="22"/>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三级城市：县级及以下城镇</w:t>
            </w:r>
          </w:p>
        </w:tc>
      </w:tr>
    </w:tbl>
    <w:p>
      <w:pPr>
        <w:widowControl/>
        <w:ind w:left="360"/>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当地公司有宿舍或租屋者，除非客满，否则出差人员不得住宿酒店，应以住宿公司宿舍为优先。</w:t>
      </w:r>
    </w:p>
    <w:p>
      <w:pPr>
        <w:widowControl/>
        <w:ind w:left="360"/>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出差人员在火车、轮船、客运车中歇夜或在各事务所住宿者，不得再报支。</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45" w:name="_Toc89057030"/>
      <w:bookmarkEnd w:id="45"/>
      <w:r>
        <w:rPr>
          <w:rFonts w:hint="eastAsia" w:ascii="SimHei" w:hAnsi="SimHei" w:eastAsia="黑体" w:cs="宋体"/>
          <w:b/>
          <w:bCs/>
          <w:color w:val="auto"/>
          <w:kern w:val="0"/>
          <w:sz w:val="28"/>
          <w:szCs w:val="28"/>
        </w:rPr>
        <w:t>餐费</w:t>
      </w:r>
    </w:p>
    <w:p>
      <w:pPr>
        <w:widowControl/>
        <w:numPr>
          <w:ilvl w:val="0"/>
          <w:numId w:val="23"/>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短差和配送差标准</w:t>
      </w:r>
    </w:p>
    <w:p>
      <w:pPr>
        <w:widowControl/>
        <w:numPr>
          <w:ilvl w:val="0"/>
          <w:numId w:val="2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短差：交通费用、餐费合并计算，按30元/天。如派用公司车辆，不再发放交通补贴。</w:t>
      </w:r>
    </w:p>
    <w:p>
      <w:pPr>
        <w:widowControl/>
        <w:numPr>
          <w:ilvl w:val="0"/>
          <w:numId w:val="2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配送：随车人员15元/天，当天不再发放餐费补贴。</w:t>
      </w:r>
    </w:p>
    <w:p>
      <w:pPr>
        <w:widowControl/>
        <w:numPr>
          <w:ilvl w:val="0"/>
          <w:numId w:val="23"/>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长差标准</w:t>
      </w:r>
    </w:p>
    <w:p>
      <w:pPr>
        <w:widowControl/>
        <w:ind w:left="36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从出发至返回每日餐费按以下列标准报支：</w:t>
      </w:r>
    </w:p>
    <w:tbl>
      <w:tblPr>
        <w:tblStyle w:val="2"/>
        <w:tblW w:w="8706" w:type="dxa"/>
        <w:tblInd w:w="430" w:type="dxa"/>
        <w:tblLayout w:type="fixed"/>
        <w:tblCellMar>
          <w:top w:w="0" w:type="dxa"/>
          <w:left w:w="28" w:type="dxa"/>
          <w:bottom w:w="0" w:type="dxa"/>
          <w:right w:w="28" w:type="dxa"/>
        </w:tblCellMar>
      </w:tblPr>
      <w:tblGrid>
        <w:gridCol w:w="1914"/>
        <w:gridCol w:w="2264"/>
        <w:gridCol w:w="2264"/>
        <w:gridCol w:w="2264"/>
      </w:tblGrid>
      <w:tr>
        <w:tblPrEx>
          <w:tblCellMar>
            <w:top w:w="0" w:type="dxa"/>
            <w:left w:w="28" w:type="dxa"/>
            <w:bottom w:w="0" w:type="dxa"/>
            <w:right w:w="28" w:type="dxa"/>
          </w:tblCellMar>
        </w:tblPrEx>
        <w:trPr>
          <w:trHeight w:val="401" w:hRule="atLeast"/>
        </w:trPr>
        <w:tc>
          <w:tcPr>
            <w:tcW w:w="1914" w:type="dxa"/>
            <w:tcBorders>
              <w:top w:val="single" w:color="000000" w:sz="4" w:space="0"/>
              <w:left w:val="single" w:color="000000" w:sz="4" w:space="0"/>
              <w:bottom w:val="single" w:color="000000" w:sz="4" w:space="0"/>
              <w:right w:val="single" w:color="000000" w:sz="4" w:space="0"/>
            </w:tcBorders>
          </w:tcPr>
          <w:p>
            <w:pPr>
              <w:widowControl/>
              <w:jc w:val="righ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城市</w:t>
            </w:r>
          </w:p>
          <w:p>
            <w:pPr>
              <w:widowControl/>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职等</w:t>
            </w:r>
          </w:p>
        </w:tc>
        <w:tc>
          <w:tcPr>
            <w:tcW w:w="2264"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一级城市</w:t>
            </w:r>
          </w:p>
        </w:tc>
        <w:tc>
          <w:tcPr>
            <w:tcW w:w="2264"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二级城市</w:t>
            </w:r>
          </w:p>
        </w:tc>
        <w:tc>
          <w:tcPr>
            <w:tcW w:w="2264"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三级城市</w:t>
            </w:r>
          </w:p>
        </w:tc>
      </w:tr>
      <w:tr>
        <w:tblPrEx>
          <w:tblCellMar>
            <w:top w:w="0" w:type="dxa"/>
            <w:left w:w="28" w:type="dxa"/>
            <w:bottom w:w="0" w:type="dxa"/>
            <w:right w:w="28" w:type="dxa"/>
          </w:tblCellMar>
        </w:tblPrEx>
        <w:tc>
          <w:tcPr>
            <w:tcW w:w="1914" w:type="dxa"/>
            <w:tcBorders>
              <w:top w:val="single" w:color="000000" w:sz="4" w:space="0"/>
              <w:left w:val="single" w:color="000000" w:sz="4" w:space="0"/>
              <w:bottom w:val="single" w:color="000000" w:sz="4" w:space="0"/>
              <w:right w:val="single" w:color="000000" w:sz="4" w:space="0"/>
            </w:tcBorders>
            <w:vAlign w:val="center"/>
          </w:tcPr>
          <w:p>
            <w:pPr>
              <w:widowControl/>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副总以上</w:t>
            </w:r>
          </w:p>
        </w:tc>
        <w:tc>
          <w:tcPr>
            <w:tcW w:w="2264"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实报实销</w:t>
            </w:r>
          </w:p>
        </w:tc>
        <w:tc>
          <w:tcPr>
            <w:tcW w:w="2264"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实报实销</w:t>
            </w:r>
          </w:p>
        </w:tc>
        <w:tc>
          <w:tcPr>
            <w:tcW w:w="2264"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实报实销</w:t>
            </w:r>
          </w:p>
        </w:tc>
      </w:tr>
      <w:tr>
        <w:tc>
          <w:tcPr>
            <w:tcW w:w="1914" w:type="dxa"/>
            <w:tcBorders>
              <w:top w:val="single" w:color="000000" w:sz="4" w:space="0"/>
              <w:left w:val="single" w:color="000000" w:sz="4" w:space="0"/>
              <w:bottom w:val="single" w:color="000000" w:sz="4" w:space="0"/>
              <w:right w:val="single" w:color="000000" w:sz="4" w:space="0"/>
            </w:tcBorders>
            <w:vAlign w:val="center"/>
          </w:tcPr>
          <w:p>
            <w:pPr>
              <w:widowControl/>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部门经理</w:t>
            </w:r>
          </w:p>
        </w:tc>
        <w:tc>
          <w:tcPr>
            <w:tcW w:w="2264"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70元</w:t>
            </w:r>
          </w:p>
        </w:tc>
        <w:tc>
          <w:tcPr>
            <w:tcW w:w="2264"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65元</w:t>
            </w:r>
          </w:p>
        </w:tc>
        <w:tc>
          <w:tcPr>
            <w:tcW w:w="2264"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55元</w:t>
            </w:r>
          </w:p>
        </w:tc>
      </w:tr>
      <w:tr>
        <w:tc>
          <w:tcPr>
            <w:tcW w:w="1914" w:type="dxa"/>
            <w:tcBorders>
              <w:top w:val="single" w:color="000000" w:sz="4" w:space="0"/>
              <w:left w:val="single" w:color="000000" w:sz="4" w:space="0"/>
              <w:bottom w:val="single" w:color="000000" w:sz="4" w:space="0"/>
              <w:right w:val="single" w:color="000000" w:sz="4" w:space="0"/>
            </w:tcBorders>
            <w:vAlign w:val="center"/>
          </w:tcPr>
          <w:p>
            <w:pPr>
              <w:widowControl/>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事务所负责人</w:t>
            </w:r>
          </w:p>
        </w:tc>
        <w:tc>
          <w:tcPr>
            <w:tcW w:w="2264"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50元</w:t>
            </w:r>
          </w:p>
        </w:tc>
        <w:tc>
          <w:tcPr>
            <w:tcW w:w="2264"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45元</w:t>
            </w:r>
          </w:p>
        </w:tc>
        <w:tc>
          <w:tcPr>
            <w:tcW w:w="2264"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40元</w:t>
            </w:r>
          </w:p>
        </w:tc>
      </w:tr>
      <w:tr>
        <w:tc>
          <w:tcPr>
            <w:tcW w:w="1914" w:type="dxa"/>
            <w:tcBorders>
              <w:top w:val="single" w:color="000000" w:sz="4" w:space="0"/>
              <w:left w:val="single" w:color="000000" w:sz="4" w:space="0"/>
              <w:bottom w:val="single" w:color="000000" w:sz="4" w:space="0"/>
              <w:right w:val="single" w:color="000000" w:sz="4" w:space="0"/>
            </w:tcBorders>
            <w:vAlign w:val="center"/>
          </w:tcPr>
          <w:p>
            <w:pPr>
              <w:widowControl/>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普通员工</w:t>
            </w:r>
          </w:p>
        </w:tc>
        <w:tc>
          <w:tcPr>
            <w:tcW w:w="2264"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40元</w:t>
            </w:r>
          </w:p>
        </w:tc>
        <w:tc>
          <w:tcPr>
            <w:tcW w:w="2264"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35元</w:t>
            </w:r>
          </w:p>
        </w:tc>
        <w:tc>
          <w:tcPr>
            <w:tcW w:w="2264"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30元</w:t>
            </w:r>
          </w:p>
        </w:tc>
      </w:tr>
      <w:tr>
        <w:tc>
          <w:tcPr>
            <w:tcW w:w="8706" w:type="dxa"/>
            <w:gridSpan w:val="4"/>
            <w:tcBorders>
              <w:top w:val="single" w:color="000000" w:sz="4" w:space="0"/>
              <w:left w:val="single" w:color="000000" w:sz="4" w:space="0"/>
              <w:bottom w:val="single" w:color="000000" w:sz="4" w:space="0"/>
              <w:right w:val="single" w:color="000000" w:sz="4" w:space="0"/>
            </w:tcBorders>
            <w:vAlign w:val="center"/>
          </w:tcPr>
          <w:p>
            <w:pPr>
              <w:widowControl/>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注：城市级别的定义同住宿标准。</w:t>
            </w:r>
          </w:p>
        </w:tc>
      </w:tr>
    </w:tbl>
    <w:p>
      <w:pPr>
        <w:widowControl/>
        <w:ind w:left="360"/>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以定额方式报支餐费，不须另附凭证，但如接受招待用餐及宴请客人，不得再报支餐费。</w:t>
      </w:r>
    </w:p>
    <w:p>
      <w:pPr>
        <w:widowControl/>
        <w:ind w:left="360"/>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核实报支费用，如与出差同行人共餐，应予账单上加注共餐人姓名。</w:t>
      </w:r>
    </w:p>
    <w:p>
      <w:pPr>
        <w:widowControl/>
        <w:ind w:left="360"/>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出差人员于用餐时间起程或销差者，方得报支膳食费。 </w:t>
      </w:r>
    </w:p>
    <w:p>
      <w:pPr>
        <w:widowControl/>
        <w:ind w:left="798"/>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46" w:name="_Toc89057031"/>
      <w:bookmarkEnd w:id="46"/>
      <w:r>
        <w:rPr>
          <w:rFonts w:hint="eastAsia" w:ascii="SimHei" w:hAnsi="SimHei" w:eastAsia="黑体" w:cs="宋体"/>
          <w:b/>
          <w:bCs/>
          <w:color w:val="auto"/>
          <w:kern w:val="0"/>
          <w:sz w:val="28"/>
          <w:szCs w:val="28"/>
        </w:rPr>
        <w:t>报销说明</w:t>
      </w:r>
    </w:p>
    <w:p>
      <w:pPr>
        <w:widowControl/>
        <w:numPr>
          <w:ilvl w:val="0"/>
          <w:numId w:val="25"/>
        </w:numPr>
        <w:snapToGrid w:val="0"/>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招待费不得与差旅费合并报销</w:t>
      </w:r>
    </w:p>
    <w:p>
      <w:pPr>
        <w:widowControl/>
        <w:snapToGrid w:val="0"/>
        <w:ind w:left="420"/>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差旅费报销范围包括出差期间的交通费、住宿费、餐费。业务公关费用应另以费用申请单分别报销，不能并入差旅费申请。出差期间如须宴请客户的，应事先征得市场部经理或总经理的同意，按规定标准据实报销。招待期间不发放相应差旅费补贴。</w:t>
      </w:r>
    </w:p>
    <w:p>
      <w:pPr>
        <w:widowControl/>
        <w:numPr>
          <w:ilvl w:val="0"/>
          <w:numId w:val="25"/>
        </w:numPr>
        <w:snapToGrid w:val="0"/>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私事不得报销</w:t>
      </w:r>
    </w:p>
    <w:p>
      <w:pPr>
        <w:widowControl/>
        <w:snapToGrid w:val="0"/>
        <w:ind w:left="420"/>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出差人员在出差期间，事先经领导批准绕道回家省亲办事的，其绕道车船费扣除出差直线单程费，多开支的部分由个人自理；因游览或非工作需要的参观而开支的一切费用，均由个人承担。不予发放报销绕道和在家期间及游览时的餐费、住宿费和市内交通费。</w:t>
      </w:r>
    </w:p>
    <w:p>
      <w:pPr>
        <w:widowControl/>
        <w:numPr>
          <w:ilvl w:val="0"/>
          <w:numId w:val="25"/>
        </w:numPr>
        <w:snapToGrid w:val="0"/>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市内交通费用问题</w:t>
      </w:r>
    </w:p>
    <w:p>
      <w:pPr>
        <w:widowControl/>
        <w:snapToGrid w:val="0"/>
        <w:ind w:left="420"/>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业务人员由事务所出差到外地拓展业务者，其市内交通费用不可报销，但城市之间的交通费可以附票据报销。</w:t>
      </w:r>
    </w:p>
    <w:p>
      <w:pPr>
        <w:widowControl/>
        <w:numPr>
          <w:ilvl w:val="0"/>
          <w:numId w:val="25"/>
        </w:numPr>
        <w:snapToGrid w:val="0"/>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加班费</w:t>
      </w:r>
    </w:p>
    <w:p>
      <w:pPr>
        <w:widowControl/>
        <w:snapToGrid w:val="0"/>
        <w:ind w:left="420"/>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出差不得报支加班费。节假日出差原则上由部门负责人安排补休。不能安排补休的，应当付给加班工资，或在计算年终奖时统筹体现。</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r>
        <w:rPr>
          <w:rFonts w:hint="eastAsia" w:ascii="SimHei" w:hAnsi="SimHei" w:eastAsia="黑体" w:cs="宋体"/>
          <w:b/>
          <w:bCs/>
          <w:color w:val="auto"/>
          <w:kern w:val="0"/>
          <w:sz w:val="28"/>
          <w:szCs w:val="28"/>
        </w:rPr>
        <w:t>外勤安全须知</w:t>
      </w:r>
    </w:p>
    <w:p>
      <w:pPr>
        <w:widowControl/>
        <w:snapToGrid w:val="0"/>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请记住：在任何情况下，您的安全和健康是第一位的！</w:t>
      </w:r>
    </w:p>
    <w:p>
      <w:pPr>
        <w:widowControl/>
        <w:numPr>
          <w:ilvl w:val="0"/>
          <w:numId w:val="26"/>
        </w:numPr>
        <w:snapToGrid w:val="0"/>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应急方案：</w:t>
      </w:r>
    </w:p>
    <w:p>
      <w:pPr>
        <w:widowControl/>
        <w:numPr>
          <w:ilvl w:val="0"/>
          <w:numId w:val="2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遇各种紧急情况应立即请求帮助或报告。匪警 110 火警 119 紧急救护 120</w:t>
      </w:r>
    </w:p>
    <w:p>
      <w:pPr>
        <w:widowControl/>
        <w:numPr>
          <w:ilvl w:val="0"/>
          <w:numId w:val="2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遇灾害（如地震）、事故时应寻求安全地址，切记：跳楼是最危险的选择。</w:t>
      </w:r>
    </w:p>
    <w:p>
      <w:pPr>
        <w:widowControl/>
        <w:numPr>
          <w:ilvl w:val="0"/>
          <w:numId w:val="2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离开窗户和外墙，离开有可能倒塌的家具、移动设备、远离电线（杆）。</w:t>
      </w:r>
    </w:p>
    <w:p>
      <w:pPr>
        <w:widowControl/>
        <w:numPr>
          <w:ilvl w:val="0"/>
          <w:numId w:val="2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远离人流、车流，选择安全路线，撤出危险区域。</w:t>
      </w:r>
    </w:p>
    <w:p>
      <w:pPr>
        <w:widowControl/>
        <w:numPr>
          <w:ilvl w:val="0"/>
          <w:numId w:val="2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学会一般急救技能、灭火技能。采取正确的行动，防止或最大程度减少危险的发生！</w:t>
      </w:r>
    </w:p>
    <w:p>
      <w:pPr>
        <w:widowControl/>
        <w:numPr>
          <w:ilvl w:val="0"/>
          <w:numId w:val="26"/>
        </w:numPr>
        <w:snapToGrid w:val="0"/>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遇有意外事故时、报告：</w:t>
      </w:r>
    </w:p>
    <w:p>
      <w:pPr>
        <w:widowControl/>
        <w:numPr>
          <w:ilvl w:val="0"/>
          <w:numId w:val="24"/>
        </w:numPr>
        <w:snapToGrid w:val="0"/>
        <w:ind w:left="84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及时和您的同事/家人取得联系，阐明您的处境、状况、地点等。</w:t>
      </w:r>
    </w:p>
    <w:p>
      <w:pPr>
        <w:widowControl/>
        <w:numPr>
          <w:ilvl w:val="0"/>
          <w:numId w:val="24"/>
        </w:numPr>
        <w:snapToGrid w:val="0"/>
        <w:ind w:left="84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任何事故都应在24小时内报告您的上级及公司行政部。严重伤害事故和损失工作日事故应报公司总经理。伤害事故（包括未遂事件）都应调查，并制定预防措施。</w:t>
      </w:r>
    </w:p>
    <w:p>
      <w:pPr>
        <w:widowControl/>
        <w:numPr>
          <w:ilvl w:val="0"/>
          <w:numId w:val="26"/>
        </w:numPr>
        <w:snapToGrid w:val="0"/>
        <w:jc w:val="left"/>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差旅安全</w:t>
      </w:r>
    </w:p>
    <w:p>
      <w:pPr>
        <w:widowControl/>
        <w:numPr>
          <w:ilvl w:val="0"/>
          <w:numId w:val="24"/>
        </w:numPr>
        <w:snapToGrid w:val="0"/>
        <w:ind w:left="84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准备一两份您的证件复印件，放入您所带的提包或需托运的行李中备查。</w:t>
      </w:r>
    </w:p>
    <w:p>
      <w:pPr>
        <w:widowControl/>
        <w:numPr>
          <w:ilvl w:val="0"/>
          <w:numId w:val="24"/>
        </w:numPr>
        <w:snapToGrid w:val="0"/>
        <w:ind w:left="84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请使用信用卡，必带的现金放于内衣口袋，外衣只放所需的零钱。切忌当众显示大额现金，贵重物品要随身带。</w:t>
      </w:r>
    </w:p>
    <w:p>
      <w:pPr>
        <w:widowControl/>
        <w:numPr>
          <w:ilvl w:val="0"/>
          <w:numId w:val="24"/>
        </w:numPr>
        <w:snapToGrid w:val="0"/>
        <w:ind w:left="84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不住私人旅店，不同陌生人同住；房间尽量选低些；对陌生人来访不轻易开门；不使自己身体直对门口。</w:t>
      </w:r>
    </w:p>
    <w:p>
      <w:pPr>
        <w:widowControl/>
        <w:numPr>
          <w:ilvl w:val="0"/>
          <w:numId w:val="24"/>
        </w:numPr>
        <w:snapToGrid w:val="0"/>
        <w:ind w:left="84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进入房间，先熟悉布局，了解总台、保安部电话；熟悉环境、通道、疏散路线及应急出口等。遇火灾时千万不要乘电梯。</w:t>
      </w:r>
    </w:p>
    <w:p>
      <w:pPr>
        <w:widowControl/>
        <w:numPr>
          <w:ilvl w:val="0"/>
          <w:numId w:val="24"/>
        </w:numPr>
        <w:snapToGrid w:val="0"/>
        <w:ind w:left="84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不准搭乘非法经营的车辆。</w:t>
      </w:r>
    </w:p>
    <w:p>
      <w:pPr>
        <w:widowControl/>
        <w:numPr>
          <w:ilvl w:val="0"/>
          <w:numId w:val="24"/>
        </w:numPr>
        <w:snapToGrid w:val="0"/>
        <w:ind w:left="84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不同陌生人互赠饮料食品，不接受、不委托刚结识的人照看物品；严禁携带易燃易爆化学危险物品乘车、船、飞机。</w:t>
      </w:r>
    </w:p>
    <w:p>
      <w:pPr>
        <w:widowControl/>
        <w:numPr>
          <w:ilvl w:val="0"/>
          <w:numId w:val="24"/>
        </w:numPr>
        <w:snapToGrid w:val="0"/>
        <w:ind w:left="84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行李物品不脱离您的视线，按规定系好安全带，肢体不伸出交通工具之外。</w:t>
      </w:r>
    </w:p>
    <w:p>
      <w:pPr>
        <w:widowControl/>
        <w:numPr>
          <w:ilvl w:val="0"/>
          <w:numId w:val="24"/>
        </w:numPr>
        <w:snapToGrid w:val="0"/>
        <w:ind w:left="84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旅途中遇紧急事故，应保持镇静，服从乘务人员指挥。</w:t>
      </w:r>
    </w:p>
    <w:p>
      <w:pPr>
        <w:widowControl/>
        <w:numPr>
          <w:ilvl w:val="0"/>
          <w:numId w:val="24"/>
        </w:numPr>
        <w:snapToGrid w:val="0"/>
        <w:ind w:left="84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走路、乘车应遵守交通规则；系好安全带；晚间外出应选择较明亮和人多的街道。</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0"/>
          <w:numId w:val="2"/>
        </w:numPr>
        <w:spacing w:line="720" w:lineRule="auto"/>
        <w:jc w:val="center"/>
        <w:outlineLvl w:val="0"/>
        <w:rPr>
          <w:rFonts w:hint="eastAsia" w:ascii="宋体" w:hAnsi="宋体" w:eastAsia="宋体" w:cs="宋体"/>
          <w:b/>
          <w:bCs/>
          <w:color w:val="auto"/>
          <w:kern w:val="36"/>
          <w:sz w:val="28"/>
          <w:szCs w:val="28"/>
        </w:rPr>
      </w:pPr>
      <w:r>
        <w:rPr>
          <w:rFonts w:hint="eastAsia" w:ascii="SimHei" w:hAnsi="SimHei" w:eastAsia="黑体" w:cs="宋体"/>
          <w:b/>
          <w:bCs/>
          <w:color w:val="auto"/>
          <w:kern w:val="36"/>
          <w:sz w:val="28"/>
          <w:szCs w:val="28"/>
        </w:rPr>
        <w:t xml:space="preserve"> </w:t>
      </w:r>
      <w:bookmarkStart w:id="47" w:name="_Toc89057032"/>
      <w:r>
        <w:rPr>
          <w:rFonts w:hint="eastAsia" w:ascii="SimHei" w:hAnsi="SimHei" w:eastAsia="黑体" w:cs="宋体"/>
          <w:b/>
          <w:bCs/>
          <w:color w:val="auto"/>
          <w:kern w:val="36"/>
          <w:sz w:val="28"/>
          <w:szCs w:val="28"/>
        </w:rPr>
        <w:t>借款与报销</w:t>
      </w:r>
      <w:bookmarkEnd w:id="47"/>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48" w:name="_Toc89057033"/>
      <w:bookmarkEnd w:id="48"/>
      <w:r>
        <w:rPr>
          <w:rFonts w:hint="eastAsia" w:ascii="SimHei" w:hAnsi="SimHei" w:eastAsia="黑体" w:cs="宋体"/>
          <w:b/>
          <w:bCs/>
          <w:color w:val="auto"/>
          <w:kern w:val="0"/>
          <w:sz w:val="28"/>
          <w:szCs w:val="28"/>
        </w:rPr>
        <w:t>借款</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借款主要指公司各部门或个人为经营或管理需要，需垫支或对外支付的，尚无正规发票的款项。</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借款人应提前半天通知财务部门，将借款单经部门经理签字后，根据金额大小分别签字。现金借款应严格按现金使用范围借支。</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除必须支付现金的款项外，公司的对外支付，原则上均应以票据支付。借款单注明借款事由，经部门经理签字后，依照有无合同等不同情况分别办理审批手续。</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49" w:name="_Toc89057034"/>
      <w:bookmarkEnd w:id="49"/>
      <w:r>
        <w:rPr>
          <w:rFonts w:hint="eastAsia" w:ascii="SimHei" w:hAnsi="SimHei" w:eastAsia="黑体" w:cs="宋体"/>
          <w:b/>
          <w:bCs/>
          <w:color w:val="auto"/>
          <w:kern w:val="0"/>
          <w:sz w:val="28"/>
          <w:szCs w:val="28"/>
        </w:rPr>
        <w:t>报销</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各部门为经营或管理而取得正规单据后，需支付或应支付的各种款项，也包括借款冲账的款项。报销人应及时整理好各类单据，并进行分类，将同一事项的单据归集并编制报销单，经部门经理签字，部经理审核后，再按金额大小分情况分别报销。</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0"/>
          <w:numId w:val="2"/>
        </w:numPr>
        <w:spacing w:line="720" w:lineRule="auto"/>
        <w:jc w:val="center"/>
        <w:outlineLvl w:val="0"/>
        <w:rPr>
          <w:rFonts w:hint="eastAsia" w:ascii="宋体" w:hAnsi="宋体" w:eastAsia="宋体" w:cs="宋体"/>
          <w:b/>
          <w:bCs/>
          <w:color w:val="auto"/>
          <w:kern w:val="36"/>
          <w:sz w:val="28"/>
          <w:szCs w:val="28"/>
        </w:rPr>
      </w:pPr>
      <w:bookmarkStart w:id="50" w:name="_Toc18912695"/>
      <w:bookmarkEnd w:id="50"/>
      <w:r>
        <w:rPr>
          <w:rFonts w:hint="eastAsia" w:ascii="SimHei" w:hAnsi="SimHei" w:eastAsia="黑体" w:cs="宋体"/>
          <w:b/>
          <w:bCs/>
          <w:color w:val="auto"/>
          <w:kern w:val="36"/>
          <w:sz w:val="28"/>
          <w:szCs w:val="28"/>
        </w:rPr>
        <w:t xml:space="preserve">  </w:t>
      </w:r>
      <w:bookmarkStart w:id="51" w:name="_Toc89057035"/>
      <w:r>
        <w:rPr>
          <w:rFonts w:hint="eastAsia" w:ascii="SimHei" w:hAnsi="SimHei" w:eastAsia="黑体" w:cs="宋体"/>
          <w:b/>
          <w:bCs/>
          <w:color w:val="auto"/>
          <w:kern w:val="36"/>
          <w:sz w:val="28"/>
          <w:szCs w:val="28"/>
        </w:rPr>
        <w:t>培训、考核与发展</w:t>
      </w:r>
      <w:bookmarkEnd w:id="51"/>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把人视为第一资本，人才是公司最宝贵的财富。我们提倡以人为本的管理理念，重视人才并重视培养和发展人才，从而推动公司不断进步，也是我们未来事业成功的关键。公司不断完善考核体系以更有效地帮助员工改进工作，同时员工还会得到必需的培训，这些都是致力于为每一位员工提供个人成长的规划。</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52" w:name="_Toc18912696"/>
      <w:bookmarkEnd w:id="52"/>
      <w:bookmarkStart w:id="53" w:name="_Toc89057036"/>
      <w:r>
        <w:rPr>
          <w:rFonts w:hint="eastAsia" w:ascii="SimHei" w:hAnsi="SimHei" w:eastAsia="黑体" w:cs="宋体"/>
          <w:b/>
          <w:bCs/>
          <w:color w:val="auto"/>
          <w:kern w:val="0"/>
          <w:sz w:val="28"/>
          <w:szCs w:val="28"/>
        </w:rPr>
        <w:t>培训</w:t>
      </w:r>
      <w:bookmarkEnd w:id="53"/>
    </w:p>
    <w:p>
      <w:pPr>
        <w:widowControl/>
        <w:snapToGrid w:val="0"/>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向员工提供满足现职和适应将来工作需要的各种个人发展的培训。培训的范围包括与工作相关的知识、技能和管理方面的内容。以及与个人、组织的要求相适应的更广泛领域的培训。与此同时，在不影响工作的前提下，公司积极提倡和鼓励员工在业余时间参加培训。培训的形式一般分为以下几种类型。</w:t>
      </w:r>
    </w:p>
    <w:p>
      <w:pPr>
        <w:widowControl/>
        <w:numPr>
          <w:ilvl w:val="0"/>
          <w:numId w:val="2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新员工入职培训</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为了使新员工在短时间内熟悉企业环境 ，尽快进入角色，在您加入公司后，您所在的部门会为您指派一位入司指引人，帮助您了解公司并顺利开展工作。行政部还会组织新员工接受短期的入职培训，让新员工了解公司的性质、文化、经营方针、组织构架、产品及服务、规章福利、行为规范等。</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新员工在入职的第一周内应参加入职培训；部门主管有督促本部门新入职员工参加新员工入职培训的责任。因公不能参加入职培训者应至少提前半天通知行政部。</w:t>
      </w:r>
    </w:p>
    <w:p>
      <w:pPr>
        <w:widowControl/>
        <w:numPr>
          <w:ilvl w:val="0"/>
          <w:numId w:val="2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部门业务培训</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为保持公司人力资本存量不断增长，公司将为员工安排与其工作相关的业务培训。您的经理会根据部门所负责的业务或职能制定每年的培训计划，为您进行专业技术的培训。这些培训或是在职的或是短期脱产的，与您的工作实践结合在一起，将会帮助您发展成为本部门或本领域的专家能手。</w:t>
      </w:r>
    </w:p>
    <w:p>
      <w:pPr>
        <w:widowControl/>
        <w:numPr>
          <w:ilvl w:val="0"/>
          <w:numId w:val="2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外派培训</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公司视员工工作需要安排员工出外接受培训，员工在外出培训之前与公司签订培训协议。</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公司为员工提供合同上约定的相关培训费用。</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乙方应在培训结束后，回到甲方单位工作，在合同约定的年限内不得提出调离、辞职或擅自离职。乙方如因特殊情况必须调离、辞职，必须符合甲方相关规定，经甲方同意后方可办理手续，并向甲方返还为乙方在培训期间支付的各类费用及赔偿相关损失。</w:t>
      </w:r>
    </w:p>
    <w:p>
      <w:pPr>
        <w:widowControl/>
        <w:numPr>
          <w:ilvl w:val="0"/>
          <w:numId w:val="2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外出考察</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为了拓展视野，有效地借鉴与学习，管理人员和专业人员会适时被组织到境内外优秀的企业或机构参观和考察。</w:t>
      </w:r>
    </w:p>
    <w:p>
      <w:pPr>
        <w:widowControl/>
        <w:numPr>
          <w:ilvl w:val="0"/>
          <w:numId w:val="2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其他培训</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公司根据实际情况邀请所代理品牌的技术人员、培训或咨询机构的专家来公司举办讲座，以便公司管理者和员工及时了解先进的管理技术和信息，确保员工学习并了解他们所需要的管理策略或技术。 </w:t>
      </w:r>
    </w:p>
    <w:p>
      <w:pPr>
        <w:widowControl/>
        <w:numPr>
          <w:ilvl w:val="0"/>
          <w:numId w:val="2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培训守则</w:t>
      </w:r>
    </w:p>
    <w:p>
      <w:pPr>
        <w:widowControl/>
        <w:numPr>
          <w:ilvl w:val="1"/>
          <w:numId w:val="2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如员工因紧急事务不能参加培训，须至少提前半天通知行政部，并附有部门经理确认的请假单。</w:t>
      </w:r>
    </w:p>
    <w:p>
      <w:pPr>
        <w:widowControl/>
        <w:numPr>
          <w:ilvl w:val="1"/>
          <w:numId w:val="2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员工遵守上课时间，应提前5分钟到达课堂。中间休息后按时回到座位上。</w:t>
      </w:r>
    </w:p>
    <w:p>
      <w:pPr>
        <w:widowControl/>
        <w:numPr>
          <w:ilvl w:val="1"/>
          <w:numId w:val="2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上课期间，将手机等通讯设备设为静音状态。</w:t>
      </w:r>
    </w:p>
    <w:p>
      <w:pPr>
        <w:widowControl/>
        <w:numPr>
          <w:ilvl w:val="1"/>
          <w:numId w:val="2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上课期间，不得随意出入课堂，影响课堂秩序。 </w:t>
      </w:r>
    </w:p>
    <w:p>
      <w:pPr>
        <w:widowControl/>
        <w:numPr>
          <w:ilvl w:val="1"/>
          <w:numId w:val="2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在课程进行期间请勿谈论与课程无关的话题。</w:t>
      </w:r>
    </w:p>
    <w:p>
      <w:pPr>
        <w:widowControl/>
        <w:numPr>
          <w:ilvl w:val="1"/>
          <w:numId w:val="2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积极思维，踊跃回答老师提出的问题。积极参与小组讨论，提高课堂效率。</w:t>
      </w:r>
    </w:p>
    <w:p>
      <w:pPr>
        <w:widowControl/>
        <w:numPr>
          <w:ilvl w:val="1"/>
          <w:numId w:val="2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真实完成课后评估问卷。</w:t>
      </w:r>
    </w:p>
    <w:p>
      <w:pPr>
        <w:widowControl/>
        <w:snapToGrid w:val="0"/>
        <w:rPr>
          <w:rFonts w:hint="eastAsia" w:ascii="宋体" w:hAnsi="宋体" w:eastAsia="宋体" w:cs="宋体"/>
          <w:color w:val="auto"/>
          <w:kern w:val="0"/>
          <w:sz w:val="28"/>
          <w:szCs w:val="28"/>
        </w:rPr>
      </w:pPr>
      <w:bookmarkStart w:id="54" w:name="_Toc18912697"/>
      <w:bookmarkEnd w:id="54"/>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55" w:name="_Toc89057037"/>
      <w:bookmarkEnd w:id="55"/>
      <w:r>
        <w:rPr>
          <w:rFonts w:hint="eastAsia" w:ascii="SimHei" w:hAnsi="SimHei" w:eastAsia="黑体" w:cs="宋体"/>
          <w:b/>
          <w:bCs/>
          <w:color w:val="auto"/>
          <w:kern w:val="0"/>
          <w:sz w:val="28"/>
          <w:szCs w:val="28"/>
        </w:rPr>
        <w:t>考核</w:t>
      </w:r>
    </w:p>
    <w:p>
      <w:pPr>
        <w:widowControl/>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您将定期对您的工作进行回顾，同时您的负责人也会定期对您的工作表现进行评估。目的是让您了解自己的工作业绩和需要改进地方。若您对评估结果待不同看法。对您的最终评估将经过二级以上主管的审批，并以此作为您加薪、调职的提升的直接依据。</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每位员工应出色完成本职工作，同时又能积极参与公司的整体发展。由于您的努力和 合理化建议而给公司带来了显著经济效益，公司会给予 您应有的奖励的荣誉。</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（后续部分待定）</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0"/>
          <w:numId w:val="2"/>
        </w:numPr>
        <w:spacing w:line="720" w:lineRule="auto"/>
        <w:jc w:val="center"/>
        <w:outlineLvl w:val="0"/>
        <w:rPr>
          <w:rFonts w:hint="eastAsia" w:ascii="宋体" w:hAnsi="宋体" w:eastAsia="宋体" w:cs="宋体"/>
          <w:b/>
          <w:bCs/>
          <w:color w:val="auto"/>
          <w:kern w:val="36"/>
          <w:sz w:val="28"/>
          <w:szCs w:val="28"/>
        </w:rPr>
      </w:pPr>
      <w:bookmarkStart w:id="56" w:name="_Toc18912699"/>
      <w:bookmarkEnd w:id="56"/>
      <w:r>
        <w:rPr>
          <w:rFonts w:hint="eastAsia" w:ascii="SimHei" w:hAnsi="SimHei" w:eastAsia="黑体" w:cs="宋体"/>
          <w:b/>
          <w:bCs/>
          <w:color w:val="auto"/>
          <w:kern w:val="36"/>
          <w:sz w:val="28"/>
          <w:szCs w:val="28"/>
        </w:rPr>
        <w:t xml:space="preserve">  </w:t>
      </w:r>
      <w:bookmarkStart w:id="57" w:name="_Toc89057039"/>
      <w:bookmarkEnd w:id="57"/>
      <w:r>
        <w:rPr>
          <w:rFonts w:hint="eastAsia" w:ascii="SimHei" w:hAnsi="SimHei" w:eastAsia="黑体" w:cs="宋体"/>
          <w:b/>
          <w:bCs/>
          <w:color w:val="auto"/>
          <w:kern w:val="36"/>
          <w:sz w:val="28"/>
          <w:szCs w:val="28"/>
        </w:rPr>
        <w:t>劳动关系</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本公司员工一律实行聘用合同制。聘用合同是以《中华人民共和国劳动法》为依据的劳动合同，由公司与员工双方共同签署后方可生效。</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合同过程中的任何劳动纠纷，您可以通过规定的程序向上级负责人或行政部申诉，公司会根据您的意愿安排行政部或您的部门负责人与您进行面谈。</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58" w:name="_Toc89057040"/>
      <w:bookmarkEnd w:id="58"/>
      <w:bookmarkStart w:id="59" w:name="_Toc18912700"/>
      <w:r>
        <w:rPr>
          <w:rFonts w:hint="eastAsia" w:ascii="SimHei" w:hAnsi="SimHei" w:eastAsia="黑体" w:cs="宋体"/>
          <w:b/>
          <w:bCs/>
          <w:color w:val="auto"/>
          <w:kern w:val="0"/>
          <w:sz w:val="28"/>
          <w:szCs w:val="28"/>
        </w:rPr>
        <w:t>签订和延续</w:t>
      </w:r>
      <w:bookmarkEnd w:id="59"/>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您加入公司后，为了明确您和公司彼此的权利和义务，同时又根据劳动法的规定，公司将与您签订劳动合同。</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在劳动合同期限届满，公司根据上一年考核结果和公司业务发展的需要，与员工续签劳动合同，续签的劳动合同一般以一年为期限。</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60" w:name="_Toc89057041"/>
      <w:bookmarkEnd w:id="60"/>
      <w:r>
        <w:rPr>
          <w:rFonts w:hint="eastAsia" w:ascii="SimHei" w:hAnsi="SimHei" w:eastAsia="黑体" w:cs="宋体"/>
          <w:b/>
          <w:bCs/>
          <w:color w:val="auto"/>
          <w:kern w:val="0"/>
          <w:sz w:val="28"/>
          <w:szCs w:val="28"/>
        </w:rPr>
        <w:t>终止合同</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劳动合同期满或双方约定的劳动合同终止条件出现，劳动合同即行终止。</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除双方在劳动合同中有约定外，以下条件为劳动合同终止条件：</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不符合录用条件，通过隐瞒实情获得转正，经发现核实者。</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政府规定须持证上岗的员工，其持证资格丧失者。</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合同期满后，考核不合格者；</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工作表现不能适应公司的发展或因人员调整者；</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因个人的意愿离开公司。</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61" w:name="_Toc89057042"/>
      <w:bookmarkEnd w:id="61"/>
      <w:r>
        <w:rPr>
          <w:rFonts w:hint="eastAsia" w:ascii="SimHei" w:hAnsi="SimHei" w:eastAsia="黑体" w:cs="宋体"/>
          <w:b/>
          <w:bCs/>
          <w:color w:val="auto"/>
          <w:kern w:val="0"/>
          <w:sz w:val="28"/>
          <w:szCs w:val="28"/>
        </w:rPr>
        <w:t>协商解聘</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劳动合同有效期内，经劳动合同双方协商一致，劳动合同可提前解除。</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如果员工提出解除劳动合同，公司不予经济补偿；如公司首先提出解除劳动合同，公司将根据地方政府的有关规定给予员工经济补偿。</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62" w:name="_Toc89057043"/>
      <w:bookmarkEnd w:id="62"/>
      <w:r>
        <w:rPr>
          <w:rFonts w:hint="eastAsia" w:ascii="SimHei" w:hAnsi="SimHei" w:eastAsia="黑体" w:cs="宋体"/>
          <w:b/>
          <w:bCs/>
          <w:color w:val="auto"/>
          <w:kern w:val="0"/>
          <w:sz w:val="28"/>
          <w:szCs w:val="28"/>
        </w:rPr>
        <w:t>辞职</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在下列任何情况下，员工可提出辞职并解除劳动合同：</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在试用期内的；</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员工被公司以暴力、威胁或非法限制人身自由的手段强迫工作；</w:t>
      </w:r>
    </w:p>
    <w:p>
      <w:pPr>
        <w:widowControl/>
        <w:numPr>
          <w:ilvl w:val="0"/>
          <w:numId w:val="1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公司未按照薪酬政策支付员工薪金或劳动条件的。</w:t>
      </w:r>
    </w:p>
    <w:p>
      <w:pPr>
        <w:widowControl/>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员工应提前15天以书面形式通知公司，辞职书提交部门负责人或行政部，可以解除劳动合同。部门负责人及相应专业职位员工辞职须提前一个月申请。离职手续见下款《辞退》。</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员工有下列行为之一的，不得辞职，解除劳动合同：</w:t>
      </w:r>
    </w:p>
    <w:p>
      <w:pPr>
        <w:widowControl/>
        <w:numPr>
          <w:ilvl w:val="0"/>
          <w:numId w:val="28"/>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给公司造成经济损失尚未处理完毕的；</w:t>
      </w:r>
    </w:p>
    <w:p>
      <w:pPr>
        <w:widowControl/>
        <w:numPr>
          <w:ilvl w:val="0"/>
          <w:numId w:val="28"/>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在劳动合同中与公司就出资培训等有服务期的约定，且服务期未满的；</w:t>
      </w:r>
    </w:p>
    <w:p>
      <w:pPr>
        <w:widowControl/>
        <w:numPr>
          <w:ilvl w:val="0"/>
          <w:numId w:val="28"/>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被有关国家机关贪污审查尚未结案的。</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辞呈一经提出，公司不再给假，亦不可享受年休假。未用完的年休假将折算成薪金，在结算工资中一并付清。</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63" w:name="_Toc18912703"/>
      <w:bookmarkEnd w:id="63"/>
      <w:bookmarkStart w:id="64" w:name="_Toc89057044"/>
      <w:r>
        <w:rPr>
          <w:rFonts w:hint="eastAsia" w:ascii="SimHei" w:hAnsi="SimHei" w:eastAsia="黑体" w:cs="宋体"/>
          <w:b/>
          <w:bCs/>
          <w:color w:val="auto"/>
          <w:kern w:val="0"/>
          <w:sz w:val="28"/>
          <w:szCs w:val="28"/>
        </w:rPr>
        <w:t>辞退</w:t>
      </w:r>
      <w:bookmarkEnd w:id="64"/>
    </w:p>
    <w:p>
      <w:pPr>
        <w:widowControl/>
        <w:snapToGrid w:val="0"/>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严重违反公司规章制度的员工，行政部经过调查并核实后，公司将予以辞退，这方面的规定将在下一章《奖惩》中叙述。</w:t>
      </w:r>
    </w:p>
    <w:p>
      <w:pPr>
        <w:widowControl/>
        <w:numPr>
          <w:ilvl w:val="0"/>
          <w:numId w:val="29"/>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辞职、辞退经过审批后，离职者须在离职之前完备离职手续。离职手续包括：</w:t>
      </w:r>
    </w:p>
    <w:p>
      <w:pPr>
        <w:widowControl/>
        <w:numPr>
          <w:ilvl w:val="0"/>
          <w:numId w:val="30"/>
        </w:numPr>
        <w:snapToGrid w:val="0"/>
        <w:ind w:firstLine="21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应办未办及已办未了的事项；</w:t>
      </w:r>
    </w:p>
    <w:p>
      <w:pPr>
        <w:widowControl/>
        <w:numPr>
          <w:ilvl w:val="0"/>
          <w:numId w:val="30"/>
        </w:numPr>
        <w:snapToGrid w:val="0"/>
        <w:ind w:firstLine="21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交接工作，并明确所经办业务项目的办事细则；</w:t>
      </w:r>
    </w:p>
    <w:p>
      <w:pPr>
        <w:widowControl/>
        <w:numPr>
          <w:ilvl w:val="0"/>
          <w:numId w:val="30"/>
        </w:numPr>
        <w:snapToGrid w:val="0"/>
        <w:ind w:firstLine="21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交还所有公司资料、文件、员工卡及其他公物；</w:t>
      </w:r>
    </w:p>
    <w:p>
      <w:pPr>
        <w:widowControl/>
        <w:numPr>
          <w:ilvl w:val="0"/>
          <w:numId w:val="30"/>
        </w:numPr>
        <w:snapToGrid w:val="0"/>
        <w:ind w:firstLine="21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退还公司宿舍及房内公物；</w:t>
      </w:r>
    </w:p>
    <w:p>
      <w:pPr>
        <w:widowControl/>
        <w:numPr>
          <w:ilvl w:val="0"/>
          <w:numId w:val="30"/>
        </w:numPr>
        <w:snapToGrid w:val="0"/>
        <w:ind w:firstLine="21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报销公司账目，归还公司欠款；</w:t>
      </w:r>
    </w:p>
    <w:p>
      <w:pPr>
        <w:widowControl/>
        <w:numPr>
          <w:ilvl w:val="0"/>
          <w:numId w:val="30"/>
        </w:numPr>
        <w:snapToGrid w:val="0"/>
        <w:ind w:firstLine="21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如果与公司签有其他协议，按其他协议约定办理；</w:t>
      </w:r>
    </w:p>
    <w:p>
      <w:pPr>
        <w:widowControl/>
        <w:numPr>
          <w:ilvl w:val="0"/>
          <w:numId w:val="30"/>
        </w:numPr>
        <w:snapToGrid w:val="0"/>
        <w:ind w:firstLine="21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离职手续完备后，公司向员工支付最后结算工资。</w:t>
      </w:r>
    </w:p>
    <w:p>
      <w:pPr>
        <w:widowControl/>
        <w:numPr>
          <w:ilvl w:val="0"/>
          <w:numId w:val="29"/>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移交应由员工亲自办理，如有特别原因，经核准可指定他人代为办理，所有一切责任仍由原移交人负责。</w:t>
      </w:r>
    </w:p>
    <w:p>
      <w:pPr>
        <w:widowControl/>
        <w:numPr>
          <w:ilvl w:val="0"/>
          <w:numId w:val="29"/>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员工的移交清单应由行政部妥善保存。</w:t>
      </w:r>
    </w:p>
    <w:p>
      <w:pPr>
        <w:widowControl/>
        <w:numPr>
          <w:ilvl w:val="0"/>
          <w:numId w:val="29"/>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逾期不移交或移交不清而导致公司财物缺少、损坏，致使公司蒙受其它损失的应负赔偿责任。</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0"/>
          <w:numId w:val="2"/>
        </w:numPr>
        <w:spacing w:line="720" w:lineRule="auto"/>
        <w:jc w:val="center"/>
        <w:outlineLvl w:val="0"/>
        <w:rPr>
          <w:rFonts w:hint="eastAsia" w:ascii="宋体" w:hAnsi="宋体" w:eastAsia="宋体" w:cs="宋体"/>
          <w:b/>
          <w:bCs/>
          <w:color w:val="auto"/>
          <w:kern w:val="36"/>
          <w:sz w:val="28"/>
          <w:szCs w:val="28"/>
        </w:rPr>
      </w:pPr>
      <w:bookmarkStart w:id="65" w:name="_Toc18912704"/>
      <w:bookmarkEnd w:id="65"/>
      <w:r>
        <w:rPr>
          <w:rFonts w:hint="eastAsia" w:ascii="SimHei" w:hAnsi="SimHei" w:eastAsia="黑体" w:cs="宋体"/>
          <w:b/>
          <w:bCs/>
          <w:color w:val="auto"/>
          <w:kern w:val="36"/>
          <w:sz w:val="28"/>
          <w:szCs w:val="28"/>
        </w:rPr>
        <w:t xml:space="preserve">  </w:t>
      </w:r>
      <w:bookmarkStart w:id="66" w:name="_Toc89057045"/>
      <w:r>
        <w:rPr>
          <w:rFonts w:hint="eastAsia" w:ascii="SimHei" w:hAnsi="SimHei" w:eastAsia="黑体" w:cs="宋体"/>
          <w:b/>
          <w:bCs/>
          <w:color w:val="auto"/>
          <w:kern w:val="36"/>
          <w:sz w:val="28"/>
          <w:szCs w:val="28"/>
        </w:rPr>
        <w:t>奖惩</w:t>
      </w:r>
      <w:bookmarkEnd w:id="66"/>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67" w:name="_Toc18912705"/>
      <w:bookmarkEnd w:id="67"/>
      <w:bookmarkStart w:id="68" w:name="_Toc89057046"/>
      <w:r>
        <w:rPr>
          <w:rFonts w:hint="eastAsia" w:ascii="SimHei" w:hAnsi="SimHei" w:eastAsia="黑体" w:cs="宋体"/>
          <w:b/>
          <w:bCs/>
          <w:color w:val="auto"/>
          <w:kern w:val="0"/>
          <w:sz w:val="28"/>
          <w:szCs w:val="28"/>
        </w:rPr>
        <w:t>奖励</w:t>
      </w:r>
      <w:bookmarkEnd w:id="68"/>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设有“优秀员工”，“销售冠军”奖项。在每个工作年度结束后，我们组织评选活动，对全年工作中表现优秀的员工给予各种形式的奖励，如奖金、晋升、培训、外出旅游等，以感谢他们对公司付出的热情和创造性的工作。</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您有以下之一的优秀表现，将得到及时的褒扬并参加“优秀员工”的评选。</w:t>
      </w:r>
    </w:p>
    <w:p>
      <w:pPr>
        <w:widowControl/>
        <w:numPr>
          <w:ilvl w:val="0"/>
          <w:numId w:val="31"/>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品德端正，工作努力，有出色或超常表现能够胜任现职以上职务的；</w:t>
      </w:r>
    </w:p>
    <w:p>
      <w:pPr>
        <w:widowControl/>
        <w:numPr>
          <w:ilvl w:val="0"/>
          <w:numId w:val="31"/>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忠于职守，积极负责，不断改进工作，业绩突出；</w:t>
      </w:r>
    </w:p>
    <w:p>
      <w:pPr>
        <w:widowControl/>
        <w:numPr>
          <w:ilvl w:val="0"/>
          <w:numId w:val="31"/>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对经营业务或管理制度提出有效合理化建议，得到采纳实施，并取得重大成果和显著成绩；</w:t>
      </w:r>
    </w:p>
    <w:p>
      <w:pPr>
        <w:widowControl/>
        <w:numPr>
          <w:ilvl w:val="0"/>
          <w:numId w:val="31"/>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为公司取得重大社会荣誉，或其他特殊贡献，足为员工表率；</w:t>
      </w:r>
    </w:p>
    <w:p>
      <w:pPr>
        <w:widowControl/>
        <w:numPr>
          <w:ilvl w:val="0"/>
          <w:numId w:val="31"/>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对于舞弊或有危害本公司权益之事，能事先发现或防止，而使公司减少或免受损失的。</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69" w:name="_Toc89057047"/>
      <w:bookmarkEnd w:id="69"/>
      <w:r>
        <w:rPr>
          <w:rFonts w:hint="eastAsia" w:ascii="SimHei" w:hAnsi="SimHei" w:eastAsia="黑体" w:cs="宋体"/>
          <w:b/>
          <w:bCs/>
          <w:color w:val="auto"/>
          <w:kern w:val="0"/>
          <w:sz w:val="28"/>
          <w:szCs w:val="28"/>
        </w:rPr>
        <w:t>惩处</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我们相信每一位员工都能有条理地、高水平地从事自己的工作，规章制度不能完全概括或代替员工们的良好判断和合作。但是获得一流的管理，纪律也是不可少的保证。出于对公司和员工利益的需要，公司制定了规则和规定。如果您违反了规定，产生有损于公司、客户和其他员工利益的行为，公司将对您进行惩处。</w:t>
      </w:r>
    </w:p>
    <w:p>
      <w:pPr>
        <w:widowControl/>
        <w:numPr>
          <w:ilvl w:val="0"/>
          <w:numId w:val="32"/>
        </w:numP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惩处类型</w:t>
      </w:r>
    </w:p>
    <w:p>
      <w:pPr>
        <w:widowControl/>
        <w:snapToGrid w:val="0"/>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惩处包括批评、记过、降级（降职）、辞退四种。</w:t>
      </w:r>
    </w:p>
    <w:p>
      <w:pPr>
        <w:widowControl/>
        <w:numPr>
          <w:ilvl w:val="0"/>
          <w:numId w:val="33"/>
        </w:numPr>
        <w:rPr>
          <w:rFonts w:hint="eastAsia" w:ascii="宋体" w:hAnsi="宋体" w:eastAsia="宋体" w:cs="宋体"/>
          <w:color w:val="auto"/>
          <w:kern w:val="0"/>
          <w:sz w:val="28"/>
          <w:szCs w:val="28"/>
        </w:rPr>
      </w:pPr>
      <w:bookmarkStart w:id="70" w:name="_Toc85269420"/>
      <w:bookmarkEnd w:id="70"/>
      <w:r>
        <w:rPr>
          <w:rFonts w:hint="eastAsia" w:ascii="SimHei" w:hAnsi="SimHei" w:eastAsia="黑体" w:cs="宋体"/>
          <w:color w:val="auto"/>
          <w:kern w:val="0"/>
          <w:sz w:val="28"/>
          <w:szCs w:val="28"/>
        </w:rPr>
        <w:t>批评</w:t>
      </w:r>
    </w:p>
    <w:p>
      <w:pPr>
        <w:widowControl/>
        <w:snapToGrid w:val="0"/>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员工有下列情形（但不限于）之一，予以批评：</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工作时间未经批准离岗或串岗闲谈；</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因个人过失发生工作错误，情节轻微；</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妨碍工作或公司秩序，情节轻微；</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不按规定着装；</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工作时间吃零食以及任何时间在办公区从事娱乐活动；</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对上级有指示或有期限的命令，无故未能如期完成；</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工作时间外出办私事或长时间接打私人电话。</w:t>
      </w:r>
    </w:p>
    <w:p>
      <w:pPr>
        <w:widowControl/>
        <w:numPr>
          <w:ilvl w:val="0"/>
          <w:numId w:val="33"/>
        </w:numPr>
        <w:rPr>
          <w:rFonts w:hint="eastAsia" w:ascii="宋体" w:hAnsi="宋体" w:eastAsia="宋体" w:cs="宋体"/>
          <w:color w:val="auto"/>
          <w:kern w:val="0"/>
          <w:sz w:val="28"/>
          <w:szCs w:val="28"/>
        </w:rPr>
      </w:pPr>
      <w:bookmarkStart w:id="71" w:name="_Toc85269421"/>
      <w:bookmarkEnd w:id="71"/>
      <w:r>
        <w:rPr>
          <w:rFonts w:hint="eastAsia" w:ascii="SimHei" w:hAnsi="SimHei" w:eastAsia="黑体" w:cs="宋体"/>
          <w:color w:val="auto"/>
          <w:kern w:val="0"/>
          <w:sz w:val="28"/>
          <w:szCs w:val="28"/>
        </w:rPr>
        <w:t>记过</w:t>
      </w:r>
    </w:p>
    <w:p>
      <w:pPr>
        <w:widowControl/>
        <w:snapToGrid w:val="0"/>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员工有下列情形（但不限于）之一，予以记过：</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玩忽职守，致使公司蒙受较大损失；</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损毁公司财物，造成较大损失；</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考核不公正，经查明属实；</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故意不服从主管上级的工作安排；</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累计受批评三次；</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道德行为不合社会规范，影响公司声誉；</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其他违反公司规定，情节严重。</w:t>
      </w:r>
    </w:p>
    <w:p>
      <w:pPr>
        <w:widowControl/>
        <w:numPr>
          <w:ilvl w:val="0"/>
          <w:numId w:val="33"/>
        </w:numPr>
        <w:rPr>
          <w:rFonts w:hint="eastAsia" w:ascii="宋体" w:hAnsi="宋体" w:eastAsia="宋体" w:cs="宋体"/>
          <w:color w:val="auto"/>
          <w:kern w:val="0"/>
          <w:sz w:val="28"/>
          <w:szCs w:val="28"/>
        </w:rPr>
      </w:pPr>
      <w:bookmarkStart w:id="72" w:name="_Toc85269422"/>
      <w:bookmarkEnd w:id="72"/>
      <w:r>
        <w:rPr>
          <w:rFonts w:hint="eastAsia" w:ascii="SimHei" w:hAnsi="SimHei" w:eastAsia="黑体" w:cs="宋体"/>
          <w:color w:val="auto"/>
          <w:kern w:val="0"/>
          <w:sz w:val="28"/>
          <w:szCs w:val="28"/>
        </w:rPr>
        <w:t>降级（降职）</w:t>
      </w:r>
    </w:p>
    <w:p>
      <w:pPr>
        <w:widowControl/>
        <w:snapToGrid w:val="0"/>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员工有下列情形（但不限于）之一，予以降级或降职：</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年度考核列末等</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有较大工作失误，给公司造成重大损失</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一年以上记过两次</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被确认不能胜任工作</w:t>
      </w:r>
    </w:p>
    <w:p>
      <w:pPr>
        <w:widowControl/>
        <w:numPr>
          <w:ilvl w:val="0"/>
          <w:numId w:val="33"/>
        </w:numPr>
        <w:rPr>
          <w:rFonts w:hint="eastAsia" w:ascii="宋体" w:hAnsi="宋体" w:eastAsia="宋体" w:cs="宋体"/>
          <w:color w:val="auto"/>
          <w:kern w:val="0"/>
          <w:sz w:val="28"/>
          <w:szCs w:val="28"/>
        </w:rPr>
      </w:pPr>
      <w:bookmarkStart w:id="73" w:name="_Toc85269423"/>
      <w:bookmarkEnd w:id="73"/>
      <w:r>
        <w:rPr>
          <w:rFonts w:hint="eastAsia" w:ascii="SimHei" w:hAnsi="SimHei" w:eastAsia="黑体" w:cs="宋体"/>
          <w:color w:val="auto"/>
          <w:kern w:val="0"/>
          <w:sz w:val="28"/>
          <w:szCs w:val="28"/>
        </w:rPr>
        <w:t>辞退</w:t>
      </w:r>
    </w:p>
    <w:p>
      <w:pPr>
        <w:widowControl/>
        <w:snapToGrid w:val="0"/>
        <w:ind w:firstLine="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员工有下列情形（但不限于）之一，予以辞退：</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连续旷工二日或累计旷工三日以上；</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盗窃公司或同事财物，经查明属实；</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无故损毁公司财物，损失重大或损毁公司重要文件；</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对同事暴力威胁，影响公司秩序；</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散播不利于公司的谣言或挑拨公司与员工之间的感情，情节严重；</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未经许可兼营与本公司同类业务或在其他公司兼职；</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一年中受“降级或降职”处分两次；</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向第三方或未授权方泄露公司机密，致使公司蒙受重大损失；</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营私舞弊，挪用公款，收受贿赂；</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利用公司名义在外招摇撞骗，使公司名誉受损；</w:t>
      </w:r>
    </w:p>
    <w:p>
      <w:pPr>
        <w:widowControl/>
        <w:numPr>
          <w:ilvl w:val="0"/>
          <w:numId w:val="34"/>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其他违反国家任何形式刑事法律、法规。</w:t>
      </w:r>
    </w:p>
    <w:p>
      <w:pPr>
        <w:widowControl/>
        <w:numPr>
          <w:ilvl w:val="0"/>
          <w:numId w:val="32"/>
        </w:numPr>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惩处程序</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任何惩处都必须按规定的程序进行：</w:t>
      </w:r>
    </w:p>
    <w:p>
      <w:pPr>
        <w:widowControl/>
        <w:numPr>
          <w:ilvl w:val="1"/>
          <w:numId w:val="32"/>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批评、记过由所有部门的负责人决定。各部门应及时将所有的证据材料交至行政部审核。</w:t>
      </w:r>
    </w:p>
    <w:p>
      <w:pPr>
        <w:widowControl/>
        <w:numPr>
          <w:ilvl w:val="1"/>
          <w:numId w:val="32"/>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降级（降职）、辞退由总经理决定。同时各部亦提交相关证据材料至行政部审核。</w:t>
      </w:r>
    </w:p>
    <w:p>
      <w:pPr>
        <w:widowControl/>
        <w:numPr>
          <w:ilvl w:val="1"/>
          <w:numId w:val="32"/>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对本手册未作直接规定的其他违纪行为的惩处，不论该行为的严重性如何，都应事先征求行政部的意见。</w:t>
      </w:r>
    </w:p>
    <w:p>
      <w:pPr>
        <w:widowControl/>
        <w:numPr>
          <w:ilvl w:val="1"/>
          <w:numId w:val="32"/>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由行政部通知员工本人并备案。</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每项惩处都应当通知受处分员工，并要求该员工签收，员工有权对惩处提出意见。</w:t>
      </w:r>
    </w:p>
    <w:p>
      <w:pPr>
        <w:widowControl/>
        <w:numPr>
          <w:ilvl w:val="1"/>
          <w:numId w:val="32"/>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受处分的员工或他人对工作不满意或对上级的任何指示、决定不服，可按照本条规定提出意见，但是员工不得以此为理由停止工作或停止履行职责。</w:t>
      </w:r>
    </w:p>
    <w:p>
      <w:pPr>
        <w:widowControl/>
        <w:numPr>
          <w:ilvl w:val="1"/>
          <w:numId w:val="32"/>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您应首先将意见及时告知您所在部门的负责人，部门负责人应力争解决。</w:t>
      </w:r>
    </w:p>
    <w:p>
      <w:pPr>
        <w:widowControl/>
        <w:numPr>
          <w:ilvl w:val="1"/>
          <w:numId w:val="32"/>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如部门负责人无法解决或您对其意见仍不满意，或未见有效措施，则您有权将问题直接提交至行政部，行政部将协调各方解决。</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0"/>
          <w:numId w:val="2"/>
        </w:numPr>
        <w:spacing w:line="720" w:lineRule="auto"/>
        <w:jc w:val="center"/>
        <w:outlineLvl w:val="0"/>
        <w:rPr>
          <w:rFonts w:hint="eastAsia" w:ascii="宋体" w:hAnsi="宋体" w:eastAsia="宋体" w:cs="宋体"/>
          <w:b/>
          <w:bCs/>
          <w:color w:val="auto"/>
          <w:kern w:val="36"/>
          <w:sz w:val="28"/>
          <w:szCs w:val="28"/>
        </w:rPr>
      </w:pPr>
      <w:bookmarkStart w:id="74" w:name="_Toc18912707"/>
      <w:bookmarkEnd w:id="74"/>
      <w:r>
        <w:rPr>
          <w:rFonts w:hint="eastAsia" w:ascii="SimHei" w:hAnsi="SimHei" w:eastAsia="黑体" w:cs="宋体"/>
          <w:b/>
          <w:bCs/>
          <w:color w:val="auto"/>
          <w:kern w:val="36"/>
          <w:sz w:val="28"/>
          <w:szCs w:val="28"/>
        </w:rPr>
        <w:t xml:space="preserve">  </w:t>
      </w:r>
      <w:bookmarkStart w:id="75" w:name="_Toc89057048"/>
      <w:r>
        <w:rPr>
          <w:rFonts w:hint="eastAsia" w:ascii="SimHei" w:hAnsi="SimHei" w:eastAsia="黑体" w:cs="宋体"/>
          <w:b/>
          <w:bCs/>
          <w:color w:val="auto"/>
          <w:kern w:val="36"/>
          <w:sz w:val="28"/>
          <w:szCs w:val="28"/>
        </w:rPr>
        <w:t>沟通</w:t>
      </w:r>
      <w:bookmarkEnd w:id="75"/>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鼓励员工与员工、上级与下级之间保持平等的对话。这种良好、融洽、坦诚的人际关系与交流沟通，保持了我们和谐、相互信任、共同进步的工作氛围，是我们高效协作的基础，而且使我们及时了解自己工作的得失，不断得到改进。</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76" w:name="_Toc89057049"/>
      <w:bookmarkEnd w:id="76"/>
      <w:r>
        <w:rPr>
          <w:rFonts w:hint="eastAsia" w:ascii="SimHei" w:hAnsi="SimHei" w:eastAsia="黑体" w:cs="宋体"/>
          <w:b/>
          <w:bCs/>
          <w:color w:val="auto"/>
          <w:kern w:val="0"/>
          <w:sz w:val="28"/>
          <w:szCs w:val="28"/>
        </w:rPr>
        <w:t>管理层的期望</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管理层期望员工认真、勤奋、积极地履行应尽职责。工作中如遇疑难问题，应及时与主管或有关同事沟通。无论是同事之间及公司与员工之间，都应建立起畅所欲言的沟通渠道，使虚心倾听意见批评成为一种风尚。</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77" w:name="_Toc89057050"/>
      <w:bookmarkEnd w:id="77"/>
      <w:r>
        <w:rPr>
          <w:rFonts w:hint="eastAsia" w:ascii="SimHei" w:hAnsi="SimHei" w:eastAsia="黑体" w:cs="宋体"/>
          <w:b/>
          <w:bCs/>
          <w:color w:val="auto"/>
          <w:kern w:val="0"/>
          <w:sz w:val="28"/>
          <w:szCs w:val="28"/>
        </w:rPr>
        <w:t>员工的期望</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管理阶层对员工有所期望，员工对管理阶层亦有所期待。员工的努力和贡献定会被公司承认。员工应努力尝试改进工作方法、提高工作效率，并积极为提高整个公司的服务质量和工作效率献计献策。公司除将为有突出贡献和出色表现的员工提供具有吸引力的报酬，还力求为员工提供良好的工作环境，工作的充实感和事业的成就感。</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78" w:name="_Toc89057051"/>
      <w:bookmarkEnd w:id="78"/>
      <w:r>
        <w:rPr>
          <w:rFonts w:hint="eastAsia" w:ascii="SimHei" w:hAnsi="SimHei" w:eastAsia="黑体" w:cs="宋体"/>
          <w:b/>
          <w:bCs/>
          <w:color w:val="auto"/>
          <w:kern w:val="0"/>
          <w:sz w:val="28"/>
          <w:szCs w:val="28"/>
        </w:rPr>
        <w:t>沟通</w:t>
      </w:r>
    </w:p>
    <w:p>
      <w:pPr>
        <w:widowControl/>
        <w:numPr>
          <w:ilvl w:val="0"/>
          <w:numId w:val="35"/>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员工会议</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以期用这样一个良好的沟通渠道提高员工对公司的归属，增强对员工的凝聚力。</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公司每三个月至少召开一次员工大会。员工大会的目地是更好地上情下达、鼓舞士气、表彰先进、部署计划。</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公司每年召开一次年会，旨在说明公司的经营、目标、政策、程序、存在的问题和行政事宜。</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驻外事务所的人员每年回总部举行一次会议或根据实际情况在驻地举行。也可由市场部经理或总经理到驻地不定期召开。</w:t>
      </w:r>
    </w:p>
    <w:p>
      <w:pPr>
        <w:widowControl/>
        <w:numPr>
          <w:ilvl w:val="0"/>
          <w:numId w:val="35"/>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座谈会</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座谈会是工作伙伴和管理层之间的小型非正式的讨论，目的在于探讨一些意见、建议和问题。这种会每季度一次或在管理层认为必要时召开，对工作伙伴来说这种座谈会是使他们的看法能让公司了解的机会。</w:t>
      </w:r>
    </w:p>
    <w:p>
      <w:pPr>
        <w:widowControl/>
        <w:numPr>
          <w:ilvl w:val="0"/>
          <w:numId w:val="35"/>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提议</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鼓励员工对公司提出批评或合理化建议，批评和建议是公司事业的成功的推动力。如果您对公司的发展、管理等问题有自己的看法和观点，无论是大的问题、小的细节公司都希望得到您的建议。行政部负责收集员工的合理化建议，并负责它们得到准确的传递。</w:t>
      </w:r>
    </w:p>
    <w:p>
      <w:pPr>
        <w:widowControl/>
        <w:numPr>
          <w:ilvl w:val="0"/>
          <w:numId w:val="35"/>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开放政策</w:t>
      </w:r>
    </w:p>
    <w:p>
      <w:pPr>
        <w:widowControl/>
        <w:snapToGrid w:val="0"/>
        <w:ind w:left="42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平时的及时沟通是解决问题的最佳办法。员工对工作内容或工作条件有任何异议，可通过合理途径向管理层反映。公司创造开放式的交流环境，欢迎员工与管理层个别交流。总经理亦鼓励员工有任何想法，均合理有效地运用此开放政策，开诚布公地解决存在的问题。如果您在工作中有任何无法解决的障碍，请不要犹豫积极与您的上级沟通。</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79" w:name="_Toc89057052"/>
      <w:bookmarkEnd w:id="79"/>
      <w:r>
        <w:rPr>
          <w:rFonts w:hint="eastAsia" w:ascii="SimHei" w:hAnsi="SimHei" w:eastAsia="黑体" w:cs="宋体"/>
          <w:b/>
          <w:bCs/>
          <w:color w:val="auto"/>
          <w:kern w:val="0"/>
          <w:sz w:val="28"/>
          <w:szCs w:val="28"/>
        </w:rPr>
        <w:t>申诉</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为确保劳动关系的公平，员工可就：</w:t>
      </w:r>
    </w:p>
    <w:p>
      <w:pPr>
        <w:widowControl/>
        <w:numPr>
          <w:ilvl w:val="0"/>
          <w:numId w:val="3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工作或劳动条件；</w:t>
      </w:r>
    </w:p>
    <w:p>
      <w:pPr>
        <w:widowControl/>
        <w:numPr>
          <w:ilvl w:val="0"/>
          <w:numId w:val="3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其他员工关系；</w:t>
      </w:r>
    </w:p>
    <w:p>
      <w:pPr>
        <w:widowControl/>
        <w:numPr>
          <w:ilvl w:val="0"/>
          <w:numId w:val="3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公司的经营管理措施；</w:t>
      </w:r>
    </w:p>
    <w:p>
      <w:pPr>
        <w:widowControl/>
        <w:numPr>
          <w:ilvl w:val="0"/>
          <w:numId w:val="36"/>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发现有违反公司各项规定的行为</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表示不满或投诉及申诉，可以向相关当事人或部门提出投诉。如果被投诉人或被投诉部门无法提供给您满意的解决意见，您的投诉会被逐级提交，以保证有明确的反馈。</w:t>
      </w:r>
    </w:p>
    <w:p>
      <w:pPr>
        <w:widowControl/>
        <w:numPr>
          <w:ilvl w:val="0"/>
          <w:numId w:val="3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投诉内容：</w:t>
      </w:r>
    </w:p>
    <w:p>
      <w:pPr>
        <w:widowControl/>
        <w:numPr>
          <w:ilvl w:val="1"/>
          <w:numId w:val="3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员工工作上出现疑虑或不可解决的问题；</w:t>
      </w:r>
    </w:p>
    <w:p>
      <w:pPr>
        <w:widowControl/>
        <w:numPr>
          <w:ilvl w:val="1"/>
          <w:numId w:val="3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员工对工作评估或惩处有异议或觉职务安排不当；</w:t>
      </w:r>
    </w:p>
    <w:p>
      <w:pPr>
        <w:widowControl/>
        <w:numPr>
          <w:ilvl w:val="1"/>
          <w:numId w:val="3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员工对公司的管理不满。</w:t>
      </w:r>
    </w:p>
    <w:p>
      <w:pPr>
        <w:widowControl/>
        <w:numPr>
          <w:ilvl w:val="0"/>
          <w:numId w:val="3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申诉程序：</w:t>
      </w:r>
    </w:p>
    <w:p>
      <w:pPr>
        <w:widowControl/>
        <w:numPr>
          <w:ilvl w:val="1"/>
          <w:numId w:val="3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员工应向其直接经理呈交一份书面投诉(说明时间，地点和他所面对的事件)。直接经理应在三天内书面答复解释其立场和判断基础；</w:t>
      </w:r>
    </w:p>
    <w:p>
      <w:pPr>
        <w:widowControl/>
        <w:numPr>
          <w:ilvl w:val="1"/>
          <w:numId w:val="3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如不能解决问题，应以书面转呈行政部主管，报告副本抄送总经理；</w:t>
      </w:r>
    </w:p>
    <w:p>
      <w:pPr>
        <w:widowControl/>
        <w:numPr>
          <w:ilvl w:val="1"/>
          <w:numId w:val="37"/>
        </w:numPr>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行政部应积极协调员工的部门经理就员工提出的投诉在七个工作日内答复员工，如部门主管不能解决问题，最终由总经理裁定。</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80" w:name="_Toc18912714"/>
      <w:bookmarkEnd w:id="80"/>
      <w:bookmarkStart w:id="81" w:name="_Toc89057053"/>
      <w:r>
        <w:rPr>
          <w:rFonts w:hint="eastAsia" w:ascii="SimHei" w:hAnsi="SimHei" w:eastAsia="黑体" w:cs="宋体"/>
          <w:b/>
          <w:bCs/>
          <w:color w:val="auto"/>
          <w:kern w:val="0"/>
          <w:sz w:val="28"/>
          <w:szCs w:val="28"/>
        </w:rPr>
        <w:t>员工活动</w:t>
      </w:r>
      <w:bookmarkEnd w:id="81"/>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公司时刻关心您的健康，为了丰富员工业余生活，增加员工对公司文化的认同感，公司提倡在紧张的工作之余获得积极的休息。公司根据员工建议适时组织各种娱乐、文体、郊游活动，这也是我们增进交流的好机会。</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0"/>
          <w:numId w:val="2"/>
        </w:numPr>
        <w:spacing w:line="720" w:lineRule="auto"/>
        <w:jc w:val="center"/>
        <w:outlineLvl w:val="0"/>
        <w:rPr>
          <w:rFonts w:hint="eastAsia" w:ascii="宋体" w:hAnsi="宋体" w:eastAsia="宋体" w:cs="宋体"/>
          <w:b/>
          <w:bCs/>
          <w:color w:val="auto"/>
          <w:kern w:val="36"/>
          <w:sz w:val="28"/>
          <w:szCs w:val="28"/>
        </w:rPr>
      </w:pPr>
      <w:bookmarkStart w:id="82" w:name="_Toc18912715"/>
      <w:bookmarkEnd w:id="82"/>
      <w:r>
        <w:rPr>
          <w:rFonts w:hint="eastAsia" w:ascii="SimHei" w:hAnsi="SimHei" w:eastAsia="黑体" w:cs="宋体"/>
          <w:b/>
          <w:bCs/>
          <w:color w:val="auto"/>
          <w:kern w:val="36"/>
          <w:sz w:val="28"/>
          <w:szCs w:val="28"/>
        </w:rPr>
        <w:t xml:space="preserve">  </w:t>
      </w:r>
      <w:bookmarkStart w:id="83" w:name="_Toc89057054"/>
      <w:r>
        <w:rPr>
          <w:rFonts w:hint="eastAsia" w:ascii="SimHei" w:hAnsi="SimHei" w:eastAsia="黑体" w:cs="宋体"/>
          <w:b/>
          <w:bCs/>
          <w:color w:val="auto"/>
          <w:kern w:val="36"/>
          <w:sz w:val="28"/>
          <w:szCs w:val="28"/>
        </w:rPr>
        <w:t>附则</w:t>
      </w:r>
      <w:bookmarkEnd w:id="83"/>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84" w:name="_Toc89057055"/>
      <w:bookmarkEnd w:id="84"/>
      <w:r>
        <w:rPr>
          <w:rFonts w:hint="eastAsia" w:ascii="SimHei" w:hAnsi="SimHei" w:eastAsia="黑体" w:cs="宋体"/>
          <w:b/>
          <w:bCs/>
          <w:color w:val="auto"/>
          <w:kern w:val="0"/>
          <w:sz w:val="28"/>
          <w:szCs w:val="28"/>
        </w:rPr>
        <w:t>更改与修订</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员工手册的任何更改与修订均由行政部执行。</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任何更改与修订，均以书面方式通知全体员工。</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重大更改与修订须经公司总经理批准。</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欢迎对本手册提出合理建议或批评。</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手册各项条文的最终解释权由总经理及行政部定判。</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 xml:space="preserve"> </w:t>
      </w:r>
    </w:p>
    <w:p>
      <w:pPr>
        <w:widowControl/>
        <w:numPr>
          <w:ilvl w:val="1"/>
          <w:numId w:val="2"/>
        </w:numPr>
        <w:spacing w:line="412" w:lineRule="auto"/>
        <w:outlineLvl w:val="1"/>
        <w:rPr>
          <w:rFonts w:hint="eastAsia" w:ascii="宋体" w:hAnsi="宋体" w:eastAsia="宋体" w:cs="宋体"/>
          <w:b/>
          <w:bCs/>
          <w:color w:val="auto"/>
          <w:kern w:val="0"/>
          <w:sz w:val="28"/>
          <w:szCs w:val="28"/>
        </w:rPr>
      </w:pPr>
      <w:bookmarkStart w:id="85" w:name="_Toc89057056"/>
      <w:bookmarkEnd w:id="85"/>
      <w:r>
        <w:rPr>
          <w:rFonts w:hint="eastAsia" w:ascii="SimHei" w:hAnsi="SimHei" w:eastAsia="黑体" w:cs="宋体"/>
          <w:b/>
          <w:bCs/>
          <w:color w:val="auto"/>
          <w:kern w:val="0"/>
          <w:sz w:val="28"/>
          <w:szCs w:val="28"/>
        </w:rPr>
        <w:t>承诺</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请各位员工详细阅读本手册，并承诺执行手册之各项规章、规则。</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若有任何异议请向行政部申诉。</w:t>
      </w:r>
    </w:p>
    <w:p>
      <w:pPr>
        <w:widowControl/>
        <w:snapToGrid w:val="0"/>
        <w:rPr>
          <w:rFonts w:hint="eastAsia" w:ascii="宋体" w:hAnsi="宋体" w:eastAsia="宋体" w:cs="宋体"/>
          <w:color w:val="auto"/>
          <w:kern w:val="0"/>
          <w:sz w:val="28"/>
          <w:szCs w:val="28"/>
        </w:rPr>
      </w:pPr>
      <w:r>
        <w:rPr>
          <w:rFonts w:hint="eastAsia" w:ascii="SimHei" w:hAnsi="SimHei" w:eastAsia="黑体" w:cs="宋体"/>
          <w:color w:val="auto"/>
          <w:kern w:val="0"/>
          <w:sz w:val="28"/>
          <w:szCs w:val="28"/>
        </w:rPr>
        <w:t>员工签署劳动合同时，即表示已承诺手册的全部条款。</w:t>
      </w:r>
    </w:p>
    <w:p>
      <w:pPr>
        <w:rPr>
          <w:rFonts w:hint="eastAsia" w:ascii="宋体" w:hAnsi="宋体" w:eastAsia="宋体" w:cs="宋体"/>
          <w:color w:val="auto"/>
          <w:sz w:val="28"/>
          <w:szCs w:val="28"/>
        </w:rPr>
      </w:pPr>
    </w:p>
    <w:p>
      <w:pPr>
        <w:rPr>
          <w:rFonts w:hint="eastAsia" w:ascii="宋体" w:hAnsi="宋体" w:eastAsia="宋体" w:cs="宋体"/>
          <w:color w:val="auto"/>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auto"/>
    <w:pitch w:val="default"/>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80FBC"/>
    <w:multiLevelType w:val="multilevel"/>
    <w:tmpl w:val="11580FBC"/>
    <w:lvl w:ilvl="0" w:tentative="0">
      <w:start w:val="1"/>
      <w:numFmt w:val="decimal"/>
      <w:lvlText w:val="%1."/>
      <w:lvlJc w:val="left"/>
      <w:pPr>
        <w:tabs>
          <w:tab w:val="left" w:pos="420"/>
        </w:tabs>
        <w:spacing w:beforeLines="0" w:beforeAutospacing="0" w:afterLines="0" w:afterAutospacing="0"/>
        <w:ind w:left="420" w:hanging="420"/>
      </w:pPr>
      <w:rPr>
        <w:rFonts w:hint="eastAsia" w:ascii="宋体" w:hAnsi="宋体" w:eastAsia="宋体"/>
      </w:rPr>
    </w:lvl>
    <w:lvl w:ilvl="1" w:tentative="0">
      <w:start w:val="1"/>
      <w:numFmt w:val="lowerLetter"/>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1">
    <w:nsid w:val="118E1D3B"/>
    <w:multiLevelType w:val="multilevel"/>
    <w:tmpl w:val="118E1D3B"/>
    <w:lvl w:ilvl="0" w:tentative="0">
      <w:start w:val="1"/>
      <w:numFmt w:val="decimal"/>
      <w:lvlText w:val="%1."/>
      <w:lvlJc w:val="left"/>
      <w:pPr>
        <w:tabs>
          <w:tab w:val="left" w:pos="420"/>
        </w:tabs>
        <w:spacing w:beforeLines="0" w:beforeAutospacing="0" w:afterLines="0" w:afterAutospacing="0"/>
        <w:ind w:left="420" w:hanging="420"/>
      </w:pPr>
      <w:rPr>
        <w:rFonts w:hint="eastAsia" w:ascii="宋体" w:hAnsi="宋体" w:eastAsia="宋体"/>
      </w:rPr>
    </w:lvl>
    <w:lvl w:ilvl="1" w:tentative="0">
      <w:start w:val="1"/>
      <w:numFmt w:val="lowerLetter"/>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2">
    <w:nsid w:val="12D6411C"/>
    <w:multiLevelType w:val="multilevel"/>
    <w:tmpl w:val="12D6411C"/>
    <w:lvl w:ilvl="0" w:tentative="0">
      <w:start w:val="1"/>
      <w:numFmt w:val="decimal"/>
      <w:lvlText w:val="%1."/>
      <w:lvlJc w:val="left"/>
      <w:pPr>
        <w:tabs>
          <w:tab w:val="left" w:pos="420"/>
        </w:tabs>
        <w:spacing w:beforeLines="0" w:beforeAutospacing="0" w:afterLines="0" w:afterAutospacing="0"/>
        <w:ind w:left="420" w:hanging="420"/>
      </w:pPr>
      <w:rPr>
        <w:rFonts w:hint="default" w:ascii="Times New Roman" w:hAnsi="Times New Roman" w:cs="Times New Roman"/>
      </w:rPr>
    </w:lvl>
    <w:lvl w:ilvl="1" w:tentative="0">
      <w:start w:val="1"/>
      <w:numFmt w:val="lowerLetter"/>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3">
    <w:nsid w:val="158371CB"/>
    <w:multiLevelType w:val="multilevel"/>
    <w:tmpl w:val="158371CB"/>
    <w:lvl w:ilvl="0" w:tentative="0">
      <w:start w:val="1"/>
      <w:numFmt w:val="bullet"/>
      <w:lvlText w:val=""/>
      <w:lvlJc w:val="left"/>
      <w:pPr>
        <w:tabs>
          <w:tab w:val="left" w:pos="420"/>
        </w:tabs>
        <w:spacing w:beforeLines="0" w:beforeAutospacing="0" w:afterLines="0" w:afterAutospacing="0"/>
        <w:ind w:left="420" w:hanging="420"/>
      </w:pPr>
      <w:rPr>
        <w:rFonts w:hint="default" w:ascii="Wingdings" w:hAnsi="Wingdings"/>
      </w:rPr>
    </w:lvl>
    <w:lvl w:ilvl="1" w:tentative="0">
      <w:start w:val="1"/>
      <w:numFmt w:val="bullet"/>
      <w:lvlText w:val=""/>
      <w:lvlJc w:val="left"/>
      <w:pPr>
        <w:tabs>
          <w:tab w:val="left" w:pos="840"/>
        </w:tabs>
        <w:spacing w:beforeLines="0" w:beforeAutospacing="0" w:afterLines="0" w:afterAutospacing="0"/>
        <w:ind w:left="840" w:hanging="420"/>
      </w:pPr>
      <w:rPr>
        <w:rFonts w:hint="default" w:ascii="Wingdings" w:hAnsi="Wingdings"/>
      </w:rPr>
    </w:lvl>
    <w:lvl w:ilvl="2" w:tentative="0">
      <w:start w:val="1"/>
      <w:numFmt w:val="bullet"/>
      <w:lvlText w:val=""/>
      <w:lvlJc w:val="left"/>
      <w:pPr>
        <w:tabs>
          <w:tab w:val="left" w:pos="1260"/>
        </w:tabs>
        <w:spacing w:beforeLines="0" w:beforeAutospacing="0" w:afterLines="0" w:afterAutospacing="0"/>
        <w:ind w:left="1260" w:hanging="420"/>
      </w:pPr>
      <w:rPr>
        <w:rFonts w:hint="default" w:ascii="Wingdings" w:hAnsi="Wingdings"/>
      </w:rPr>
    </w:lvl>
    <w:lvl w:ilvl="3" w:tentative="0">
      <w:start w:val="1"/>
      <w:numFmt w:val="bullet"/>
      <w:lvlText w:val=""/>
      <w:lvlJc w:val="left"/>
      <w:pPr>
        <w:tabs>
          <w:tab w:val="left" w:pos="1680"/>
        </w:tabs>
        <w:spacing w:beforeLines="0" w:beforeAutospacing="0" w:afterLines="0" w:afterAutospacing="0"/>
        <w:ind w:left="1680" w:hanging="420"/>
      </w:pPr>
      <w:rPr>
        <w:rFonts w:hint="default" w:ascii="Wingdings" w:hAnsi="Wingdings"/>
      </w:rPr>
    </w:lvl>
    <w:lvl w:ilvl="4" w:tentative="0">
      <w:start w:val="1"/>
      <w:numFmt w:val="bullet"/>
      <w:lvlText w:val=""/>
      <w:lvlJc w:val="left"/>
      <w:pPr>
        <w:tabs>
          <w:tab w:val="left" w:pos="2100"/>
        </w:tabs>
        <w:spacing w:beforeLines="0" w:beforeAutospacing="0" w:afterLines="0" w:afterAutospacing="0"/>
        <w:ind w:left="2100" w:hanging="420"/>
      </w:pPr>
      <w:rPr>
        <w:rFonts w:hint="default" w:ascii="Wingdings" w:hAnsi="Wingdings"/>
      </w:rPr>
    </w:lvl>
    <w:lvl w:ilvl="5" w:tentative="0">
      <w:start w:val="1"/>
      <w:numFmt w:val="bullet"/>
      <w:lvlText w:val=""/>
      <w:lvlJc w:val="left"/>
      <w:pPr>
        <w:tabs>
          <w:tab w:val="left" w:pos="2520"/>
        </w:tabs>
        <w:spacing w:beforeLines="0" w:beforeAutospacing="0" w:afterLines="0" w:afterAutospacing="0"/>
        <w:ind w:left="2520" w:hanging="420"/>
      </w:pPr>
      <w:rPr>
        <w:rFonts w:hint="default" w:ascii="Wingdings" w:hAnsi="Wingdings"/>
      </w:rPr>
    </w:lvl>
    <w:lvl w:ilvl="6" w:tentative="0">
      <w:start w:val="1"/>
      <w:numFmt w:val="bullet"/>
      <w:lvlText w:val=""/>
      <w:lvlJc w:val="left"/>
      <w:pPr>
        <w:tabs>
          <w:tab w:val="left" w:pos="2940"/>
        </w:tabs>
        <w:spacing w:beforeLines="0" w:beforeAutospacing="0" w:afterLines="0" w:afterAutospacing="0"/>
        <w:ind w:left="2940" w:hanging="420"/>
      </w:pPr>
      <w:rPr>
        <w:rFonts w:hint="default" w:ascii="Wingdings" w:hAnsi="Wingdings"/>
      </w:rPr>
    </w:lvl>
    <w:lvl w:ilvl="7" w:tentative="0">
      <w:start w:val="1"/>
      <w:numFmt w:val="bullet"/>
      <w:lvlText w:val=""/>
      <w:lvlJc w:val="left"/>
      <w:pPr>
        <w:tabs>
          <w:tab w:val="left" w:pos="3360"/>
        </w:tabs>
        <w:spacing w:beforeLines="0" w:beforeAutospacing="0" w:afterLines="0" w:afterAutospacing="0"/>
        <w:ind w:left="3360" w:hanging="420"/>
      </w:pPr>
      <w:rPr>
        <w:rFonts w:hint="default" w:ascii="Wingdings" w:hAnsi="Wingdings"/>
      </w:rPr>
    </w:lvl>
    <w:lvl w:ilvl="8" w:tentative="0">
      <w:start w:val="1"/>
      <w:numFmt w:val="bullet"/>
      <w:lvlText w:val=""/>
      <w:lvlJc w:val="left"/>
      <w:pPr>
        <w:tabs>
          <w:tab w:val="left" w:pos="3780"/>
        </w:tabs>
        <w:spacing w:beforeLines="0" w:beforeAutospacing="0" w:afterLines="0" w:afterAutospacing="0"/>
        <w:ind w:left="3780" w:hanging="420"/>
      </w:pPr>
      <w:rPr>
        <w:rFonts w:hint="default" w:ascii="Wingdings" w:hAnsi="Wingdings"/>
      </w:rPr>
    </w:lvl>
  </w:abstractNum>
  <w:abstractNum w:abstractNumId="4">
    <w:nsid w:val="166A24C1"/>
    <w:multiLevelType w:val="multilevel"/>
    <w:tmpl w:val="166A24C1"/>
    <w:lvl w:ilvl="0" w:tentative="0">
      <w:start w:val="1"/>
      <w:numFmt w:val="decimal"/>
      <w:lvlText w:val="%1)"/>
      <w:lvlJc w:val="left"/>
      <w:pPr>
        <w:tabs>
          <w:tab w:val="left" w:pos="420"/>
        </w:tabs>
        <w:spacing w:beforeLines="0" w:beforeAutospacing="0" w:afterLines="0" w:afterAutospacing="0"/>
        <w:ind w:left="420" w:hanging="420"/>
      </w:pPr>
      <w:rPr>
        <w:rFonts w:hint="default" w:ascii="Times New Roman" w:hAnsi="Times New Roman" w:cs="Times New Roman"/>
      </w:rPr>
    </w:lvl>
    <w:lvl w:ilvl="1" w:tentative="0">
      <w:start w:val="1"/>
      <w:numFmt w:val="bullet"/>
      <w:lvlText w:val=""/>
      <w:lvlJc w:val="left"/>
      <w:pPr>
        <w:tabs>
          <w:tab w:val="left" w:pos="840"/>
        </w:tabs>
        <w:spacing w:beforeLines="0" w:beforeAutospacing="0" w:afterLines="0" w:afterAutospacing="0"/>
        <w:ind w:left="840" w:hanging="420"/>
      </w:pPr>
      <w:rPr>
        <w:rFonts w:hint="default" w:ascii="Wingdings" w:hAnsi="Wingdings"/>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5">
    <w:nsid w:val="24185E25"/>
    <w:multiLevelType w:val="multilevel"/>
    <w:tmpl w:val="24185E25"/>
    <w:lvl w:ilvl="0" w:tentative="0">
      <w:start w:val="1"/>
      <w:numFmt w:val="bullet"/>
      <w:lvlText w:val=""/>
      <w:lvlJc w:val="left"/>
      <w:pPr>
        <w:tabs>
          <w:tab w:val="left" w:pos="780"/>
        </w:tabs>
        <w:spacing w:beforeLines="0" w:beforeAutospacing="0" w:afterLines="0" w:afterAutospacing="0"/>
        <w:ind w:left="780" w:hanging="420"/>
      </w:pPr>
      <w:rPr>
        <w:rFonts w:hint="default" w:ascii="Wingdings" w:hAnsi="Wingdings"/>
      </w:rPr>
    </w:lvl>
    <w:lvl w:ilvl="1" w:tentative="0">
      <w:start w:val="1"/>
      <w:numFmt w:val="bullet"/>
      <w:lvlText w:val=""/>
      <w:lvlJc w:val="left"/>
      <w:pPr>
        <w:tabs>
          <w:tab w:val="left" w:pos="1200"/>
        </w:tabs>
        <w:spacing w:beforeLines="0" w:beforeAutospacing="0" w:afterLines="0" w:afterAutospacing="0"/>
        <w:ind w:left="1200" w:hanging="420"/>
      </w:pPr>
      <w:rPr>
        <w:rFonts w:hint="default" w:ascii="Wingdings" w:hAnsi="Wingdings"/>
      </w:rPr>
    </w:lvl>
    <w:lvl w:ilvl="2" w:tentative="0">
      <w:start w:val="1"/>
      <w:numFmt w:val="bullet"/>
      <w:lvlText w:val=""/>
      <w:lvlJc w:val="left"/>
      <w:pPr>
        <w:tabs>
          <w:tab w:val="left" w:pos="1620"/>
        </w:tabs>
        <w:spacing w:beforeLines="0" w:beforeAutospacing="0" w:afterLines="0" w:afterAutospacing="0"/>
        <w:ind w:left="1620" w:hanging="420"/>
      </w:pPr>
      <w:rPr>
        <w:rFonts w:hint="default" w:ascii="Wingdings" w:hAnsi="Wingdings"/>
      </w:rPr>
    </w:lvl>
    <w:lvl w:ilvl="3" w:tentative="0">
      <w:start w:val="1"/>
      <w:numFmt w:val="bullet"/>
      <w:lvlText w:val=""/>
      <w:lvlJc w:val="left"/>
      <w:pPr>
        <w:tabs>
          <w:tab w:val="left" w:pos="2040"/>
        </w:tabs>
        <w:spacing w:beforeLines="0" w:beforeAutospacing="0" w:afterLines="0" w:afterAutospacing="0"/>
        <w:ind w:left="2040" w:hanging="420"/>
      </w:pPr>
      <w:rPr>
        <w:rFonts w:hint="default" w:ascii="Wingdings" w:hAnsi="Wingdings"/>
      </w:rPr>
    </w:lvl>
    <w:lvl w:ilvl="4" w:tentative="0">
      <w:start w:val="1"/>
      <w:numFmt w:val="bullet"/>
      <w:lvlText w:val=""/>
      <w:lvlJc w:val="left"/>
      <w:pPr>
        <w:tabs>
          <w:tab w:val="left" w:pos="2460"/>
        </w:tabs>
        <w:spacing w:beforeLines="0" w:beforeAutospacing="0" w:afterLines="0" w:afterAutospacing="0"/>
        <w:ind w:left="2460" w:hanging="420"/>
      </w:pPr>
      <w:rPr>
        <w:rFonts w:hint="default" w:ascii="Wingdings" w:hAnsi="Wingdings"/>
      </w:rPr>
    </w:lvl>
    <w:lvl w:ilvl="5" w:tentative="0">
      <w:start w:val="1"/>
      <w:numFmt w:val="bullet"/>
      <w:lvlText w:val=""/>
      <w:lvlJc w:val="left"/>
      <w:pPr>
        <w:tabs>
          <w:tab w:val="left" w:pos="2880"/>
        </w:tabs>
        <w:spacing w:beforeLines="0" w:beforeAutospacing="0" w:afterLines="0" w:afterAutospacing="0"/>
        <w:ind w:left="2880" w:hanging="420"/>
      </w:pPr>
      <w:rPr>
        <w:rFonts w:hint="default" w:ascii="Wingdings" w:hAnsi="Wingdings"/>
      </w:rPr>
    </w:lvl>
    <w:lvl w:ilvl="6" w:tentative="0">
      <w:start w:val="1"/>
      <w:numFmt w:val="bullet"/>
      <w:lvlText w:val=""/>
      <w:lvlJc w:val="left"/>
      <w:pPr>
        <w:tabs>
          <w:tab w:val="left" w:pos="3300"/>
        </w:tabs>
        <w:spacing w:beforeLines="0" w:beforeAutospacing="0" w:afterLines="0" w:afterAutospacing="0"/>
        <w:ind w:left="3300" w:hanging="420"/>
      </w:pPr>
      <w:rPr>
        <w:rFonts w:hint="default" w:ascii="Wingdings" w:hAnsi="Wingdings"/>
      </w:rPr>
    </w:lvl>
    <w:lvl w:ilvl="7" w:tentative="0">
      <w:start w:val="1"/>
      <w:numFmt w:val="bullet"/>
      <w:lvlText w:val=""/>
      <w:lvlJc w:val="left"/>
      <w:pPr>
        <w:tabs>
          <w:tab w:val="left" w:pos="3720"/>
        </w:tabs>
        <w:spacing w:beforeLines="0" w:beforeAutospacing="0" w:afterLines="0" w:afterAutospacing="0"/>
        <w:ind w:left="3720" w:hanging="420"/>
      </w:pPr>
      <w:rPr>
        <w:rFonts w:hint="default" w:ascii="Wingdings" w:hAnsi="Wingdings"/>
      </w:rPr>
    </w:lvl>
    <w:lvl w:ilvl="8" w:tentative="0">
      <w:start w:val="1"/>
      <w:numFmt w:val="bullet"/>
      <w:lvlText w:val=""/>
      <w:lvlJc w:val="left"/>
      <w:pPr>
        <w:tabs>
          <w:tab w:val="left" w:pos="4140"/>
        </w:tabs>
        <w:spacing w:beforeLines="0" w:beforeAutospacing="0" w:afterLines="0" w:afterAutospacing="0"/>
        <w:ind w:left="4140" w:hanging="420"/>
      </w:pPr>
      <w:rPr>
        <w:rFonts w:hint="default" w:ascii="Wingdings" w:hAnsi="Wingdings"/>
      </w:rPr>
    </w:lvl>
  </w:abstractNum>
  <w:abstractNum w:abstractNumId="6">
    <w:nsid w:val="26A24965"/>
    <w:multiLevelType w:val="multilevel"/>
    <w:tmpl w:val="26A24965"/>
    <w:lvl w:ilvl="0" w:tentative="0">
      <w:start w:val="1"/>
      <w:numFmt w:val="decimal"/>
      <w:lvlText w:val="%1."/>
      <w:lvlJc w:val="left"/>
      <w:pPr>
        <w:tabs>
          <w:tab w:val="left" w:pos="420"/>
        </w:tabs>
        <w:spacing w:beforeLines="0" w:beforeAutospacing="0" w:afterLines="0" w:afterAutospacing="0"/>
        <w:ind w:left="420" w:hanging="420"/>
      </w:pPr>
      <w:rPr>
        <w:rFonts w:hint="default" w:ascii="Times New Roman" w:hAnsi="Times New Roman" w:cs="Times New Roman"/>
      </w:rPr>
    </w:lvl>
    <w:lvl w:ilvl="1" w:tentative="0">
      <w:start w:val="1"/>
      <w:numFmt w:val="lowerLetter"/>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7">
    <w:nsid w:val="27034E37"/>
    <w:multiLevelType w:val="multilevel"/>
    <w:tmpl w:val="27034E37"/>
    <w:lvl w:ilvl="0" w:tentative="0">
      <w:start w:val="1"/>
      <w:numFmt w:val="bullet"/>
      <w:lvlText w:val=""/>
      <w:lvlJc w:val="left"/>
      <w:pPr>
        <w:tabs>
          <w:tab w:val="left" w:pos="420"/>
        </w:tabs>
        <w:spacing w:beforeLines="0" w:beforeAutospacing="0" w:afterLines="0" w:afterAutospacing="0"/>
        <w:ind w:left="420" w:hanging="420"/>
      </w:pPr>
      <w:rPr>
        <w:rFonts w:hint="default" w:ascii="Wingdings" w:hAnsi="Wingdings"/>
      </w:rPr>
    </w:lvl>
    <w:lvl w:ilvl="1" w:tentative="0">
      <w:start w:val="1"/>
      <w:numFmt w:val="bullet"/>
      <w:lvlText w:val=""/>
      <w:lvlJc w:val="left"/>
      <w:pPr>
        <w:tabs>
          <w:tab w:val="left" w:pos="840"/>
        </w:tabs>
        <w:spacing w:beforeLines="0" w:beforeAutospacing="0" w:afterLines="0" w:afterAutospacing="0"/>
        <w:ind w:left="840" w:hanging="420"/>
      </w:pPr>
      <w:rPr>
        <w:rFonts w:hint="default" w:ascii="Wingdings" w:hAnsi="Wingdings"/>
      </w:rPr>
    </w:lvl>
    <w:lvl w:ilvl="2" w:tentative="0">
      <w:start w:val="1"/>
      <w:numFmt w:val="bullet"/>
      <w:lvlText w:val=""/>
      <w:lvlJc w:val="left"/>
      <w:pPr>
        <w:tabs>
          <w:tab w:val="left" w:pos="1260"/>
        </w:tabs>
        <w:spacing w:beforeLines="0" w:beforeAutospacing="0" w:afterLines="0" w:afterAutospacing="0"/>
        <w:ind w:left="1260" w:hanging="420"/>
      </w:pPr>
      <w:rPr>
        <w:rFonts w:hint="default" w:ascii="Wingdings" w:hAnsi="Wingdings"/>
      </w:rPr>
    </w:lvl>
    <w:lvl w:ilvl="3" w:tentative="0">
      <w:start w:val="1"/>
      <w:numFmt w:val="bullet"/>
      <w:lvlText w:val=""/>
      <w:lvlJc w:val="left"/>
      <w:pPr>
        <w:tabs>
          <w:tab w:val="left" w:pos="1680"/>
        </w:tabs>
        <w:spacing w:beforeLines="0" w:beforeAutospacing="0" w:afterLines="0" w:afterAutospacing="0"/>
        <w:ind w:left="1680" w:hanging="420"/>
      </w:pPr>
      <w:rPr>
        <w:rFonts w:hint="default" w:ascii="Wingdings" w:hAnsi="Wingdings"/>
      </w:rPr>
    </w:lvl>
    <w:lvl w:ilvl="4" w:tentative="0">
      <w:start w:val="1"/>
      <w:numFmt w:val="bullet"/>
      <w:lvlText w:val=""/>
      <w:lvlJc w:val="left"/>
      <w:pPr>
        <w:tabs>
          <w:tab w:val="left" w:pos="2100"/>
        </w:tabs>
        <w:spacing w:beforeLines="0" w:beforeAutospacing="0" w:afterLines="0" w:afterAutospacing="0"/>
        <w:ind w:left="2100" w:hanging="420"/>
      </w:pPr>
      <w:rPr>
        <w:rFonts w:hint="default" w:ascii="Wingdings" w:hAnsi="Wingdings"/>
      </w:rPr>
    </w:lvl>
    <w:lvl w:ilvl="5" w:tentative="0">
      <w:start w:val="1"/>
      <w:numFmt w:val="bullet"/>
      <w:lvlText w:val=""/>
      <w:lvlJc w:val="left"/>
      <w:pPr>
        <w:tabs>
          <w:tab w:val="left" w:pos="2520"/>
        </w:tabs>
        <w:spacing w:beforeLines="0" w:beforeAutospacing="0" w:afterLines="0" w:afterAutospacing="0"/>
        <w:ind w:left="2520" w:hanging="420"/>
      </w:pPr>
      <w:rPr>
        <w:rFonts w:hint="default" w:ascii="Wingdings" w:hAnsi="Wingdings"/>
      </w:rPr>
    </w:lvl>
    <w:lvl w:ilvl="6" w:tentative="0">
      <w:start w:val="1"/>
      <w:numFmt w:val="bullet"/>
      <w:lvlText w:val=""/>
      <w:lvlJc w:val="left"/>
      <w:pPr>
        <w:tabs>
          <w:tab w:val="left" w:pos="2940"/>
        </w:tabs>
        <w:spacing w:beforeLines="0" w:beforeAutospacing="0" w:afterLines="0" w:afterAutospacing="0"/>
        <w:ind w:left="2940" w:hanging="420"/>
      </w:pPr>
      <w:rPr>
        <w:rFonts w:hint="default" w:ascii="Wingdings" w:hAnsi="Wingdings"/>
      </w:rPr>
    </w:lvl>
    <w:lvl w:ilvl="7" w:tentative="0">
      <w:start w:val="1"/>
      <w:numFmt w:val="bullet"/>
      <w:lvlText w:val=""/>
      <w:lvlJc w:val="left"/>
      <w:pPr>
        <w:tabs>
          <w:tab w:val="left" w:pos="3360"/>
        </w:tabs>
        <w:spacing w:beforeLines="0" w:beforeAutospacing="0" w:afterLines="0" w:afterAutospacing="0"/>
        <w:ind w:left="3360" w:hanging="420"/>
      </w:pPr>
      <w:rPr>
        <w:rFonts w:hint="default" w:ascii="Wingdings" w:hAnsi="Wingdings"/>
      </w:rPr>
    </w:lvl>
    <w:lvl w:ilvl="8" w:tentative="0">
      <w:start w:val="1"/>
      <w:numFmt w:val="bullet"/>
      <w:lvlText w:val=""/>
      <w:lvlJc w:val="left"/>
      <w:pPr>
        <w:tabs>
          <w:tab w:val="left" w:pos="3780"/>
        </w:tabs>
        <w:spacing w:beforeLines="0" w:beforeAutospacing="0" w:afterLines="0" w:afterAutospacing="0"/>
        <w:ind w:left="3780" w:hanging="420"/>
      </w:pPr>
      <w:rPr>
        <w:rFonts w:hint="default" w:ascii="Wingdings" w:hAnsi="Wingdings"/>
      </w:rPr>
    </w:lvl>
  </w:abstractNum>
  <w:abstractNum w:abstractNumId="8">
    <w:nsid w:val="28767F0F"/>
    <w:multiLevelType w:val="multilevel"/>
    <w:tmpl w:val="28767F0F"/>
    <w:lvl w:ilvl="0" w:tentative="0">
      <w:start w:val="1"/>
      <w:numFmt w:val="japaneseCounting"/>
      <w:lvlText w:val="第%1章"/>
      <w:lvlJc w:val="left"/>
      <w:pPr>
        <w:tabs>
          <w:tab w:val="left" w:pos="840"/>
        </w:tabs>
        <w:spacing w:beforeLines="0" w:beforeAutospacing="0" w:afterLines="0" w:afterAutospacing="0"/>
        <w:ind w:left="840" w:hanging="840"/>
      </w:pPr>
      <w:rPr>
        <w:rFonts w:hint="default" w:ascii="Times New Roman" w:hAnsi="Times New Roman" w:cs="Times New Roman"/>
      </w:rPr>
    </w:lvl>
    <w:lvl w:ilvl="1" w:tentative="0">
      <w:start w:val="1"/>
      <w:numFmt w:val="lowerLetter"/>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9">
    <w:nsid w:val="29014DAC"/>
    <w:multiLevelType w:val="multilevel"/>
    <w:tmpl w:val="29014DAC"/>
    <w:lvl w:ilvl="0" w:tentative="0">
      <w:start w:val="1"/>
      <w:numFmt w:val="bullet"/>
      <w:lvlText w:val=""/>
      <w:lvlJc w:val="left"/>
      <w:pPr>
        <w:tabs>
          <w:tab w:val="left" w:pos="420"/>
        </w:tabs>
        <w:spacing w:beforeLines="0" w:beforeAutospacing="0" w:afterLines="0" w:afterAutospacing="0"/>
        <w:ind w:left="420" w:hanging="420"/>
      </w:pPr>
      <w:rPr>
        <w:rFonts w:hint="default" w:ascii="Wingdings" w:hAnsi="Wingdings"/>
      </w:rPr>
    </w:lvl>
    <w:lvl w:ilvl="1" w:tentative="0">
      <w:start w:val="1"/>
      <w:numFmt w:val="decimal"/>
      <w:lvlText w:val="%2."/>
      <w:lvlJc w:val="left"/>
      <w:pPr>
        <w:tabs>
          <w:tab w:val="left" w:pos="780"/>
        </w:tabs>
        <w:spacing w:beforeLines="0" w:beforeAutospacing="0" w:afterLines="0" w:afterAutospacing="0"/>
        <w:ind w:left="780" w:hanging="36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10">
    <w:nsid w:val="2B2D1901"/>
    <w:multiLevelType w:val="multilevel"/>
    <w:tmpl w:val="2B2D1901"/>
    <w:lvl w:ilvl="0" w:tentative="0">
      <w:start w:val="1"/>
      <w:numFmt w:val="decimal"/>
      <w:lvlText w:val="%1)"/>
      <w:lvlJc w:val="left"/>
      <w:pPr>
        <w:tabs>
          <w:tab w:val="left" w:pos="585"/>
        </w:tabs>
        <w:spacing w:beforeLines="0" w:beforeAutospacing="0" w:afterLines="0" w:afterAutospacing="0"/>
        <w:ind w:left="585" w:hanging="420"/>
      </w:pPr>
      <w:rPr>
        <w:rFonts w:hint="default" w:ascii="Times New Roman" w:hAnsi="Times New Roman" w:cs="Times New Roman"/>
      </w:rPr>
    </w:lvl>
    <w:lvl w:ilvl="1" w:tentative="0">
      <w:start w:val="1"/>
      <w:numFmt w:val="lowerLetter"/>
      <w:lvlText w:val="%2)"/>
      <w:lvlJc w:val="left"/>
      <w:pPr>
        <w:tabs>
          <w:tab w:val="left" w:pos="1005"/>
        </w:tabs>
        <w:spacing w:beforeLines="0" w:beforeAutospacing="0" w:afterLines="0" w:afterAutospacing="0"/>
        <w:ind w:left="1005" w:hanging="420"/>
      </w:pPr>
      <w:rPr>
        <w:rFonts w:hint="default" w:ascii="Times New Roman" w:hAnsi="Times New Roman" w:cs="Times New Roman"/>
      </w:rPr>
    </w:lvl>
    <w:lvl w:ilvl="2" w:tentative="0">
      <w:start w:val="1"/>
      <w:numFmt w:val="lowerRoman"/>
      <w:lvlText w:val="%3."/>
      <w:lvlJc w:val="right"/>
      <w:pPr>
        <w:tabs>
          <w:tab w:val="left" w:pos="1425"/>
        </w:tabs>
        <w:spacing w:beforeLines="0" w:beforeAutospacing="0" w:afterLines="0" w:afterAutospacing="0"/>
        <w:ind w:left="1425" w:hanging="420"/>
      </w:pPr>
      <w:rPr>
        <w:rFonts w:hint="default" w:ascii="Times New Roman" w:hAnsi="Times New Roman" w:cs="Times New Roman"/>
      </w:rPr>
    </w:lvl>
    <w:lvl w:ilvl="3" w:tentative="0">
      <w:start w:val="1"/>
      <w:numFmt w:val="decimal"/>
      <w:lvlText w:val="%4."/>
      <w:lvlJc w:val="left"/>
      <w:pPr>
        <w:tabs>
          <w:tab w:val="left" w:pos="1845"/>
        </w:tabs>
        <w:spacing w:beforeLines="0" w:beforeAutospacing="0" w:afterLines="0" w:afterAutospacing="0"/>
        <w:ind w:left="1845" w:hanging="420"/>
      </w:pPr>
      <w:rPr>
        <w:rFonts w:hint="default" w:ascii="Times New Roman" w:hAnsi="Times New Roman" w:cs="Times New Roman"/>
      </w:rPr>
    </w:lvl>
    <w:lvl w:ilvl="4" w:tentative="0">
      <w:start w:val="1"/>
      <w:numFmt w:val="lowerLetter"/>
      <w:lvlText w:val="%5)"/>
      <w:lvlJc w:val="left"/>
      <w:pPr>
        <w:tabs>
          <w:tab w:val="left" w:pos="2265"/>
        </w:tabs>
        <w:spacing w:beforeLines="0" w:beforeAutospacing="0" w:afterLines="0" w:afterAutospacing="0"/>
        <w:ind w:left="2265" w:hanging="420"/>
      </w:pPr>
      <w:rPr>
        <w:rFonts w:hint="default" w:ascii="Times New Roman" w:hAnsi="Times New Roman" w:cs="Times New Roman"/>
      </w:rPr>
    </w:lvl>
    <w:lvl w:ilvl="5" w:tentative="0">
      <w:start w:val="1"/>
      <w:numFmt w:val="lowerRoman"/>
      <w:lvlText w:val="%6."/>
      <w:lvlJc w:val="right"/>
      <w:pPr>
        <w:tabs>
          <w:tab w:val="left" w:pos="2685"/>
        </w:tabs>
        <w:spacing w:beforeLines="0" w:beforeAutospacing="0" w:afterLines="0" w:afterAutospacing="0"/>
        <w:ind w:left="2685" w:hanging="420"/>
      </w:pPr>
      <w:rPr>
        <w:rFonts w:hint="default" w:ascii="Times New Roman" w:hAnsi="Times New Roman" w:cs="Times New Roman"/>
      </w:rPr>
    </w:lvl>
    <w:lvl w:ilvl="6" w:tentative="0">
      <w:start w:val="1"/>
      <w:numFmt w:val="decimal"/>
      <w:lvlText w:val="%7."/>
      <w:lvlJc w:val="left"/>
      <w:pPr>
        <w:tabs>
          <w:tab w:val="left" w:pos="3105"/>
        </w:tabs>
        <w:spacing w:beforeLines="0" w:beforeAutospacing="0" w:afterLines="0" w:afterAutospacing="0"/>
        <w:ind w:left="3105" w:hanging="420"/>
      </w:pPr>
      <w:rPr>
        <w:rFonts w:hint="default" w:ascii="Times New Roman" w:hAnsi="Times New Roman" w:cs="Times New Roman"/>
      </w:rPr>
    </w:lvl>
    <w:lvl w:ilvl="7" w:tentative="0">
      <w:start w:val="1"/>
      <w:numFmt w:val="lowerLetter"/>
      <w:lvlText w:val="%8)"/>
      <w:lvlJc w:val="left"/>
      <w:pPr>
        <w:tabs>
          <w:tab w:val="left" w:pos="3525"/>
        </w:tabs>
        <w:spacing w:beforeLines="0" w:beforeAutospacing="0" w:afterLines="0" w:afterAutospacing="0"/>
        <w:ind w:left="3525" w:hanging="420"/>
      </w:pPr>
      <w:rPr>
        <w:rFonts w:hint="default" w:ascii="Times New Roman" w:hAnsi="Times New Roman" w:cs="Times New Roman"/>
      </w:rPr>
    </w:lvl>
    <w:lvl w:ilvl="8" w:tentative="0">
      <w:start w:val="1"/>
      <w:numFmt w:val="lowerRoman"/>
      <w:lvlText w:val="%9."/>
      <w:lvlJc w:val="right"/>
      <w:pPr>
        <w:tabs>
          <w:tab w:val="left" w:pos="3945"/>
        </w:tabs>
        <w:spacing w:beforeLines="0" w:beforeAutospacing="0" w:afterLines="0" w:afterAutospacing="0"/>
        <w:ind w:left="3945" w:hanging="420"/>
      </w:pPr>
      <w:rPr>
        <w:rFonts w:hint="default" w:ascii="Times New Roman" w:hAnsi="Times New Roman" w:cs="Times New Roman"/>
      </w:rPr>
    </w:lvl>
  </w:abstractNum>
  <w:abstractNum w:abstractNumId="11">
    <w:nsid w:val="2B830C5D"/>
    <w:multiLevelType w:val="multilevel"/>
    <w:tmpl w:val="2B830C5D"/>
    <w:lvl w:ilvl="0" w:tentative="0">
      <w:start w:val="1"/>
      <w:numFmt w:val="decimal"/>
      <w:lvlText w:val="%1."/>
      <w:lvlJc w:val="left"/>
      <w:pPr>
        <w:tabs>
          <w:tab w:val="left" w:pos="420"/>
        </w:tabs>
        <w:spacing w:beforeLines="0" w:beforeAutospacing="0" w:afterLines="0" w:afterAutospacing="0"/>
        <w:ind w:left="420" w:hanging="420"/>
      </w:pPr>
      <w:rPr>
        <w:rFonts w:hint="default" w:ascii="Times New Roman" w:hAnsi="Times New Roman" w:cs="Times New Roman"/>
      </w:rPr>
    </w:lvl>
    <w:lvl w:ilvl="1" w:tentative="0">
      <w:start w:val="1"/>
      <w:numFmt w:val="bullet"/>
      <w:lvlText w:val=""/>
      <w:lvlJc w:val="left"/>
      <w:pPr>
        <w:tabs>
          <w:tab w:val="left" w:pos="840"/>
        </w:tabs>
        <w:spacing w:beforeLines="0" w:beforeAutospacing="0" w:afterLines="0" w:afterAutospacing="0"/>
        <w:ind w:left="840" w:hanging="420"/>
      </w:pPr>
      <w:rPr>
        <w:rFonts w:hint="default" w:ascii="Wingdings" w:hAnsi="Wingdings"/>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12">
    <w:nsid w:val="2CE747D7"/>
    <w:multiLevelType w:val="multilevel"/>
    <w:tmpl w:val="2CE747D7"/>
    <w:lvl w:ilvl="0" w:tentative="0">
      <w:start w:val="1"/>
      <w:numFmt w:val="decimal"/>
      <w:lvlText w:val="%1."/>
      <w:lvlJc w:val="left"/>
      <w:pPr>
        <w:tabs>
          <w:tab w:val="left" w:pos="420"/>
        </w:tabs>
        <w:spacing w:beforeLines="0" w:beforeAutospacing="0" w:afterLines="0" w:afterAutospacing="0"/>
        <w:ind w:left="420" w:hanging="420"/>
      </w:pPr>
      <w:rPr>
        <w:rFonts w:hint="default" w:ascii="Times New Roman" w:hAnsi="Times New Roman" w:cs="Times New Roman"/>
      </w:rPr>
    </w:lvl>
    <w:lvl w:ilvl="1" w:tentative="0">
      <w:start w:val="1"/>
      <w:numFmt w:val="bullet"/>
      <w:lvlText w:val=""/>
      <w:lvlJc w:val="left"/>
      <w:pPr>
        <w:tabs>
          <w:tab w:val="left" w:pos="840"/>
        </w:tabs>
        <w:spacing w:beforeLines="0" w:beforeAutospacing="0" w:afterLines="0" w:afterAutospacing="0"/>
        <w:ind w:left="840" w:hanging="420"/>
      </w:pPr>
      <w:rPr>
        <w:rFonts w:hint="default" w:ascii="Wingdings" w:hAnsi="Wingdings"/>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13">
    <w:nsid w:val="310A7CDA"/>
    <w:multiLevelType w:val="multilevel"/>
    <w:tmpl w:val="310A7CDA"/>
    <w:lvl w:ilvl="0" w:tentative="0">
      <w:start w:val="1"/>
      <w:numFmt w:val="decimal"/>
      <w:lvlText w:val="%1."/>
      <w:lvlJc w:val="left"/>
      <w:pPr>
        <w:tabs>
          <w:tab w:val="left" w:pos="420"/>
        </w:tabs>
        <w:spacing w:beforeLines="0" w:beforeAutospacing="0" w:afterLines="0" w:afterAutospacing="0"/>
        <w:ind w:left="420" w:hanging="420"/>
      </w:pPr>
      <w:rPr>
        <w:rFonts w:hint="default" w:ascii="Times New Roman" w:hAnsi="Times New Roman" w:cs="Times New Roman"/>
      </w:rPr>
    </w:lvl>
    <w:lvl w:ilvl="1" w:tentative="0">
      <w:start w:val="1"/>
      <w:numFmt w:val="lowerLetter"/>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14">
    <w:nsid w:val="374F21AB"/>
    <w:multiLevelType w:val="multilevel"/>
    <w:tmpl w:val="374F21AB"/>
    <w:lvl w:ilvl="0" w:tentative="0">
      <w:start w:val="1"/>
      <w:numFmt w:val="chineseCountingThousand"/>
      <w:suff w:val="nothing"/>
      <w:lvlText w:val="第%1章"/>
      <w:lvlJc w:val="left"/>
      <w:pPr>
        <w:spacing w:beforeLines="0" w:beforeAutospacing="0" w:afterLines="0" w:afterAutospacing="0"/>
        <w:ind w:left="0" w:firstLine="0"/>
      </w:pPr>
      <w:rPr>
        <w:rFonts w:hint="eastAsia" w:ascii="黑体" w:eastAsia="黑体"/>
        <w:b w:val="0"/>
        <w:bCs w:val="0"/>
        <w:i w:val="0"/>
        <w:iCs w:val="0"/>
      </w:rPr>
    </w:lvl>
    <w:lvl w:ilvl="1" w:tentative="0">
      <w:start w:val="1"/>
      <w:numFmt w:val="decimal"/>
      <w:suff w:val="nothing"/>
      <w:lvlText w:val="%2."/>
      <w:lvlJc w:val="left"/>
      <w:pPr>
        <w:ind w:left="1440" w:hanging="360"/>
      </w:pPr>
    </w:lvl>
    <w:lvl w:ilvl="2" w:tentative="0">
      <w:start w:val="1"/>
      <w:numFmt w:val="decimal"/>
      <w:suff w:val="nothing"/>
      <w:lvlText w:val="%3."/>
      <w:lvlJc w:val="left"/>
      <w:pPr>
        <w:ind w:left="2160" w:hanging="360"/>
      </w:pPr>
    </w:lvl>
    <w:lvl w:ilvl="3" w:tentative="0">
      <w:start w:val="1"/>
      <w:numFmt w:val="decimal"/>
      <w:suff w:val="nothing"/>
      <w:lvlText w:val="%4."/>
      <w:lvlJc w:val="left"/>
      <w:pPr>
        <w:ind w:left="2880" w:hanging="360"/>
      </w:pPr>
    </w:lvl>
    <w:lvl w:ilvl="4" w:tentative="0">
      <w:start w:val="1"/>
      <w:numFmt w:val="decimal"/>
      <w:suff w:val="nothing"/>
      <w:lvlText w:val="%5."/>
      <w:lvlJc w:val="left"/>
      <w:pPr>
        <w:ind w:left="3600" w:hanging="360"/>
      </w:pPr>
    </w:lvl>
    <w:lvl w:ilvl="5" w:tentative="0">
      <w:start w:val="1"/>
      <w:numFmt w:val="decimal"/>
      <w:suff w:val="nothing"/>
      <w:lvlText w:val="%6."/>
      <w:lvlJc w:val="left"/>
      <w:pPr>
        <w:ind w:left="4320" w:hanging="360"/>
      </w:pPr>
    </w:lvl>
    <w:lvl w:ilvl="6" w:tentative="0">
      <w:start w:val="1"/>
      <w:numFmt w:val="decimal"/>
      <w:suff w:val="nothing"/>
      <w:lvlText w:val="%7."/>
      <w:lvlJc w:val="left"/>
      <w:pPr>
        <w:ind w:left="5040" w:hanging="360"/>
      </w:pPr>
    </w:lvl>
    <w:lvl w:ilvl="7" w:tentative="0">
      <w:start w:val="1"/>
      <w:numFmt w:val="decimal"/>
      <w:suff w:val="nothing"/>
      <w:lvlText w:val="%8."/>
      <w:lvlJc w:val="left"/>
      <w:pPr>
        <w:ind w:left="5760" w:hanging="360"/>
      </w:pPr>
    </w:lvl>
    <w:lvl w:ilvl="8" w:tentative="0">
      <w:start w:val="1"/>
      <w:numFmt w:val="decimal"/>
      <w:suff w:val="nothing"/>
      <w:lvlText w:val="%9."/>
      <w:lvlJc w:val="left"/>
      <w:pPr>
        <w:ind w:left="6480" w:hanging="360"/>
      </w:pPr>
    </w:lvl>
  </w:abstractNum>
  <w:abstractNum w:abstractNumId="15">
    <w:nsid w:val="3E921939"/>
    <w:multiLevelType w:val="multilevel"/>
    <w:tmpl w:val="3E921939"/>
    <w:lvl w:ilvl="0" w:tentative="0">
      <w:start w:val="1"/>
      <w:numFmt w:val="decimal"/>
      <w:lvlText w:val="%1."/>
      <w:lvlJc w:val="left"/>
      <w:pPr>
        <w:tabs>
          <w:tab w:val="left" w:pos="420"/>
        </w:tabs>
        <w:spacing w:beforeLines="0" w:beforeAutospacing="0" w:afterLines="0" w:afterAutospacing="0"/>
        <w:ind w:left="420" w:hanging="420"/>
      </w:pPr>
      <w:rPr>
        <w:rFonts w:hint="default" w:ascii="Times New Roman" w:hAnsi="Times New Roman" w:cs="Times New Roman"/>
      </w:rPr>
    </w:lvl>
    <w:lvl w:ilvl="1" w:tentative="0">
      <w:start w:val="1"/>
      <w:numFmt w:val="lowerLetter"/>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16">
    <w:nsid w:val="48B750EF"/>
    <w:multiLevelType w:val="multilevel"/>
    <w:tmpl w:val="48B750EF"/>
    <w:lvl w:ilvl="0" w:tentative="0">
      <w:start w:val="1"/>
      <w:numFmt w:val="decimal"/>
      <w:lvlText w:val="%1."/>
      <w:lvlJc w:val="left"/>
      <w:pPr>
        <w:tabs>
          <w:tab w:val="left" w:pos="420"/>
        </w:tabs>
        <w:spacing w:beforeLines="0" w:beforeAutospacing="0" w:afterLines="0" w:afterAutospacing="0"/>
        <w:ind w:left="420" w:hanging="420"/>
      </w:pPr>
      <w:rPr>
        <w:rFonts w:hint="default" w:ascii="Times New Roman" w:hAnsi="Times New Roman" w:cs="Times New Roman"/>
      </w:rPr>
    </w:lvl>
    <w:lvl w:ilvl="1" w:tentative="0">
      <w:start w:val="1"/>
      <w:numFmt w:val="lowerLetter"/>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17">
    <w:nsid w:val="4F8C7EBA"/>
    <w:multiLevelType w:val="multilevel"/>
    <w:tmpl w:val="4F8C7EBA"/>
    <w:lvl w:ilvl="0" w:tentative="0">
      <w:start w:val="1"/>
      <w:numFmt w:val="decimal"/>
      <w:lvlText w:val="%1."/>
      <w:lvlJc w:val="left"/>
      <w:pPr>
        <w:tabs>
          <w:tab w:val="left" w:pos="420"/>
        </w:tabs>
        <w:spacing w:beforeLines="0" w:beforeAutospacing="0" w:afterLines="0" w:afterAutospacing="0"/>
        <w:ind w:left="420" w:hanging="420"/>
      </w:pPr>
      <w:rPr>
        <w:rFonts w:hint="eastAsia" w:ascii="宋体" w:hAnsi="宋体" w:eastAsia="宋体"/>
      </w:rPr>
    </w:lvl>
    <w:lvl w:ilvl="1" w:tentative="0">
      <w:start w:val="1"/>
      <w:numFmt w:val="lowerLetter"/>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18">
    <w:nsid w:val="5C2F3502"/>
    <w:multiLevelType w:val="multilevel"/>
    <w:tmpl w:val="5C2F3502"/>
    <w:lvl w:ilvl="0" w:tentative="0">
      <w:start w:val="1"/>
      <w:numFmt w:val="decimal"/>
      <w:lvlText w:val="%1."/>
      <w:lvlJc w:val="left"/>
      <w:pPr>
        <w:tabs>
          <w:tab w:val="left" w:pos="420"/>
        </w:tabs>
        <w:spacing w:beforeLines="0" w:beforeAutospacing="0" w:afterLines="0" w:afterAutospacing="0"/>
        <w:ind w:left="420" w:hanging="420"/>
      </w:pPr>
      <w:rPr>
        <w:rFonts w:hint="default" w:ascii="Times New Roman" w:hAnsi="Times New Roman" w:cs="Times New Roman"/>
      </w:rPr>
    </w:lvl>
    <w:lvl w:ilvl="1" w:tentative="0">
      <w:start w:val="1"/>
      <w:numFmt w:val="bullet"/>
      <w:lvlText w:val=""/>
      <w:lvlJc w:val="left"/>
      <w:pPr>
        <w:tabs>
          <w:tab w:val="left" w:pos="840"/>
        </w:tabs>
        <w:spacing w:beforeLines="0" w:beforeAutospacing="0" w:afterLines="0" w:afterAutospacing="0"/>
        <w:ind w:left="840" w:hanging="420"/>
      </w:pPr>
      <w:rPr>
        <w:rFonts w:hint="default" w:ascii="Wingdings" w:hAnsi="Wingdings"/>
      </w:rPr>
    </w:lvl>
    <w:lvl w:ilvl="2" w:tentative="0">
      <w:start w:val="1"/>
      <w:numFmt w:val="upperLetter"/>
      <w:lvlText w:val="%3．"/>
      <w:lvlJc w:val="left"/>
      <w:pPr>
        <w:tabs>
          <w:tab w:val="left" w:pos="1200"/>
        </w:tabs>
        <w:spacing w:beforeLines="0" w:beforeAutospacing="0" w:afterLines="0" w:afterAutospacing="0"/>
        <w:ind w:left="1200" w:hanging="360"/>
      </w:pPr>
      <w:rPr>
        <w:rFonts w:hint="eastAsia" w:ascii="宋体" w:hAnsi="宋体" w:eastAsia="宋体"/>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19">
    <w:nsid w:val="5DFD70BE"/>
    <w:multiLevelType w:val="multilevel"/>
    <w:tmpl w:val="5DFD70BE"/>
    <w:lvl w:ilvl="0" w:tentative="0">
      <w:start w:val="1"/>
      <w:numFmt w:val="bullet"/>
      <w:lvlText w:val=""/>
      <w:lvlJc w:val="left"/>
      <w:pPr>
        <w:tabs>
          <w:tab w:val="left" w:pos="420"/>
        </w:tabs>
        <w:spacing w:beforeLines="0" w:beforeAutospacing="0" w:afterLines="0" w:afterAutospacing="0"/>
        <w:ind w:left="420" w:hanging="420"/>
      </w:pPr>
      <w:rPr>
        <w:rFonts w:hint="default" w:ascii="Wingdings" w:hAnsi="Wingdings"/>
      </w:rPr>
    </w:lvl>
    <w:lvl w:ilvl="1" w:tentative="0">
      <w:start w:val="1"/>
      <w:numFmt w:val="lowerLetter"/>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20">
    <w:nsid w:val="5E135BF9"/>
    <w:multiLevelType w:val="multilevel"/>
    <w:tmpl w:val="5E135BF9"/>
    <w:lvl w:ilvl="0" w:tentative="0">
      <w:start w:val="1"/>
      <w:numFmt w:val="bullet"/>
      <w:lvlText w:val=""/>
      <w:lvlJc w:val="left"/>
      <w:pPr>
        <w:tabs>
          <w:tab w:val="left" w:pos="420"/>
        </w:tabs>
        <w:spacing w:beforeLines="0" w:beforeAutospacing="0" w:afterLines="0" w:afterAutospacing="0"/>
        <w:ind w:left="420" w:hanging="420"/>
      </w:pPr>
      <w:rPr>
        <w:rFonts w:hint="default" w:ascii="Wingdings" w:hAnsi="Wingdings"/>
      </w:rPr>
    </w:lvl>
    <w:lvl w:ilvl="1" w:tentative="0">
      <w:start w:val="1"/>
      <w:numFmt w:val="bullet"/>
      <w:lvlText w:val=""/>
      <w:lvlJc w:val="left"/>
      <w:pPr>
        <w:tabs>
          <w:tab w:val="left" w:pos="840"/>
        </w:tabs>
        <w:spacing w:beforeLines="0" w:beforeAutospacing="0" w:afterLines="0" w:afterAutospacing="0"/>
        <w:ind w:left="840" w:hanging="420"/>
      </w:pPr>
      <w:rPr>
        <w:rFonts w:hint="default" w:ascii="Wingdings" w:hAnsi="Wingdings"/>
      </w:rPr>
    </w:lvl>
    <w:lvl w:ilvl="2" w:tentative="0">
      <w:start w:val="1"/>
      <w:numFmt w:val="bullet"/>
      <w:lvlText w:val=""/>
      <w:lvlJc w:val="left"/>
      <w:pPr>
        <w:tabs>
          <w:tab w:val="left" w:pos="1260"/>
        </w:tabs>
        <w:spacing w:beforeLines="0" w:beforeAutospacing="0" w:afterLines="0" w:afterAutospacing="0"/>
        <w:ind w:left="1260" w:hanging="420"/>
      </w:pPr>
      <w:rPr>
        <w:rFonts w:hint="default" w:ascii="Wingdings" w:hAnsi="Wingdings"/>
      </w:rPr>
    </w:lvl>
    <w:lvl w:ilvl="3" w:tentative="0">
      <w:start w:val="1"/>
      <w:numFmt w:val="bullet"/>
      <w:lvlText w:val=""/>
      <w:lvlJc w:val="left"/>
      <w:pPr>
        <w:tabs>
          <w:tab w:val="left" w:pos="1680"/>
        </w:tabs>
        <w:spacing w:beforeLines="0" w:beforeAutospacing="0" w:afterLines="0" w:afterAutospacing="0"/>
        <w:ind w:left="1680" w:hanging="420"/>
      </w:pPr>
      <w:rPr>
        <w:rFonts w:hint="default" w:ascii="Wingdings" w:hAnsi="Wingdings"/>
      </w:rPr>
    </w:lvl>
    <w:lvl w:ilvl="4" w:tentative="0">
      <w:start w:val="1"/>
      <w:numFmt w:val="bullet"/>
      <w:lvlText w:val=""/>
      <w:lvlJc w:val="left"/>
      <w:pPr>
        <w:tabs>
          <w:tab w:val="left" w:pos="2100"/>
        </w:tabs>
        <w:spacing w:beforeLines="0" w:beforeAutospacing="0" w:afterLines="0" w:afterAutospacing="0"/>
        <w:ind w:left="2100" w:hanging="420"/>
      </w:pPr>
      <w:rPr>
        <w:rFonts w:hint="default" w:ascii="Wingdings" w:hAnsi="Wingdings"/>
      </w:rPr>
    </w:lvl>
    <w:lvl w:ilvl="5" w:tentative="0">
      <w:start w:val="1"/>
      <w:numFmt w:val="bullet"/>
      <w:lvlText w:val=""/>
      <w:lvlJc w:val="left"/>
      <w:pPr>
        <w:tabs>
          <w:tab w:val="left" w:pos="2520"/>
        </w:tabs>
        <w:spacing w:beforeLines="0" w:beforeAutospacing="0" w:afterLines="0" w:afterAutospacing="0"/>
        <w:ind w:left="2520" w:hanging="420"/>
      </w:pPr>
      <w:rPr>
        <w:rFonts w:hint="default" w:ascii="Wingdings" w:hAnsi="Wingdings"/>
      </w:rPr>
    </w:lvl>
    <w:lvl w:ilvl="6" w:tentative="0">
      <w:start w:val="1"/>
      <w:numFmt w:val="bullet"/>
      <w:lvlText w:val=""/>
      <w:lvlJc w:val="left"/>
      <w:pPr>
        <w:tabs>
          <w:tab w:val="left" w:pos="2940"/>
        </w:tabs>
        <w:spacing w:beforeLines="0" w:beforeAutospacing="0" w:afterLines="0" w:afterAutospacing="0"/>
        <w:ind w:left="2940" w:hanging="420"/>
      </w:pPr>
      <w:rPr>
        <w:rFonts w:hint="default" w:ascii="Wingdings" w:hAnsi="Wingdings"/>
      </w:rPr>
    </w:lvl>
    <w:lvl w:ilvl="7" w:tentative="0">
      <w:start w:val="1"/>
      <w:numFmt w:val="bullet"/>
      <w:lvlText w:val=""/>
      <w:lvlJc w:val="left"/>
      <w:pPr>
        <w:tabs>
          <w:tab w:val="left" w:pos="3360"/>
        </w:tabs>
        <w:spacing w:beforeLines="0" w:beforeAutospacing="0" w:afterLines="0" w:afterAutospacing="0"/>
        <w:ind w:left="3360" w:hanging="420"/>
      </w:pPr>
      <w:rPr>
        <w:rFonts w:hint="default" w:ascii="Wingdings" w:hAnsi="Wingdings"/>
      </w:rPr>
    </w:lvl>
    <w:lvl w:ilvl="8" w:tentative="0">
      <w:start w:val="1"/>
      <w:numFmt w:val="bullet"/>
      <w:lvlText w:val=""/>
      <w:lvlJc w:val="left"/>
      <w:pPr>
        <w:tabs>
          <w:tab w:val="left" w:pos="3780"/>
        </w:tabs>
        <w:spacing w:beforeLines="0" w:beforeAutospacing="0" w:afterLines="0" w:afterAutospacing="0"/>
        <w:ind w:left="3780" w:hanging="420"/>
      </w:pPr>
      <w:rPr>
        <w:rFonts w:hint="default" w:ascii="Wingdings" w:hAnsi="Wingdings"/>
      </w:rPr>
    </w:lvl>
  </w:abstractNum>
  <w:abstractNum w:abstractNumId="21">
    <w:nsid w:val="5E995886"/>
    <w:multiLevelType w:val="multilevel"/>
    <w:tmpl w:val="5E995886"/>
    <w:lvl w:ilvl="0" w:tentative="0">
      <w:start w:val="1"/>
      <w:numFmt w:val="bullet"/>
      <w:lvlText w:val=""/>
      <w:lvlJc w:val="left"/>
      <w:pPr>
        <w:tabs>
          <w:tab w:val="left" w:pos="420"/>
        </w:tabs>
        <w:spacing w:beforeLines="0" w:beforeAutospacing="0" w:afterLines="0" w:afterAutospacing="0"/>
        <w:ind w:left="420" w:hanging="420"/>
      </w:pPr>
      <w:rPr>
        <w:rFonts w:hint="default" w:ascii="Wingdings" w:hAnsi="Wingdings"/>
      </w:rPr>
    </w:lvl>
    <w:lvl w:ilvl="1" w:tentative="0">
      <w:start w:val="1"/>
      <w:numFmt w:val="lowerLetter"/>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22">
    <w:nsid w:val="5F7D7EBE"/>
    <w:multiLevelType w:val="multilevel"/>
    <w:tmpl w:val="5F7D7EBE"/>
    <w:lvl w:ilvl="0" w:tentative="0">
      <w:start w:val="1"/>
      <w:numFmt w:val="decimal"/>
      <w:lvlText w:val="%1."/>
      <w:lvlJc w:val="left"/>
      <w:pPr>
        <w:tabs>
          <w:tab w:val="left" w:pos="360"/>
        </w:tabs>
        <w:spacing w:beforeLines="0" w:beforeAutospacing="0" w:afterLines="0" w:afterAutospacing="0"/>
        <w:ind w:left="360" w:hanging="360"/>
      </w:pPr>
      <w:rPr>
        <w:rFonts w:hint="default" w:ascii="Times New Roman" w:hAnsi="Times New Roman" w:cs="Times New Roman"/>
      </w:rPr>
    </w:lvl>
    <w:lvl w:ilvl="1" w:tentative="0">
      <w:start w:val="1"/>
      <w:numFmt w:val="decimal"/>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23">
    <w:nsid w:val="60CF3EF4"/>
    <w:multiLevelType w:val="multilevel"/>
    <w:tmpl w:val="60CF3EF4"/>
    <w:lvl w:ilvl="0" w:tentative="0">
      <w:start w:val="1"/>
      <w:numFmt w:val="decimal"/>
      <w:lvlText w:val="%1."/>
      <w:lvlJc w:val="left"/>
      <w:pPr>
        <w:tabs>
          <w:tab w:val="left" w:pos="420"/>
        </w:tabs>
        <w:spacing w:beforeLines="0" w:beforeAutospacing="0" w:afterLines="0" w:afterAutospacing="0"/>
        <w:ind w:left="420" w:hanging="420"/>
      </w:pPr>
      <w:rPr>
        <w:rFonts w:hint="default" w:ascii="Times New Roman" w:hAnsi="Times New Roman" w:cs="Times New Roman"/>
      </w:rPr>
    </w:lvl>
    <w:lvl w:ilvl="1" w:tentative="0">
      <w:start w:val="1"/>
      <w:numFmt w:val="lowerLetter"/>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24">
    <w:nsid w:val="66FD3D29"/>
    <w:multiLevelType w:val="multilevel"/>
    <w:tmpl w:val="66FD3D29"/>
    <w:lvl w:ilvl="0" w:tentative="0">
      <w:start w:val="1"/>
      <w:numFmt w:val="bullet"/>
      <w:lvlText w:val=""/>
      <w:lvlJc w:val="left"/>
      <w:pPr>
        <w:tabs>
          <w:tab w:val="left" w:pos="420"/>
        </w:tabs>
        <w:spacing w:beforeLines="0" w:beforeAutospacing="0" w:afterLines="0" w:afterAutospacing="0"/>
        <w:ind w:left="420" w:hanging="420"/>
      </w:pPr>
      <w:rPr>
        <w:rFonts w:hint="default" w:ascii="Wingdings" w:hAnsi="Wingdings"/>
      </w:rPr>
    </w:lvl>
    <w:lvl w:ilvl="1" w:tentative="0">
      <w:start w:val="1"/>
      <w:numFmt w:val="lowerLetter"/>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25">
    <w:nsid w:val="6894393B"/>
    <w:multiLevelType w:val="multilevel"/>
    <w:tmpl w:val="6894393B"/>
    <w:lvl w:ilvl="0" w:tentative="0">
      <w:start w:val="1"/>
      <w:numFmt w:val="bullet"/>
      <w:lvlText w:val=""/>
      <w:lvlJc w:val="left"/>
      <w:pPr>
        <w:tabs>
          <w:tab w:val="left" w:pos="420"/>
        </w:tabs>
        <w:spacing w:beforeLines="0" w:beforeAutospacing="0" w:afterLines="0" w:afterAutospacing="0"/>
        <w:ind w:left="420" w:hanging="420"/>
      </w:pPr>
      <w:rPr>
        <w:rFonts w:hint="default" w:ascii="Wingdings" w:hAnsi="Wingdings"/>
      </w:rPr>
    </w:lvl>
    <w:lvl w:ilvl="1" w:tentative="0">
      <w:start w:val="1"/>
      <w:numFmt w:val="bullet"/>
      <w:lvlText w:val=""/>
      <w:lvlJc w:val="left"/>
      <w:pPr>
        <w:tabs>
          <w:tab w:val="left" w:pos="840"/>
        </w:tabs>
        <w:spacing w:beforeLines="0" w:beforeAutospacing="0" w:afterLines="0" w:afterAutospacing="0"/>
        <w:ind w:left="840" w:hanging="420"/>
      </w:pPr>
      <w:rPr>
        <w:rFonts w:hint="default" w:ascii="Wingdings" w:hAnsi="Wingdings"/>
      </w:rPr>
    </w:lvl>
    <w:lvl w:ilvl="2" w:tentative="0">
      <w:start w:val="1"/>
      <w:numFmt w:val="bullet"/>
      <w:lvlText w:val=""/>
      <w:lvlJc w:val="left"/>
      <w:pPr>
        <w:tabs>
          <w:tab w:val="left" w:pos="1260"/>
        </w:tabs>
        <w:spacing w:beforeLines="0" w:beforeAutospacing="0" w:afterLines="0" w:afterAutospacing="0"/>
        <w:ind w:left="1260" w:hanging="420"/>
      </w:pPr>
      <w:rPr>
        <w:rFonts w:hint="default" w:ascii="Wingdings" w:hAnsi="Wingdings"/>
      </w:rPr>
    </w:lvl>
    <w:lvl w:ilvl="3" w:tentative="0">
      <w:start w:val="1"/>
      <w:numFmt w:val="bullet"/>
      <w:lvlText w:val=""/>
      <w:lvlJc w:val="left"/>
      <w:pPr>
        <w:tabs>
          <w:tab w:val="left" w:pos="1680"/>
        </w:tabs>
        <w:spacing w:beforeLines="0" w:beforeAutospacing="0" w:afterLines="0" w:afterAutospacing="0"/>
        <w:ind w:left="1680" w:hanging="420"/>
      </w:pPr>
      <w:rPr>
        <w:rFonts w:hint="default" w:ascii="Wingdings" w:hAnsi="Wingdings"/>
      </w:rPr>
    </w:lvl>
    <w:lvl w:ilvl="4" w:tentative="0">
      <w:start w:val="1"/>
      <w:numFmt w:val="bullet"/>
      <w:lvlText w:val=""/>
      <w:lvlJc w:val="left"/>
      <w:pPr>
        <w:tabs>
          <w:tab w:val="left" w:pos="2100"/>
        </w:tabs>
        <w:spacing w:beforeLines="0" w:beforeAutospacing="0" w:afterLines="0" w:afterAutospacing="0"/>
        <w:ind w:left="2100" w:hanging="420"/>
      </w:pPr>
      <w:rPr>
        <w:rFonts w:hint="default" w:ascii="Wingdings" w:hAnsi="Wingdings"/>
      </w:rPr>
    </w:lvl>
    <w:lvl w:ilvl="5" w:tentative="0">
      <w:start w:val="1"/>
      <w:numFmt w:val="bullet"/>
      <w:lvlText w:val=""/>
      <w:lvlJc w:val="left"/>
      <w:pPr>
        <w:tabs>
          <w:tab w:val="left" w:pos="2520"/>
        </w:tabs>
        <w:spacing w:beforeLines="0" w:beforeAutospacing="0" w:afterLines="0" w:afterAutospacing="0"/>
        <w:ind w:left="2520" w:hanging="420"/>
      </w:pPr>
      <w:rPr>
        <w:rFonts w:hint="default" w:ascii="Wingdings" w:hAnsi="Wingdings"/>
      </w:rPr>
    </w:lvl>
    <w:lvl w:ilvl="6" w:tentative="0">
      <w:start w:val="1"/>
      <w:numFmt w:val="bullet"/>
      <w:lvlText w:val=""/>
      <w:lvlJc w:val="left"/>
      <w:pPr>
        <w:tabs>
          <w:tab w:val="left" w:pos="2940"/>
        </w:tabs>
        <w:spacing w:beforeLines="0" w:beforeAutospacing="0" w:afterLines="0" w:afterAutospacing="0"/>
        <w:ind w:left="2940" w:hanging="420"/>
      </w:pPr>
      <w:rPr>
        <w:rFonts w:hint="default" w:ascii="Wingdings" w:hAnsi="Wingdings"/>
      </w:rPr>
    </w:lvl>
    <w:lvl w:ilvl="7" w:tentative="0">
      <w:start w:val="1"/>
      <w:numFmt w:val="bullet"/>
      <w:lvlText w:val=""/>
      <w:lvlJc w:val="left"/>
      <w:pPr>
        <w:tabs>
          <w:tab w:val="left" w:pos="3360"/>
        </w:tabs>
        <w:spacing w:beforeLines="0" w:beforeAutospacing="0" w:afterLines="0" w:afterAutospacing="0"/>
        <w:ind w:left="3360" w:hanging="420"/>
      </w:pPr>
      <w:rPr>
        <w:rFonts w:hint="default" w:ascii="Wingdings" w:hAnsi="Wingdings"/>
      </w:rPr>
    </w:lvl>
    <w:lvl w:ilvl="8" w:tentative="0">
      <w:start w:val="1"/>
      <w:numFmt w:val="bullet"/>
      <w:lvlText w:val=""/>
      <w:lvlJc w:val="left"/>
      <w:pPr>
        <w:tabs>
          <w:tab w:val="left" w:pos="3780"/>
        </w:tabs>
        <w:spacing w:beforeLines="0" w:beforeAutospacing="0" w:afterLines="0" w:afterAutospacing="0"/>
        <w:ind w:left="3780" w:hanging="420"/>
      </w:pPr>
      <w:rPr>
        <w:rFonts w:hint="default" w:ascii="Wingdings" w:hAnsi="Wingdings"/>
      </w:rPr>
    </w:lvl>
  </w:abstractNum>
  <w:abstractNum w:abstractNumId="26">
    <w:nsid w:val="69024382"/>
    <w:multiLevelType w:val="multilevel"/>
    <w:tmpl w:val="69024382"/>
    <w:lvl w:ilvl="0" w:tentative="0">
      <w:start w:val="1"/>
      <w:numFmt w:val="bullet"/>
      <w:lvlText w:val=""/>
      <w:lvlJc w:val="left"/>
      <w:pPr>
        <w:tabs>
          <w:tab w:val="left" w:pos="420"/>
        </w:tabs>
        <w:spacing w:beforeLines="0" w:beforeAutospacing="0" w:afterLines="0" w:afterAutospacing="0"/>
        <w:ind w:left="420" w:hanging="420"/>
      </w:pPr>
      <w:rPr>
        <w:rFonts w:hint="default" w:ascii="Wingdings" w:hAnsi="Wingdings"/>
      </w:rPr>
    </w:lvl>
    <w:lvl w:ilvl="1" w:tentative="0">
      <w:start w:val="1"/>
      <w:numFmt w:val="bullet"/>
      <w:lvlText w:val=""/>
      <w:lvlJc w:val="left"/>
      <w:pPr>
        <w:tabs>
          <w:tab w:val="left" w:pos="840"/>
        </w:tabs>
        <w:spacing w:beforeLines="0" w:beforeAutospacing="0" w:afterLines="0" w:afterAutospacing="0"/>
        <w:ind w:left="840" w:hanging="420"/>
      </w:pPr>
      <w:rPr>
        <w:rFonts w:hint="default" w:ascii="Wingdings" w:hAnsi="Wingdings"/>
      </w:rPr>
    </w:lvl>
    <w:lvl w:ilvl="2" w:tentative="0">
      <w:start w:val="1"/>
      <w:numFmt w:val="bullet"/>
      <w:lvlText w:val=""/>
      <w:lvlJc w:val="left"/>
      <w:pPr>
        <w:tabs>
          <w:tab w:val="left" w:pos="1260"/>
        </w:tabs>
        <w:spacing w:beforeLines="0" w:beforeAutospacing="0" w:afterLines="0" w:afterAutospacing="0"/>
        <w:ind w:left="1260" w:hanging="420"/>
      </w:pPr>
      <w:rPr>
        <w:rFonts w:hint="default" w:ascii="Wingdings" w:hAnsi="Wingdings"/>
      </w:rPr>
    </w:lvl>
    <w:lvl w:ilvl="3" w:tentative="0">
      <w:start w:val="1"/>
      <w:numFmt w:val="bullet"/>
      <w:lvlText w:val=""/>
      <w:lvlJc w:val="left"/>
      <w:pPr>
        <w:tabs>
          <w:tab w:val="left" w:pos="1680"/>
        </w:tabs>
        <w:spacing w:beforeLines="0" w:beforeAutospacing="0" w:afterLines="0" w:afterAutospacing="0"/>
        <w:ind w:left="1680" w:hanging="420"/>
      </w:pPr>
      <w:rPr>
        <w:rFonts w:hint="default" w:ascii="Wingdings" w:hAnsi="Wingdings"/>
      </w:rPr>
    </w:lvl>
    <w:lvl w:ilvl="4" w:tentative="0">
      <w:start w:val="1"/>
      <w:numFmt w:val="bullet"/>
      <w:lvlText w:val=""/>
      <w:lvlJc w:val="left"/>
      <w:pPr>
        <w:tabs>
          <w:tab w:val="left" w:pos="2100"/>
        </w:tabs>
        <w:spacing w:beforeLines="0" w:beforeAutospacing="0" w:afterLines="0" w:afterAutospacing="0"/>
        <w:ind w:left="2100" w:hanging="420"/>
      </w:pPr>
      <w:rPr>
        <w:rFonts w:hint="default" w:ascii="Wingdings" w:hAnsi="Wingdings"/>
      </w:rPr>
    </w:lvl>
    <w:lvl w:ilvl="5" w:tentative="0">
      <w:start w:val="1"/>
      <w:numFmt w:val="bullet"/>
      <w:lvlText w:val=""/>
      <w:lvlJc w:val="left"/>
      <w:pPr>
        <w:tabs>
          <w:tab w:val="left" w:pos="2520"/>
        </w:tabs>
        <w:spacing w:beforeLines="0" w:beforeAutospacing="0" w:afterLines="0" w:afterAutospacing="0"/>
        <w:ind w:left="2520" w:hanging="420"/>
      </w:pPr>
      <w:rPr>
        <w:rFonts w:hint="default" w:ascii="Wingdings" w:hAnsi="Wingdings"/>
      </w:rPr>
    </w:lvl>
    <w:lvl w:ilvl="6" w:tentative="0">
      <w:start w:val="1"/>
      <w:numFmt w:val="bullet"/>
      <w:lvlText w:val=""/>
      <w:lvlJc w:val="left"/>
      <w:pPr>
        <w:tabs>
          <w:tab w:val="left" w:pos="2940"/>
        </w:tabs>
        <w:spacing w:beforeLines="0" w:beforeAutospacing="0" w:afterLines="0" w:afterAutospacing="0"/>
        <w:ind w:left="2940" w:hanging="420"/>
      </w:pPr>
      <w:rPr>
        <w:rFonts w:hint="default" w:ascii="Wingdings" w:hAnsi="Wingdings"/>
      </w:rPr>
    </w:lvl>
    <w:lvl w:ilvl="7" w:tentative="0">
      <w:start w:val="1"/>
      <w:numFmt w:val="bullet"/>
      <w:lvlText w:val=""/>
      <w:lvlJc w:val="left"/>
      <w:pPr>
        <w:tabs>
          <w:tab w:val="left" w:pos="3360"/>
        </w:tabs>
        <w:spacing w:beforeLines="0" w:beforeAutospacing="0" w:afterLines="0" w:afterAutospacing="0"/>
        <w:ind w:left="3360" w:hanging="420"/>
      </w:pPr>
      <w:rPr>
        <w:rFonts w:hint="default" w:ascii="Wingdings" w:hAnsi="Wingdings"/>
      </w:rPr>
    </w:lvl>
    <w:lvl w:ilvl="8" w:tentative="0">
      <w:start w:val="1"/>
      <w:numFmt w:val="bullet"/>
      <w:lvlText w:val=""/>
      <w:lvlJc w:val="left"/>
      <w:pPr>
        <w:tabs>
          <w:tab w:val="left" w:pos="3780"/>
        </w:tabs>
        <w:spacing w:beforeLines="0" w:beforeAutospacing="0" w:afterLines="0" w:afterAutospacing="0"/>
        <w:ind w:left="3780" w:hanging="420"/>
      </w:pPr>
      <w:rPr>
        <w:rFonts w:hint="default" w:ascii="Wingdings" w:hAnsi="Wingdings"/>
      </w:rPr>
    </w:lvl>
  </w:abstractNum>
  <w:abstractNum w:abstractNumId="27">
    <w:nsid w:val="690B05E6"/>
    <w:multiLevelType w:val="multilevel"/>
    <w:tmpl w:val="690B05E6"/>
    <w:lvl w:ilvl="0" w:tentative="0">
      <w:start w:val="1"/>
      <w:numFmt w:val="bullet"/>
      <w:lvlText w:val=""/>
      <w:lvlJc w:val="left"/>
      <w:pPr>
        <w:tabs>
          <w:tab w:val="left" w:pos="420"/>
        </w:tabs>
        <w:spacing w:beforeLines="0" w:beforeAutospacing="0" w:afterLines="0" w:afterAutospacing="0"/>
        <w:ind w:left="420" w:hanging="420"/>
      </w:pPr>
      <w:rPr>
        <w:rFonts w:hint="default" w:ascii="Wingdings" w:hAnsi="Wingdings"/>
      </w:rPr>
    </w:lvl>
    <w:lvl w:ilvl="1" w:tentative="0">
      <w:start w:val="1"/>
      <w:numFmt w:val="lowerLetter"/>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28">
    <w:nsid w:val="69E37675"/>
    <w:multiLevelType w:val="multilevel"/>
    <w:tmpl w:val="69E37675"/>
    <w:lvl w:ilvl="0" w:tentative="0">
      <w:start w:val="1"/>
      <w:numFmt w:val="decimal"/>
      <w:lvlText w:val="%1)"/>
      <w:lvlJc w:val="left"/>
      <w:pPr>
        <w:tabs>
          <w:tab w:val="left" w:pos="420"/>
        </w:tabs>
        <w:spacing w:beforeLines="0" w:beforeAutospacing="0" w:afterLines="0" w:afterAutospacing="0"/>
        <w:ind w:left="420" w:hanging="420"/>
      </w:pPr>
      <w:rPr>
        <w:rFonts w:hint="default" w:ascii="Times New Roman" w:hAnsi="Times New Roman" w:cs="Times New Roman"/>
      </w:rPr>
    </w:lvl>
    <w:lvl w:ilvl="1" w:tentative="0">
      <w:start w:val="1"/>
      <w:numFmt w:val="lowerLetter"/>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29">
    <w:nsid w:val="6A047076"/>
    <w:multiLevelType w:val="multilevel"/>
    <w:tmpl w:val="6A047076"/>
    <w:lvl w:ilvl="0" w:tentative="0">
      <w:start w:val="1"/>
      <w:numFmt w:val="decimal"/>
      <w:lvlText w:val="%1."/>
      <w:lvlJc w:val="left"/>
      <w:pPr>
        <w:tabs>
          <w:tab w:val="left" w:pos="420"/>
        </w:tabs>
        <w:spacing w:beforeLines="0" w:beforeAutospacing="0" w:afterLines="0" w:afterAutospacing="0"/>
        <w:ind w:left="420" w:hanging="420"/>
      </w:pPr>
      <w:rPr>
        <w:rFonts w:hint="default" w:ascii="Times New Roman" w:hAnsi="Times New Roman" w:cs="Times New Roman"/>
      </w:rPr>
    </w:lvl>
    <w:lvl w:ilvl="1" w:tentative="0">
      <w:start w:val="1"/>
      <w:numFmt w:val="lowerLetter"/>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30">
    <w:nsid w:val="714C4E45"/>
    <w:multiLevelType w:val="multilevel"/>
    <w:tmpl w:val="714C4E45"/>
    <w:lvl w:ilvl="0" w:tentative="0">
      <w:start w:val="1"/>
      <w:numFmt w:val="decimal"/>
      <w:lvlText w:val="%1."/>
      <w:lvlJc w:val="left"/>
      <w:pPr>
        <w:tabs>
          <w:tab w:val="left" w:pos="360"/>
        </w:tabs>
        <w:spacing w:beforeLines="0" w:beforeAutospacing="0" w:afterLines="0" w:afterAutospacing="0"/>
        <w:ind w:left="360" w:hanging="360"/>
      </w:pPr>
      <w:rPr>
        <w:rFonts w:hint="default" w:ascii="Times New Roman" w:hAnsi="Times New Roman" w:cs="Times New Roman"/>
      </w:rPr>
    </w:lvl>
    <w:lvl w:ilvl="1" w:tentative="0">
      <w:start w:val="1"/>
      <w:numFmt w:val="lowerLetter"/>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31">
    <w:nsid w:val="74717176"/>
    <w:multiLevelType w:val="multilevel"/>
    <w:tmpl w:val="74717176"/>
    <w:lvl w:ilvl="0" w:tentative="0">
      <w:start w:val="1"/>
      <w:numFmt w:val="decimal"/>
      <w:lvlText w:val="%1."/>
      <w:lvlJc w:val="left"/>
      <w:pPr>
        <w:tabs>
          <w:tab w:val="left" w:pos="420"/>
        </w:tabs>
        <w:spacing w:beforeLines="0" w:beforeAutospacing="0" w:afterLines="0" w:afterAutospacing="0"/>
        <w:ind w:left="420" w:hanging="420"/>
      </w:pPr>
      <w:rPr>
        <w:rFonts w:hint="default" w:ascii="Times New Roman" w:hAnsi="Times New Roman" w:cs="Times New Roman"/>
      </w:rPr>
    </w:lvl>
    <w:lvl w:ilvl="1" w:tentative="0">
      <w:start w:val="1"/>
      <w:numFmt w:val="decimal"/>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32">
    <w:nsid w:val="74AA6A54"/>
    <w:multiLevelType w:val="multilevel"/>
    <w:tmpl w:val="74AA6A54"/>
    <w:lvl w:ilvl="0" w:tentative="0">
      <w:start w:val="1"/>
      <w:numFmt w:val="decimal"/>
      <w:lvlText w:val="%1."/>
      <w:lvlJc w:val="left"/>
      <w:pPr>
        <w:tabs>
          <w:tab w:val="left" w:pos="360"/>
        </w:tabs>
        <w:spacing w:beforeLines="0" w:beforeAutospacing="0" w:afterLines="0" w:afterAutospacing="0"/>
        <w:ind w:left="360" w:hanging="360"/>
      </w:pPr>
      <w:rPr>
        <w:rFonts w:hint="default" w:ascii="Times New Roman" w:hAnsi="Times New Roman" w:cs="Times New Roman"/>
      </w:rPr>
    </w:lvl>
    <w:lvl w:ilvl="1" w:tentative="0">
      <w:start w:val="1"/>
      <w:numFmt w:val="decimal"/>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33">
    <w:nsid w:val="752C63AC"/>
    <w:multiLevelType w:val="multilevel"/>
    <w:tmpl w:val="752C63AC"/>
    <w:lvl w:ilvl="0" w:tentative="0">
      <w:start w:val="1"/>
      <w:numFmt w:val="decimal"/>
      <w:lvlText w:val="%1)"/>
      <w:lvlJc w:val="left"/>
      <w:pPr>
        <w:tabs>
          <w:tab w:val="left" w:pos="420"/>
        </w:tabs>
        <w:spacing w:beforeLines="0" w:beforeAutospacing="0" w:afterLines="0" w:afterAutospacing="0"/>
        <w:ind w:left="420" w:hanging="420"/>
      </w:pPr>
      <w:rPr>
        <w:rFonts w:hint="default" w:ascii="Times New Roman" w:hAnsi="Times New Roman" w:cs="Times New Roman"/>
      </w:rPr>
    </w:lvl>
    <w:lvl w:ilvl="1" w:tentative="0">
      <w:start w:val="1"/>
      <w:numFmt w:val="lowerLetter"/>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34">
    <w:nsid w:val="781219FF"/>
    <w:multiLevelType w:val="multilevel"/>
    <w:tmpl w:val="781219FF"/>
    <w:lvl w:ilvl="0" w:tentative="0">
      <w:start w:val="1"/>
      <w:numFmt w:val="decimal"/>
      <w:lvlText w:val="%1."/>
      <w:lvlJc w:val="left"/>
      <w:pPr>
        <w:tabs>
          <w:tab w:val="left" w:pos="420"/>
        </w:tabs>
        <w:spacing w:beforeLines="0" w:beforeAutospacing="0" w:afterLines="0" w:afterAutospacing="0"/>
        <w:ind w:left="420" w:hanging="420"/>
      </w:pPr>
      <w:rPr>
        <w:rFonts w:hint="default" w:ascii="Times New Roman" w:hAnsi="Times New Roman" w:cs="Times New Roman"/>
      </w:rPr>
    </w:lvl>
    <w:lvl w:ilvl="1" w:tentative="0">
      <w:start w:val="1"/>
      <w:numFmt w:val="lowerLetter"/>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35">
    <w:nsid w:val="7D282FD1"/>
    <w:multiLevelType w:val="multilevel"/>
    <w:tmpl w:val="7D282FD1"/>
    <w:lvl w:ilvl="0" w:tentative="0">
      <w:start w:val="1"/>
      <w:numFmt w:val="decimal"/>
      <w:lvlText w:val="%1."/>
      <w:lvlJc w:val="left"/>
      <w:pPr>
        <w:tabs>
          <w:tab w:val="left" w:pos="420"/>
        </w:tabs>
        <w:spacing w:beforeLines="0" w:beforeAutospacing="0" w:afterLines="0" w:afterAutospacing="0"/>
        <w:ind w:left="420" w:hanging="420"/>
      </w:pPr>
      <w:rPr>
        <w:rFonts w:hint="default" w:ascii="Times New Roman" w:hAnsi="Times New Roman" w:cs="Times New Roman"/>
      </w:rPr>
    </w:lvl>
    <w:lvl w:ilvl="1" w:tentative="0">
      <w:start w:val="1"/>
      <w:numFmt w:val="lowerLetter"/>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abstractNum w:abstractNumId="36">
    <w:nsid w:val="7F5A7B24"/>
    <w:multiLevelType w:val="multilevel"/>
    <w:tmpl w:val="7F5A7B24"/>
    <w:lvl w:ilvl="0" w:tentative="0">
      <w:start w:val="1"/>
      <w:numFmt w:val="decimal"/>
      <w:lvlText w:val="%1."/>
      <w:lvlJc w:val="left"/>
      <w:pPr>
        <w:tabs>
          <w:tab w:val="left" w:pos="420"/>
        </w:tabs>
        <w:spacing w:beforeLines="0" w:beforeAutospacing="0" w:afterLines="0" w:afterAutospacing="0"/>
        <w:ind w:left="420" w:hanging="420"/>
      </w:pPr>
      <w:rPr>
        <w:rFonts w:hint="default" w:ascii="Times New Roman" w:hAnsi="Times New Roman" w:cs="Times New Roman"/>
      </w:rPr>
    </w:lvl>
    <w:lvl w:ilvl="1" w:tentative="0">
      <w:start w:val="1"/>
      <w:numFmt w:val="decimal"/>
      <w:lvlText w:val="%2)"/>
      <w:lvlJc w:val="left"/>
      <w:pPr>
        <w:tabs>
          <w:tab w:val="left" w:pos="840"/>
        </w:tabs>
        <w:spacing w:beforeLines="0" w:beforeAutospacing="0" w:afterLines="0" w:afterAutospacing="0"/>
        <w:ind w:left="840" w:hanging="420"/>
      </w:pPr>
      <w:rPr>
        <w:rFonts w:hint="default" w:ascii="Times New Roman" w:hAnsi="Times New Roman" w:cs="Times New Roman"/>
      </w:rPr>
    </w:lvl>
    <w:lvl w:ilvl="2" w:tentative="0">
      <w:start w:val="1"/>
      <w:numFmt w:val="lowerRoman"/>
      <w:lvlText w:val="%3."/>
      <w:lvlJc w:val="right"/>
      <w:pPr>
        <w:tabs>
          <w:tab w:val="left" w:pos="1260"/>
        </w:tabs>
        <w:spacing w:beforeLines="0" w:beforeAutospacing="0" w:afterLines="0" w:afterAutospacing="0"/>
        <w:ind w:left="1260" w:hanging="420"/>
      </w:pPr>
      <w:rPr>
        <w:rFonts w:hint="default" w:ascii="Times New Roman" w:hAnsi="Times New Roman" w:cs="Times New Roman"/>
      </w:rPr>
    </w:lvl>
    <w:lvl w:ilvl="3" w:tentative="0">
      <w:start w:val="1"/>
      <w:numFmt w:val="decimal"/>
      <w:lvlText w:val="%4."/>
      <w:lvlJc w:val="left"/>
      <w:pPr>
        <w:tabs>
          <w:tab w:val="left" w:pos="1680"/>
        </w:tabs>
        <w:spacing w:beforeLines="0" w:beforeAutospacing="0" w:afterLines="0" w:afterAutospacing="0"/>
        <w:ind w:left="1680" w:hanging="420"/>
      </w:pPr>
      <w:rPr>
        <w:rFonts w:hint="default" w:ascii="Times New Roman" w:hAnsi="Times New Roman" w:cs="Times New Roman"/>
      </w:rPr>
    </w:lvl>
    <w:lvl w:ilvl="4" w:tentative="0">
      <w:start w:val="1"/>
      <w:numFmt w:val="lowerLetter"/>
      <w:lvlText w:val="%5)"/>
      <w:lvlJc w:val="left"/>
      <w:pPr>
        <w:tabs>
          <w:tab w:val="left" w:pos="2100"/>
        </w:tabs>
        <w:spacing w:beforeLines="0" w:beforeAutospacing="0" w:afterLines="0" w:afterAutospacing="0"/>
        <w:ind w:left="2100" w:hanging="420"/>
      </w:pPr>
      <w:rPr>
        <w:rFonts w:hint="default" w:ascii="Times New Roman" w:hAnsi="Times New Roman" w:cs="Times New Roman"/>
      </w:rPr>
    </w:lvl>
    <w:lvl w:ilvl="5" w:tentative="0">
      <w:start w:val="1"/>
      <w:numFmt w:val="lowerRoman"/>
      <w:lvlText w:val="%6."/>
      <w:lvlJc w:val="right"/>
      <w:pPr>
        <w:tabs>
          <w:tab w:val="left" w:pos="2520"/>
        </w:tabs>
        <w:spacing w:beforeLines="0" w:beforeAutospacing="0" w:afterLines="0" w:afterAutospacing="0"/>
        <w:ind w:left="2520" w:hanging="420"/>
      </w:pPr>
      <w:rPr>
        <w:rFonts w:hint="default" w:ascii="Times New Roman" w:hAnsi="Times New Roman" w:cs="Times New Roman"/>
      </w:rPr>
    </w:lvl>
    <w:lvl w:ilvl="6" w:tentative="0">
      <w:start w:val="1"/>
      <w:numFmt w:val="decimal"/>
      <w:lvlText w:val="%7."/>
      <w:lvlJc w:val="left"/>
      <w:pPr>
        <w:tabs>
          <w:tab w:val="left" w:pos="2940"/>
        </w:tabs>
        <w:spacing w:beforeLines="0" w:beforeAutospacing="0" w:afterLines="0" w:afterAutospacing="0"/>
        <w:ind w:left="2940" w:hanging="420"/>
      </w:pPr>
      <w:rPr>
        <w:rFonts w:hint="default" w:ascii="Times New Roman" w:hAnsi="Times New Roman" w:cs="Times New Roman"/>
      </w:rPr>
    </w:lvl>
    <w:lvl w:ilvl="7" w:tentative="0">
      <w:start w:val="1"/>
      <w:numFmt w:val="lowerLetter"/>
      <w:lvlText w:val="%8)"/>
      <w:lvlJc w:val="left"/>
      <w:pPr>
        <w:tabs>
          <w:tab w:val="left" w:pos="3360"/>
        </w:tabs>
        <w:spacing w:beforeLines="0" w:beforeAutospacing="0" w:afterLines="0" w:afterAutospacing="0"/>
        <w:ind w:left="3360" w:hanging="420"/>
      </w:pPr>
      <w:rPr>
        <w:rFonts w:hint="default" w:ascii="Times New Roman" w:hAnsi="Times New Roman" w:cs="Times New Roman"/>
      </w:rPr>
    </w:lvl>
    <w:lvl w:ilvl="8" w:tentative="0">
      <w:start w:val="1"/>
      <w:numFmt w:val="lowerRoman"/>
      <w:lvlText w:val="%9."/>
      <w:lvlJc w:val="right"/>
      <w:pPr>
        <w:tabs>
          <w:tab w:val="left" w:pos="3780"/>
        </w:tabs>
        <w:spacing w:beforeLines="0" w:beforeAutospacing="0" w:afterLines="0" w:afterAutospacing="0"/>
        <w:ind w:left="3780" w:hanging="420"/>
      </w:pPr>
      <w:rPr>
        <w:rFonts w:hint="default" w:ascii="Times New Roman" w:hAnsi="Times New Roman"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59344D"/>
    <w:rsid w:val="14CA0727"/>
    <w:rsid w:val="28E90E30"/>
    <w:rsid w:val="2E2A67A8"/>
    <w:rsid w:val="3759344D"/>
    <w:rsid w:val="3EF67CE5"/>
    <w:rsid w:val="40676EE1"/>
    <w:rsid w:val="58680FA7"/>
    <w:rsid w:val="5A5934CB"/>
    <w:rsid w:val="7BEA3D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16832</Words>
  <Characters>16988</Characters>
  <Lines>0</Lines>
  <Paragraphs>0</Paragraphs>
  <TotalTime>19</TotalTime>
  <ScaleCrop>false</ScaleCrop>
  <LinksUpToDate>false</LinksUpToDate>
  <CharactersWithSpaces>17113</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2019-10-29T06:25:00Z</dcterms:created>
  <dc:creator>向日葵</dc:creator>
  <cp:lastModifiedBy>Administrator</cp:lastModifiedBy>
  <dcterms:modified xsi:type="dcterms:W3CDTF">2019-10-29T08:16:24Z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y fmtid="{D5CDD505-2E9C-101B-9397-08002B2CF9AE}" pid="3" name="KSOTemplateUUID">
    <vt:lpwstr>v1.0_mb_SFxABWismUJ8rWmMr/hJkw==</vt:lpwstr>
  </property>
</Properties>
</file>