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hint="eastAsia" w:ascii="汉仪中圆简" w:hAnsi="汉仪中圆简" w:eastAsia="汉仪中圆简" w:cs="汉仪中圆简"/>
          <w:b/>
          <w:bCs/>
          <w:color w:val="0D0D0D" w:themeColor="text1" w:themeTint="F2"/>
          <w:sz w:val="48"/>
          <w:szCs w:val="48"/>
          <w:lang w:eastAsia="zh-CN"/>
          <w14:textFill>
            <w14:solidFill>
              <w14:schemeClr w14:val="tx1">
                <w14:lumMod w14:val="95000"/>
                <w14:lumOff w14:val="5000"/>
              </w14:schemeClr>
            </w14:solidFill>
          </w14:textFill>
        </w:rPr>
      </w:pPr>
      <w:r>
        <w:rPr>
          <w:rFonts w:hint="eastAsia" w:ascii="SimHei" w:hAnsi="SimHei" w:eastAsia="黑体" w:cs="汉仪中圆简"/>
          <w:b/>
          <w:bCs/>
          <w:color w:val="0D0D0D" w:themeColor="text1" w:themeTint="F2"/>
          <w:sz w:val="48"/>
          <w:szCs w:val="48"/>
          <w:lang w:val="en-US" w:eastAsia="zh-CN"/>
          <w14:textFill>
            <w14:solidFill>
              <w14:schemeClr w14:val="tx1">
                <w14:lumMod w14:val="95000"/>
                <w14:lumOff w14:val="5000"/>
              </w14:schemeClr>
            </w14:solidFill>
          </w14:textFill>
        </w:rPr>
        <w:t>公司企业</w:t>
      </w:r>
      <w:r>
        <w:rPr>
          <w:rFonts w:hint="eastAsia" w:ascii="SimHei" w:hAnsi="SimHei" w:eastAsia="黑体" w:cs="汉仪中圆简"/>
          <w:b/>
          <w:bCs/>
          <w:color w:val="0D0D0D" w:themeColor="text1" w:themeTint="F2"/>
          <w:sz w:val="48"/>
          <w:szCs w:val="48"/>
          <w14:textFill>
            <w14:solidFill>
              <w14:schemeClr w14:val="tx1">
                <w14:lumMod w14:val="95000"/>
                <w14:lumOff w14:val="5000"/>
              </w14:schemeClr>
            </w14:solidFill>
          </w14:textFill>
        </w:rPr>
        <w:t>员工手册</w:t>
      </w:r>
      <w:r>
        <w:rPr>
          <w:rFonts w:hint="eastAsia" w:ascii="SimHei" w:hAnsi="SimHei" w:eastAsia="黑体" w:cs="汉仪中圆简"/>
          <w:b/>
          <w:bCs/>
          <w:color w:val="0D0D0D" w:themeColor="text1" w:themeTint="F2"/>
          <w:sz w:val="48"/>
          <w:szCs w:val="48"/>
          <w:lang w:eastAsia="zh-CN"/>
          <w14:textFill>
            <w14:solidFill>
              <w14:schemeClr w14:val="tx1">
                <w14:lumMod w14:val="95000"/>
                <w14:lumOff w14:val="5000"/>
              </w14:schemeClr>
            </w14:solidFill>
          </w14:textFill>
        </w:rPr>
        <w:t>（</w:t>
      </w:r>
      <w:r>
        <w:rPr>
          <w:rFonts w:hint="eastAsia" w:ascii="SimHei" w:hAnsi="SimHei" w:eastAsia="黑体" w:cs="汉仪中圆简"/>
          <w:b/>
          <w:bCs/>
          <w:color w:val="0D0D0D" w:themeColor="text1" w:themeTint="F2"/>
          <w:sz w:val="48"/>
          <w:szCs w:val="48"/>
          <w:lang w:val="en-US" w:eastAsia="zh-CN"/>
          <w14:textFill>
            <w14:solidFill>
              <w14:schemeClr w14:val="tx1">
                <w14:lumMod w14:val="95000"/>
                <w14:lumOff w14:val="5000"/>
              </w14:schemeClr>
            </w14:solidFill>
          </w14:textFill>
        </w:rPr>
        <w:t>完整版</w:t>
      </w:r>
      <w:r>
        <w:rPr>
          <w:rFonts w:hint="eastAsia" w:ascii="SimHei" w:hAnsi="SimHei" w:eastAsia="黑体" w:cs="汉仪中圆简"/>
          <w:b/>
          <w:bCs/>
          <w:color w:val="0D0D0D" w:themeColor="text1" w:themeTint="F2"/>
          <w:sz w:val="48"/>
          <w:szCs w:val="48"/>
          <w:lang w:eastAsia="zh-CN"/>
          <w14:textFill>
            <w14:solidFill>
              <w14:schemeClr w14:val="tx1">
                <w14:lumMod w14:val="95000"/>
                <w14:lumOff w14:val="5000"/>
              </w14:schemeClr>
            </w14:solidFill>
          </w14:textFill>
        </w:rPr>
        <w:t>）</w:t>
      </w:r>
    </w:p>
    <w:p>
      <w:pPr>
        <w:spacing w:line="500" w:lineRule="exact"/>
        <w:jc w:val="center"/>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编制：</w:t>
      </w:r>
      <w:r>
        <w:rPr>
          <w:rFonts w:hint="eastAsia" w:ascii="SimHei" w:hAnsi="SimHei" w:eastAsia="黑体" w:cs="汉仪中圆简"/>
          <w:color w:val="0D0D0D" w:themeColor="text1" w:themeTint="F2"/>
          <w:sz w:val="24"/>
          <w:lang w:eastAsia="zh-CN"/>
          <w14:textFill>
            <w14:solidFill>
              <w14:schemeClr w14:val="tx1">
                <w14:lumMod w14:val="95000"/>
                <w14:lumOff w14:val="5000"/>
              </w14:schemeClr>
            </w14:solidFill>
          </w14:textFill>
        </w:rPr>
        <w:t>_____</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管理案例研究中心</w:t>
      </w:r>
    </w:p>
    <w:p>
      <w:pPr>
        <w:spacing w:line="500" w:lineRule="exact"/>
        <w:jc w:val="center"/>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20</w:t>
      </w:r>
      <w:r>
        <w:rPr>
          <w:rFonts w:hint="eastAsia" w:ascii="SimHei" w:hAnsi="SimHei" w:eastAsia="黑体" w:cs="汉仪中圆简"/>
          <w:color w:val="0D0D0D" w:themeColor="text1" w:themeTint="F2"/>
          <w:sz w:val="24"/>
          <w:lang w:eastAsia="zh-CN"/>
          <w14:textFill>
            <w14:solidFill>
              <w14:schemeClr w14:val="tx1">
                <w14:lumMod w14:val="95000"/>
                <w14:lumOff w14:val="5000"/>
              </w14:schemeClr>
            </w14:solidFill>
          </w14:textFill>
        </w:rPr>
        <w:t>__</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年</w:t>
      </w:r>
      <w:r>
        <w:rPr>
          <w:rFonts w:hint="eastAsia" w:ascii="SimHei" w:hAnsi="SimHei" w:eastAsia="黑体" w:cs="汉仪中圆简"/>
          <w:color w:val="0D0D0D" w:themeColor="text1" w:themeTint="F2"/>
          <w:sz w:val="24"/>
          <w:lang w:eastAsia="zh-CN"/>
          <w14:textFill>
            <w14:solidFill>
              <w14:schemeClr w14:val="tx1">
                <w14:lumMod w14:val="95000"/>
                <w14:lumOff w14:val="5000"/>
              </w14:schemeClr>
            </w14:solidFill>
          </w14:textFill>
        </w:rPr>
        <w:t>__</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月</w:t>
      </w:r>
    </w:p>
    <w:p>
      <w:pPr>
        <w:spacing w:line="500" w:lineRule="exact"/>
        <w:rPr>
          <w:rFonts w:hint="eastAsia" w:ascii="汉仪中圆简" w:hAnsi="汉仪中圆简" w:eastAsia="汉仪中圆简" w:cs="汉仪中圆简"/>
          <w:b/>
          <w:color w:val="0D0D0D" w:themeColor="text1" w:themeTint="F2"/>
          <w:sz w:val="24"/>
          <w14:textFill>
            <w14:solidFill>
              <w14:schemeClr w14:val="tx1">
                <w14:lumMod w14:val="95000"/>
                <w14:lumOff w14:val="5000"/>
              </w14:schemeClr>
            </w14:solidFill>
          </w14:textFill>
        </w:rPr>
      </w:pP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说明：本手册内容严格按照员工手册内容清单进行了核查，同时参照了100家以上国内外500强企业的员工手册内容，因此本手册内容标准、全面、完整、系统、实用，企业可根据自己的需要选择性使用。</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pStyle w:val="13"/>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lang w:val="zh-CN"/>
          <w14:textFill>
            <w14:solidFill>
              <w14:schemeClr w14:val="tx1">
                <w14:lumMod w14:val="95000"/>
                <w14:lumOff w14:val="5000"/>
              </w14:schemeClr>
            </w14:solidFill>
          </w14:textFill>
        </w:rPr>
        <w:t>目录</w:t>
      </w:r>
      <w:bookmarkStart w:id="69" w:name="_GoBack"/>
      <w:bookmarkEnd w:id="69"/>
    </w:p>
    <w:p>
      <w:pPr>
        <w:pStyle w:val="7"/>
        <w:tabs>
          <w:tab w:val="left" w:pos="1050"/>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第一章</w:t>
      </w:r>
      <w:r>
        <w:rPr>
          <w:rFonts w:hint="eastAsia" w:ascii="SimHei" w:hAnsi="SimHei" w:eastAsia="黑体" w:cs="汉仪中圆简"/>
          <w:color w:val="0D0D0D" w:themeColor="text1" w:themeTint="F2"/>
          <w:kern w:val="2"/>
          <w:sz w:val="21"/>
          <w14:textFill>
            <w14:solidFill>
              <w14:schemeClr w14:val="tx1">
                <w14:lumMod w14:val="95000"/>
                <w14:lumOff w14:val="5000"/>
              </w14:schemeClr>
            </w14:solidFill>
          </w14:textFill>
        </w:rPr>
        <w:tab/>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前言</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5</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8"/>
        <w:tabs>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1.1</w:t>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引言</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5</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8"/>
        <w:tabs>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 xml:space="preserve">1.2 </w:t>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董事长致辞（略）</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5</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8"/>
        <w:tabs>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 xml:space="preserve">1.3 </w:t>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总经理致辞（略）</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5</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7"/>
        <w:tabs>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第二章</w:t>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 xml:space="preserve"> </w:t>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公司概述</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6</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8"/>
        <w:tabs>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2.1</w:t>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公司发展历程（略）</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6</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8"/>
        <w:tabs>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2.2</w:t>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公司概况</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6</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8"/>
        <w:tabs>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 xml:space="preserve">2.3 </w:t>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公司理念</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6</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8"/>
        <w:tabs>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 xml:space="preserve">2.4 </w:t>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组织架构（略）</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6</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8"/>
        <w:tabs>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kern w:val="44"/>
          <w14:textFill>
            <w14:solidFill>
              <w14:schemeClr w14:val="tx1">
                <w14:lumMod w14:val="95000"/>
                <w14:lumOff w14:val="5000"/>
              </w14:schemeClr>
            </w14:solidFill>
          </w14:textFill>
        </w:rPr>
        <w:t>第三章</w:t>
      </w:r>
      <w:r>
        <w:rPr>
          <w:rStyle w:val="12"/>
          <w:rFonts w:hint="eastAsia" w:ascii="SimHei" w:hAnsi="SimHei" w:eastAsia="黑体" w:cs="汉仪中圆简"/>
          <w:color w:val="0D0D0D" w:themeColor="text1" w:themeTint="F2"/>
          <w:kern w:val="44"/>
          <w14:textFill>
            <w14:solidFill>
              <w14:schemeClr w14:val="tx1">
                <w14:lumMod w14:val="95000"/>
                <w14:lumOff w14:val="5000"/>
              </w14:schemeClr>
            </w14:solidFill>
          </w14:textFill>
        </w:rPr>
        <w:t xml:space="preserve"> </w:t>
      </w:r>
      <w:r>
        <w:rPr>
          <w:rStyle w:val="12"/>
          <w:rFonts w:hint="eastAsia" w:ascii="SimHei" w:hAnsi="SimHei" w:eastAsia="黑体" w:cs="汉仪中圆简"/>
          <w:color w:val="0D0D0D" w:themeColor="text1" w:themeTint="F2"/>
          <w:kern w:val="44"/>
          <w14:textFill>
            <w14:solidFill>
              <w14:schemeClr w14:val="tx1">
                <w14:lumMod w14:val="95000"/>
                <w14:lumOff w14:val="5000"/>
              </w14:schemeClr>
            </w14:solidFill>
          </w14:textFill>
        </w:rPr>
        <w:t>入职指引</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6</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8"/>
        <w:tabs>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 xml:space="preserve">3.1 </w:t>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招聘原则</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6</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8"/>
        <w:tabs>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 xml:space="preserve">3.2 </w:t>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招聘及录用流程</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7</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8"/>
        <w:tabs>
          <w:tab w:val="left" w:pos="625"/>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3.3</w:t>
      </w:r>
      <w:r>
        <w:rPr>
          <w:rFonts w:hint="eastAsia" w:ascii="SimHei" w:hAnsi="SimHei" w:eastAsia="黑体" w:cs="汉仪中圆简"/>
          <w:color w:val="0D0D0D" w:themeColor="text1" w:themeTint="F2"/>
          <w:kern w:val="2"/>
          <w:sz w:val="21"/>
          <w14:textFill>
            <w14:solidFill>
              <w14:schemeClr w14:val="tx1">
                <w14:lumMod w14:val="95000"/>
                <w14:lumOff w14:val="5000"/>
              </w14:schemeClr>
            </w14:solidFill>
          </w14:textFill>
        </w:rPr>
        <w:tab/>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个人档案管理</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7</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8"/>
        <w:tabs>
          <w:tab w:val="left" w:pos="625"/>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3.4</w:t>
      </w:r>
      <w:r>
        <w:rPr>
          <w:rFonts w:hint="eastAsia" w:ascii="SimHei" w:hAnsi="SimHei" w:eastAsia="黑体" w:cs="汉仪中圆简"/>
          <w:color w:val="0D0D0D" w:themeColor="text1" w:themeTint="F2"/>
          <w:kern w:val="2"/>
          <w:sz w:val="21"/>
          <w14:textFill>
            <w14:solidFill>
              <w14:schemeClr w14:val="tx1">
                <w14:lumMod w14:val="95000"/>
                <w14:lumOff w14:val="5000"/>
              </w14:schemeClr>
            </w14:solidFill>
          </w14:textFill>
        </w:rPr>
        <w:tab/>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试用与转正</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8</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8"/>
        <w:tabs>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3.5</w:t>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工作时间</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9</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7"/>
        <w:tabs>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第四章</w:t>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 xml:space="preserve"> </w:t>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员工行为准则（员工守则）</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10</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8"/>
        <w:tabs>
          <w:tab w:val="left" w:pos="625"/>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4.1</w:t>
      </w:r>
      <w:r>
        <w:rPr>
          <w:rFonts w:hint="eastAsia" w:ascii="SimHei" w:hAnsi="SimHei" w:eastAsia="黑体" w:cs="汉仪中圆简"/>
          <w:color w:val="0D0D0D" w:themeColor="text1" w:themeTint="F2"/>
          <w:kern w:val="2"/>
          <w:sz w:val="21"/>
          <w14:textFill>
            <w14:solidFill>
              <w14:schemeClr w14:val="tx1">
                <w14:lumMod w14:val="95000"/>
                <w14:lumOff w14:val="5000"/>
              </w14:schemeClr>
            </w14:solidFill>
          </w14:textFill>
        </w:rPr>
        <w:tab/>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总则</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10</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8"/>
        <w:tabs>
          <w:tab w:val="left" w:pos="625"/>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4.2</w:t>
      </w:r>
      <w:r>
        <w:rPr>
          <w:rFonts w:hint="eastAsia" w:ascii="SimHei" w:hAnsi="SimHei" w:eastAsia="黑体" w:cs="汉仪中圆简"/>
          <w:color w:val="0D0D0D" w:themeColor="text1" w:themeTint="F2"/>
          <w:kern w:val="2"/>
          <w:sz w:val="21"/>
          <w14:textFill>
            <w14:solidFill>
              <w14:schemeClr w14:val="tx1">
                <w14:lumMod w14:val="95000"/>
                <w14:lumOff w14:val="5000"/>
              </w14:schemeClr>
            </w14:solidFill>
          </w14:textFill>
        </w:rPr>
        <w:tab/>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职务权责</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10</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8"/>
        <w:tabs>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 xml:space="preserve">4.3 </w:t>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内外交往</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12</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8"/>
        <w:tabs>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 xml:space="preserve">4.4 </w:t>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个人与公司利益的冲突</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13</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8"/>
        <w:tabs>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 xml:space="preserve">4.5 </w:t>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投诉和举报</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14</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8"/>
        <w:tabs>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 xml:space="preserve">4.6 </w:t>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行为的判断及督导</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14</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8"/>
        <w:tabs>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 xml:space="preserve">4.7 </w:t>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职业礼仪</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15</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8"/>
        <w:tabs>
          <w:tab w:val="left" w:pos="625"/>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4.8</w:t>
      </w:r>
      <w:r>
        <w:rPr>
          <w:rFonts w:hint="eastAsia" w:ascii="SimHei" w:hAnsi="SimHei" w:eastAsia="黑体" w:cs="汉仪中圆简"/>
          <w:color w:val="0D0D0D" w:themeColor="text1" w:themeTint="F2"/>
          <w:kern w:val="2"/>
          <w:sz w:val="21"/>
          <w14:textFill>
            <w14:solidFill>
              <w14:schemeClr w14:val="tx1">
                <w14:lumMod w14:val="95000"/>
                <w14:lumOff w14:val="5000"/>
              </w14:schemeClr>
            </w14:solidFill>
          </w14:textFill>
        </w:rPr>
        <w:tab/>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考勤制度</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16</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8"/>
        <w:tabs>
          <w:tab w:val="left" w:pos="625"/>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4.9</w:t>
      </w:r>
      <w:r>
        <w:rPr>
          <w:rFonts w:hint="eastAsia" w:ascii="SimHei" w:hAnsi="SimHei" w:eastAsia="黑体" w:cs="汉仪中圆简"/>
          <w:color w:val="0D0D0D" w:themeColor="text1" w:themeTint="F2"/>
          <w:kern w:val="2"/>
          <w:sz w:val="21"/>
          <w14:textFill>
            <w14:solidFill>
              <w14:schemeClr w14:val="tx1">
                <w14:lumMod w14:val="95000"/>
                <w14:lumOff w14:val="5000"/>
              </w14:schemeClr>
            </w14:solidFill>
          </w14:textFill>
        </w:rPr>
        <w:tab/>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出差制度</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16</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8"/>
        <w:tabs>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 xml:space="preserve">4.10 </w:t>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档案管理</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18</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8"/>
        <w:tabs>
          <w:tab w:val="left" w:pos="730"/>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4.11</w:t>
      </w:r>
      <w:r>
        <w:rPr>
          <w:rFonts w:hint="eastAsia" w:ascii="SimHei" w:hAnsi="SimHei" w:eastAsia="黑体" w:cs="汉仪中圆简"/>
          <w:color w:val="0D0D0D" w:themeColor="text1" w:themeTint="F2"/>
          <w:kern w:val="2"/>
          <w:sz w:val="21"/>
          <w14:textFill>
            <w14:solidFill>
              <w14:schemeClr w14:val="tx1">
                <w14:lumMod w14:val="95000"/>
                <w14:lumOff w14:val="5000"/>
              </w14:schemeClr>
            </w14:solidFill>
          </w14:textFill>
        </w:rPr>
        <w:tab/>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保密制度</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19</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8"/>
        <w:tabs>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 xml:space="preserve">4.12 </w:t>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奖励制度</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19</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8"/>
        <w:tabs>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 xml:space="preserve">4.13 </w:t>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处分制度</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20</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8"/>
        <w:tabs>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 xml:space="preserve">4.14 </w:t>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其它（相关人事及行政管理制度）</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21</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7"/>
        <w:tabs>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第五章</w:t>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 xml:space="preserve"> </w:t>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薪酬及福利</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23</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8"/>
        <w:tabs>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 xml:space="preserve">5.1 </w:t>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发薪日期</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23</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8"/>
        <w:tabs>
          <w:tab w:val="left" w:pos="625"/>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5.2</w:t>
      </w:r>
      <w:r>
        <w:rPr>
          <w:rFonts w:hint="eastAsia" w:ascii="SimHei" w:hAnsi="SimHei" w:eastAsia="黑体" w:cs="汉仪中圆简"/>
          <w:color w:val="0D0D0D" w:themeColor="text1" w:themeTint="F2"/>
          <w:kern w:val="2"/>
          <w:sz w:val="21"/>
          <w14:textFill>
            <w14:solidFill>
              <w14:schemeClr w14:val="tx1">
                <w14:lumMod w14:val="95000"/>
                <w14:lumOff w14:val="5000"/>
              </w14:schemeClr>
            </w14:solidFill>
          </w14:textFill>
        </w:rPr>
        <w:tab/>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薪金系列</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23</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8"/>
        <w:tabs>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 xml:space="preserve">5.3 </w:t>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特殊期间的薪金给付</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23</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8"/>
        <w:tabs>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5.4</w:t>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加班与加班工资</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24</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8"/>
        <w:tabs>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 xml:space="preserve">5.5 </w:t>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薪金调整机制</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25</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8"/>
        <w:tabs>
          <w:tab w:val="left" w:pos="625"/>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5.6</w:t>
      </w:r>
      <w:r>
        <w:rPr>
          <w:rFonts w:hint="eastAsia" w:ascii="SimHei" w:hAnsi="SimHei" w:eastAsia="黑体" w:cs="汉仪中圆简"/>
          <w:color w:val="0D0D0D" w:themeColor="text1" w:themeTint="F2"/>
          <w:kern w:val="2"/>
          <w:sz w:val="21"/>
          <w14:textFill>
            <w14:solidFill>
              <w14:schemeClr w14:val="tx1">
                <w14:lumMod w14:val="95000"/>
                <w14:lumOff w14:val="5000"/>
              </w14:schemeClr>
            </w14:solidFill>
          </w14:textFill>
        </w:rPr>
        <w:tab/>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假期</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26</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8"/>
        <w:tabs>
          <w:tab w:val="left" w:pos="625"/>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5.7</w:t>
      </w:r>
      <w:r>
        <w:rPr>
          <w:rFonts w:hint="eastAsia" w:ascii="SimHei" w:hAnsi="SimHei" w:eastAsia="黑体" w:cs="汉仪中圆简"/>
          <w:color w:val="0D0D0D" w:themeColor="text1" w:themeTint="F2"/>
          <w:kern w:val="2"/>
          <w:sz w:val="21"/>
          <w14:textFill>
            <w14:solidFill>
              <w14:schemeClr w14:val="tx1">
                <w14:lumMod w14:val="95000"/>
                <w14:lumOff w14:val="5000"/>
              </w14:schemeClr>
            </w14:solidFill>
          </w14:textFill>
        </w:rPr>
        <w:tab/>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社会保险</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28</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8"/>
        <w:tabs>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 xml:space="preserve">5.8 </w:t>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贺仪与奠仪（限转正后）</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29</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8"/>
        <w:tabs>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 xml:space="preserve">5.9 </w:t>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独生子女费用（限转正后）</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29</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8"/>
        <w:tabs>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 xml:space="preserve">5.10 </w:t>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体检及职员活动</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29</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8"/>
        <w:tabs>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 xml:space="preserve">5.11 </w:t>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职员宿舍</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30</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7"/>
        <w:tabs>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第六章</w:t>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 xml:space="preserve"> </w:t>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培训、考核与发展</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30</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8"/>
        <w:tabs>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6.1</w:t>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培训与发展</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30</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8"/>
        <w:tabs>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 xml:space="preserve">6.2 </w:t>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培训体系</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31</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8"/>
        <w:tabs>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 xml:space="preserve">6.3 </w:t>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培训形式</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32</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8"/>
        <w:tabs>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 xml:space="preserve">6.4 </w:t>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培训种类</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32</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8"/>
        <w:tabs>
          <w:tab w:val="left" w:pos="625"/>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6.5</w:t>
      </w:r>
      <w:r>
        <w:rPr>
          <w:rFonts w:hint="eastAsia" w:ascii="SimHei" w:hAnsi="SimHei" w:eastAsia="黑体" w:cs="汉仪中圆简"/>
          <w:color w:val="0D0D0D" w:themeColor="text1" w:themeTint="F2"/>
          <w:kern w:val="2"/>
          <w:sz w:val="21"/>
          <w14:textFill>
            <w14:solidFill>
              <w14:schemeClr w14:val="tx1">
                <w14:lumMod w14:val="95000"/>
                <w14:lumOff w14:val="5000"/>
              </w14:schemeClr>
            </w14:solidFill>
          </w14:textFill>
        </w:rPr>
        <w:tab/>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绩效考核与评估</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33</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8"/>
        <w:tabs>
          <w:tab w:val="left" w:pos="625"/>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6.6</w:t>
      </w:r>
      <w:r>
        <w:rPr>
          <w:rFonts w:hint="eastAsia" w:ascii="SimHei" w:hAnsi="SimHei" w:eastAsia="黑体" w:cs="汉仪中圆简"/>
          <w:color w:val="0D0D0D" w:themeColor="text1" w:themeTint="F2"/>
          <w:kern w:val="2"/>
          <w:sz w:val="21"/>
          <w14:textFill>
            <w14:solidFill>
              <w14:schemeClr w14:val="tx1">
                <w14:lumMod w14:val="95000"/>
                <w14:lumOff w14:val="5000"/>
              </w14:schemeClr>
            </w14:solidFill>
          </w14:textFill>
        </w:rPr>
        <w:tab/>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内部调动</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34</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8"/>
        <w:tabs>
          <w:tab w:val="left" w:pos="625"/>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6.7</w:t>
      </w:r>
      <w:r>
        <w:rPr>
          <w:rFonts w:hint="eastAsia" w:ascii="SimHei" w:hAnsi="SimHei" w:eastAsia="黑体" w:cs="汉仪中圆简"/>
          <w:color w:val="0D0D0D" w:themeColor="text1" w:themeTint="F2"/>
          <w:kern w:val="2"/>
          <w:sz w:val="21"/>
          <w14:textFill>
            <w14:solidFill>
              <w14:schemeClr w14:val="tx1">
                <w14:lumMod w14:val="95000"/>
                <w14:lumOff w14:val="5000"/>
              </w14:schemeClr>
            </w14:solidFill>
          </w14:textFill>
        </w:rPr>
        <w:tab/>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晋升机制</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34</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7"/>
        <w:tabs>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第七章</w:t>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 xml:space="preserve"> </w:t>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劳动合同</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35</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8"/>
        <w:tabs>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 xml:space="preserve">7.1 </w:t>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适用范围</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35</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8"/>
        <w:tabs>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 xml:space="preserve">7.2 </w:t>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合同期限</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35</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8"/>
        <w:tabs>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7.3</w:t>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合同签定、续订、变更和解除</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35</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8"/>
        <w:tabs>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 xml:space="preserve">7.4 </w:t>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完备调离手续</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36</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8"/>
        <w:tabs>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 xml:space="preserve">7.5 </w:t>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离职面谈</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37</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8"/>
        <w:tabs>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 xml:space="preserve">7.6 </w:t>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纠纷处理</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37</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7"/>
        <w:tabs>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第八章</w:t>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 xml:space="preserve"> </w:t>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员工关系与沟通</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37</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8"/>
        <w:tabs>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8.1</w:t>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沟通渠道</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38</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8"/>
        <w:tabs>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8.2</w:t>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意见调查</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38</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8"/>
        <w:tabs>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 xml:space="preserve">8.3 </w:t>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信息沟通</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38</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8"/>
        <w:tabs>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 xml:space="preserve">8.4 </w:t>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申诉程序</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38</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7"/>
        <w:tabs>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第九章</w:t>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 xml:space="preserve"> </w:t>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职工委员会</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39</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7"/>
        <w:tabs>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第十章</w:t>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 xml:space="preserve"> </w:t>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其它</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40</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8"/>
        <w:tabs>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 xml:space="preserve">10.1 </w:t>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职员劳动安全</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40</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8"/>
        <w:tabs>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10.2</w:t>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 xml:space="preserve"> 安全与防灾措施</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41</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8"/>
        <w:tabs>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 xml:space="preserve">10.3 </w:t>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保护知识产权政策</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41</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8"/>
        <w:tabs>
          <w:tab w:val="left" w:pos="730"/>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10.4</w:t>
      </w:r>
      <w:r>
        <w:rPr>
          <w:rFonts w:hint="eastAsia" w:ascii="SimHei" w:hAnsi="SimHei" w:eastAsia="黑体" w:cs="汉仪中圆简"/>
          <w:color w:val="0D0D0D" w:themeColor="text1" w:themeTint="F2"/>
          <w:kern w:val="2"/>
          <w:sz w:val="21"/>
          <w14:textFill>
            <w14:solidFill>
              <w14:schemeClr w14:val="tx1">
                <w14:lumMod w14:val="95000"/>
                <w14:lumOff w14:val="5000"/>
              </w14:schemeClr>
            </w14:solidFill>
          </w14:textFill>
        </w:rPr>
        <w:tab/>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权利保障</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41</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8"/>
        <w:tabs>
          <w:tab w:val="left" w:pos="730"/>
          <w:tab w:val="right" w:leader="dot" w:pos="8494"/>
        </w:tabs>
        <w:rPr>
          <w:rFonts w:hint="eastAsia" w:ascii="汉仪中圆简" w:hAnsi="汉仪中圆简" w:eastAsia="汉仪中圆简" w:cs="汉仪中圆简"/>
          <w:color w:val="0D0D0D" w:themeColor="text1" w:themeTint="F2"/>
          <w:kern w:val="2"/>
          <w:sz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10.5</w:t>
      </w:r>
      <w:r>
        <w:rPr>
          <w:rFonts w:hint="eastAsia" w:ascii="SimHei" w:hAnsi="SimHei" w:eastAsia="黑体" w:cs="汉仪中圆简"/>
          <w:color w:val="0D0D0D" w:themeColor="text1" w:themeTint="F2"/>
          <w:kern w:val="2"/>
          <w:sz w:val="21"/>
          <w14:textFill>
            <w14:solidFill>
              <w14:schemeClr w14:val="tx1">
                <w14:lumMod w14:val="95000"/>
                <w14:lumOff w14:val="5000"/>
              </w14:schemeClr>
            </w14:solidFill>
          </w14:textFill>
        </w:rPr>
        <w:tab/>
      </w:r>
      <w:r>
        <w:rPr>
          <w:rStyle w:val="12"/>
          <w:rFonts w:hint="eastAsia" w:ascii="SimHei" w:hAnsi="SimHei" w:eastAsia="黑体" w:cs="汉仪中圆简"/>
          <w:color w:val="0D0D0D" w:themeColor="text1" w:themeTint="F2"/>
          <w14:textFill>
            <w14:solidFill>
              <w14:schemeClr w14:val="tx1">
                <w14:lumMod w14:val="95000"/>
                <w14:lumOff w14:val="5000"/>
              </w14:schemeClr>
            </w14:solidFill>
          </w14:textFill>
        </w:rPr>
        <w:t>批准、修改与解释</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t>42</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r>
    </w:p>
    <w:p>
      <w:pPr>
        <w:pStyle w:val="4"/>
        <w:ind w:left="446"/>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pStyle w:val="2"/>
        <w:numPr>
          <w:ilvl w:val="0"/>
          <w:numId w:val="1"/>
        </w:numPr>
        <w:spacing w:line="500" w:lineRule="exact"/>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bookmarkStart w:id="0" w:name="_Toc324103479"/>
      <w:r>
        <w:rPr>
          <w:rFonts w:hint="eastAsia" w:ascii="SimHei" w:hAnsi="SimHei" w:eastAsia="黑体" w:cs="汉仪中圆简"/>
          <w:color w:val="0D0D0D" w:themeColor="text1" w:themeTint="F2"/>
          <w:szCs w:val="20"/>
          <w14:textFill>
            <w14:solidFill>
              <w14:schemeClr w14:val="tx1">
                <w14:lumMod w14:val="95000"/>
                <w14:lumOff w14:val="5000"/>
              </w14:schemeClr>
            </w14:solidFill>
          </w14:textFill>
        </w:rPr>
        <w:t>前</w:t>
      </w:r>
      <w:r>
        <w:rPr>
          <w:rFonts w:hint="eastAsia" w:ascii="SimHei" w:hAnsi="SimHei" w:eastAsia="黑体" w:cs="汉仪中圆简"/>
          <w:color w:val="0D0D0D" w:themeColor="text1" w:themeTint="F2"/>
          <w:szCs w:val="20"/>
          <w14:textFill>
            <w14:solidFill>
              <w14:schemeClr w14:val="tx1">
                <w14:lumMod w14:val="95000"/>
                <w14:lumOff w14:val="5000"/>
              </w14:schemeClr>
            </w14:solidFill>
          </w14:textFill>
        </w:rPr>
        <w:t>言</w:t>
      </w:r>
      <w:bookmarkEnd w:id="0"/>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rPr>
          <w:rStyle w:val="14"/>
          <w:rFonts w:hint="eastAsia" w:ascii="汉仪中圆简" w:hAnsi="汉仪中圆简" w:eastAsia="汉仪中圆简" w:cs="汉仪中圆简"/>
          <w:color w:val="0D0D0D" w:themeColor="text1" w:themeTint="F2"/>
          <w:lang w:eastAsia="zh-CN"/>
          <w14:textFill>
            <w14:solidFill>
              <w14:schemeClr w14:val="tx1">
                <w14:lumMod w14:val="95000"/>
                <w14:lumOff w14:val="5000"/>
              </w14:schemeClr>
            </w14:solidFill>
          </w14:textFill>
        </w:rPr>
      </w:pPr>
      <w:bookmarkStart w:id="1" w:name="_Toc324103480"/>
      <w:r>
        <w:rPr>
          <w:rStyle w:val="14"/>
          <w:rFonts w:hint="eastAsia" w:ascii="SimHei" w:hAnsi="SimHei" w:eastAsia="黑体" w:cs="汉仪中圆简"/>
          <w:color w:val="0D0D0D" w:themeColor="text1" w:themeTint="F2"/>
          <w14:textFill>
            <w14:solidFill>
              <w14:schemeClr w14:val="tx1">
                <w14:lumMod w14:val="95000"/>
                <w14:lumOff w14:val="5000"/>
              </w14:schemeClr>
            </w14:solidFill>
          </w14:textFill>
        </w:rPr>
        <w:t>1.1引言</w:t>
      </w:r>
      <w:bookmarkEnd w:id="1"/>
    </w:p>
    <w:p>
      <w:pPr>
        <w:rPr>
          <w:rFonts w:hint="eastAsia" w:ascii="汉仪中圆简" w:hAnsi="汉仪中圆简" w:eastAsia="汉仪中圆简" w:cs="汉仪中圆简"/>
          <w:b/>
          <w:color w:val="0D0D0D" w:themeColor="text1" w:themeTint="F2"/>
          <w14:textFill>
            <w14:solidFill>
              <w14:schemeClr w14:val="tx1">
                <w14:lumMod w14:val="95000"/>
                <w14:lumOff w14:val="5000"/>
              </w14:schemeClr>
            </w14:solidFill>
          </w14:textFill>
        </w:rPr>
      </w:pPr>
      <w:r>
        <w:rPr>
          <w:rFonts w:hint="eastAsia" w:ascii="SimHei" w:hAnsi="SimHei" w:eastAsia="黑体" w:cs="汉仪中圆简"/>
          <w:b/>
          <w:color w:val="0D0D0D" w:themeColor="text1" w:themeTint="F2"/>
          <w14:textFill>
            <w14:solidFill>
              <w14:schemeClr w14:val="tx1">
                <w14:lumMod w14:val="95000"/>
                <w14:lumOff w14:val="5000"/>
              </w14:schemeClr>
            </w14:solidFill>
          </w14:textFill>
        </w:rPr>
        <w:t xml:space="preserve">   </w:t>
      </w:r>
      <w:r>
        <w:rPr>
          <w:rFonts w:hint="eastAsia" w:ascii="SimHei" w:hAnsi="SimHei" w:eastAsia="黑体" w:cs="汉仪中圆简"/>
          <w:b/>
          <w:color w:val="0D0D0D" w:themeColor="text1" w:themeTint="F2"/>
          <w14:textFill>
            <w14:solidFill>
              <w14:schemeClr w14:val="tx1">
                <w14:lumMod w14:val="95000"/>
                <w14:lumOff w14:val="5000"/>
              </w14:schemeClr>
            </w14:solidFill>
          </w14:textFill>
        </w:rPr>
        <w:t xml:space="preserve">   </w:t>
      </w:r>
    </w:p>
    <w:p>
      <w:pPr>
        <w:ind w:firstLine="515" w:firstLineChars="245"/>
        <w:rPr>
          <w:rFonts w:hint="eastAsia" w:ascii="汉仪中圆简" w:hAnsi="汉仪中圆简" w:eastAsia="汉仪中圆简" w:cs="汉仪中圆简"/>
          <w:b/>
          <w:color w:val="0D0D0D" w:themeColor="text1" w:themeTint="F2"/>
          <w:u w:val="single"/>
          <w14:textFill>
            <w14:solidFill>
              <w14:schemeClr w14:val="tx1">
                <w14:lumMod w14:val="95000"/>
                <w14:lumOff w14:val="5000"/>
              </w14:schemeClr>
            </w14:solidFill>
          </w14:textFill>
        </w:rPr>
      </w:pPr>
      <w:r>
        <w:rPr>
          <w:rFonts w:hint="eastAsia" w:ascii="SimHei" w:hAnsi="SimHei" w:eastAsia="黑体" w:cs="汉仪中圆简"/>
          <w:b/>
          <w:color w:val="0D0D0D" w:themeColor="text1" w:themeTint="F2"/>
          <w:u w:val="single"/>
          <w14:textFill>
            <w14:solidFill>
              <w14:schemeClr w14:val="tx1">
                <w14:lumMod w14:val="95000"/>
                <w14:lumOff w14:val="5000"/>
              </w14:schemeClr>
            </w14:solidFill>
          </w14:textFill>
        </w:rPr>
        <w:t>说明：本部分内容也可以由人力资源部撰写欢迎辞。</w:t>
      </w:r>
    </w:p>
    <w:p>
      <w:pPr>
        <w:spacing w:line="500" w:lineRule="exact"/>
        <w:ind w:firstLine="360" w:firstLineChars="1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 xml:space="preserve"> </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 xml:space="preserve"> </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欢迎加入</w:t>
      </w:r>
      <w:r>
        <w:rPr>
          <w:rFonts w:hint="eastAsia" w:ascii="SimHei" w:hAnsi="SimHei" w:eastAsia="黑体" w:cs="汉仪中圆简"/>
          <w:color w:val="0D0D0D" w:themeColor="text1" w:themeTint="F2"/>
          <w:sz w:val="24"/>
          <w:lang w:eastAsia="zh-CN"/>
          <w14:textFill>
            <w14:solidFill>
              <w14:schemeClr w14:val="tx1">
                <w14:lumMod w14:val="95000"/>
                <w14:lumOff w14:val="5000"/>
              </w14:schemeClr>
            </w14:solidFill>
          </w14:textFill>
        </w:rPr>
        <w:t>__</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公司。</w:t>
      </w:r>
    </w:p>
    <w:p>
      <w:pPr>
        <w:spacing w:line="500" w:lineRule="exact"/>
        <w:ind w:firstLine="48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为了帮助公司内每位员工清楚地了解有关公司的基本情况、规章制度及员工福利等，公司特编制了此《员工手册》。每位员工应熟读其内容，掌握其基本精神，并切实地按照其中的各项条款规范自己的行为，严格遵守公司的各项规章制度，以确保公司正常健康地运营。</w:t>
      </w:r>
    </w:p>
    <w:p>
      <w:pPr>
        <w:spacing w:line="500" w:lineRule="exact"/>
        <w:ind w:firstLine="48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 xml:space="preserve">  </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本手册的各项规定和计划已经公司审阅，公司将定期地监督执行情况，为了适应公司的发展变化和国家政策调整，公司将按国家有关法规对手册的任何部分进行必要的修改、删除和终止，并将向职员公司公布修改的内容。</w:t>
      </w:r>
    </w:p>
    <w:p>
      <w:pPr>
        <w:spacing w:line="500" w:lineRule="exact"/>
        <w:ind w:firstLine="480"/>
        <w:rPr>
          <w:rFonts w:hint="eastAsia" w:ascii="汉仪中圆简" w:hAnsi="汉仪中圆简" w:eastAsia="汉仪中圆简" w:cs="汉仪中圆简"/>
          <w:color w:val="0D0D0D" w:themeColor="text1" w:themeTint="F2"/>
          <w:sz w:val="24"/>
          <w:lang w:eastAsia="zh-CN"/>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本手册主要涉及员工工作中常见之内容，如需要了解更多的内容，请与公司人力资源部联系</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，最终解释权在公司。</w:t>
      </w:r>
    </w:p>
    <w:p>
      <w:pPr>
        <w:spacing w:line="500" w:lineRule="exact"/>
        <w:ind w:firstLine="48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 xml:space="preserve">    本手册涉及之内容，仅供公司内部使用，手册中的任何内容不得提供给公司以外的人员。</w:t>
      </w:r>
    </w:p>
    <w:p>
      <w:pPr>
        <w:spacing w:line="500" w:lineRule="exact"/>
        <w:ind w:firstLine="48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员工应妥善保存此手册。一旦离开公司，应主动将手册归还公司人力资源部。</w:t>
      </w:r>
    </w:p>
    <w:p>
      <w:pPr>
        <w:spacing w:line="500" w:lineRule="exact"/>
        <w:ind w:firstLine="360" w:firstLineChars="1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pStyle w:val="3"/>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bookmarkStart w:id="2" w:name="_Toc324103481"/>
      <w:r>
        <w:rPr>
          <w:rFonts w:hint="eastAsia" w:ascii="SimHei" w:hAnsi="SimHei" w:eastAsia="黑体" w:cs="汉仪中圆简"/>
          <w:color w:val="0D0D0D" w:themeColor="text1" w:themeTint="F2"/>
          <w14:textFill>
            <w14:solidFill>
              <w14:schemeClr w14:val="tx1">
                <w14:lumMod w14:val="95000"/>
                <w14:lumOff w14:val="5000"/>
              </w14:schemeClr>
            </w14:solidFill>
          </w14:textFill>
        </w:rPr>
        <w:t>1.2 董事长致辞（略）</w:t>
      </w:r>
      <w:bookmarkEnd w:id="2"/>
    </w:p>
    <w:p>
      <w:pPr>
        <w:pStyle w:val="3"/>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bookmarkStart w:id="3" w:name="_Toc324103482"/>
      <w:r>
        <w:rPr>
          <w:rFonts w:hint="eastAsia" w:ascii="SimHei" w:hAnsi="SimHei" w:eastAsia="黑体" w:cs="汉仪中圆简"/>
          <w:color w:val="0D0D0D" w:themeColor="text1" w:themeTint="F2"/>
          <w14:textFill>
            <w14:solidFill>
              <w14:schemeClr w14:val="tx1">
                <w14:lumMod w14:val="95000"/>
                <w14:lumOff w14:val="5000"/>
              </w14:schemeClr>
            </w14:solidFill>
          </w14:textFill>
        </w:rPr>
        <w:t>1.3 总经理致辞（略）</w:t>
      </w:r>
      <w:bookmarkEnd w:id="3"/>
    </w:p>
    <w:p>
      <w:pPr>
        <w:spacing w:line="500" w:lineRule="exact"/>
        <w:ind w:firstLine="360" w:firstLineChars="1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spacing w:line="500" w:lineRule="exact"/>
        <w:ind w:firstLine="360" w:firstLineChars="1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spacing w:line="500" w:lineRule="exact"/>
        <w:ind w:firstLine="360" w:firstLineChars="1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pStyle w:val="2"/>
        <w:spacing w:line="500" w:lineRule="exact"/>
        <w:rPr>
          <w:rFonts w:hint="eastAsia" w:ascii="汉仪中圆简" w:hAnsi="汉仪中圆简" w:eastAsia="汉仪中圆简" w:cs="汉仪中圆简"/>
          <w:b w:val="0"/>
          <w:bCs w:val="0"/>
          <w:color w:val="0D0D0D" w:themeColor="text1" w:themeTint="F2"/>
          <w:kern w:val="2"/>
          <w:sz w:val="24"/>
          <w:szCs w:val="24"/>
          <w14:textFill>
            <w14:solidFill>
              <w14:schemeClr w14:val="tx1">
                <w14:lumMod w14:val="95000"/>
                <w14:lumOff w14:val="5000"/>
              </w14:schemeClr>
            </w14:solidFill>
          </w14:textFill>
        </w:rPr>
      </w:pPr>
      <w:bookmarkStart w:id="4" w:name="_Toc324103483"/>
      <w:r>
        <w:rPr>
          <w:rFonts w:hint="eastAsia" w:ascii="SimHei" w:hAnsi="SimHei" w:eastAsia="黑体" w:cs="汉仪中圆简"/>
          <w:color w:val="0D0D0D" w:themeColor="text1" w:themeTint="F2"/>
          <w14:textFill>
            <w14:solidFill>
              <w14:schemeClr w14:val="tx1">
                <w14:lumMod w14:val="95000"/>
                <w14:lumOff w14:val="5000"/>
              </w14:schemeClr>
            </w14:solidFill>
          </w14:textFill>
        </w:rPr>
        <w:t>第二章 公司</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概述</w:t>
      </w:r>
      <w:bookmarkEnd w:id="4"/>
    </w:p>
    <w:p>
      <w:pPr>
        <w:pStyle w:val="3"/>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bookmarkStart w:id="5" w:name="_Toc324103484"/>
      <w:r>
        <w:rPr>
          <w:rFonts w:hint="eastAsia" w:ascii="SimHei" w:hAnsi="SimHei" w:eastAsia="黑体" w:cs="汉仪中圆简"/>
          <w:color w:val="0D0D0D" w:themeColor="text1" w:themeTint="F2"/>
          <w14:textFill>
            <w14:solidFill>
              <w14:schemeClr w14:val="tx1">
                <w14:lumMod w14:val="95000"/>
                <w14:lumOff w14:val="5000"/>
              </w14:schemeClr>
            </w14:solidFill>
          </w14:textFill>
        </w:rPr>
        <w:t>2.1</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公司</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发展历程（略）</w:t>
      </w:r>
      <w:bookmarkEnd w:id="5"/>
    </w:p>
    <w:p>
      <w:pPr>
        <w:pStyle w:val="3"/>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bookmarkStart w:id="6" w:name="_Toc324103485"/>
      <w:r>
        <w:rPr>
          <w:rFonts w:hint="eastAsia" w:ascii="SimHei" w:hAnsi="SimHei" w:eastAsia="黑体" w:cs="汉仪中圆简"/>
          <w:color w:val="0D0D0D" w:themeColor="text1" w:themeTint="F2"/>
          <w14:textFill>
            <w14:solidFill>
              <w14:schemeClr w14:val="tx1">
                <w14:lumMod w14:val="95000"/>
                <w14:lumOff w14:val="5000"/>
              </w14:schemeClr>
            </w14:solidFill>
          </w14:textFill>
        </w:rPr>
        <w:t>2.2公司概况</w:t>
      </w:r>
      <w:bookmarkEnd w:id="6"/>
    </w:p>
    <w:p>
      <w:pPr>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简介、产品、创始人等</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w:t>
      </w:r>
    </w:p>
    <w:p>
      <w:pPr>
        <w:pStyle w:val="3"/>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bookmarkStart w:id="7" w:name="_Toc324103486"/>
      <w:r>
        <w:rPr>
          <w:rFonts w:hint="eastAsia" w:ascii="SimHei" w:hAnsi="SimHei" w:eastAsia="黑体" w:cs="汉仪中圆简"/>
          <w:color w:val="0D0D0D" w:themeColor="text1" w:themeTint="F2"/>
          <w14:textFill>
            <w14:solidFill>
              <w14:schemeClr w14:val="tx1">
                <w14:lumMod w14:val="95000"/>
                <w14:lumOff w14:val="5000"/>
              </w14:schemeClr>
            </w14:solidFill>
          </w14:textFill>
        </w:rPr>
        <w:t>2.3 公司理念</w:t>
      </w:r>
      <w:bookmarkEnd w:id="7"/>
    </w:p>
    <w:p>
      <w:pPr>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（使命、愿景、企业精神、核心价值观、管理理念等）</w:t>
      </w:r>
    </w:p>
    <w:p>
      <w:pPr>
        <w:pStyle w:val="3"/>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bookmarkStart w:id="8" w:name="_Toc324103487"/>
      <w:r>
        <w:rPr>
          <w:rFonts w:hint="eastAsia" w:ascii="SimHei" w:hAnsi="SimHei" w:eastAsia="黑体" w:cs="汉仪中圆简"/>
          <w:color w:val="0D0D0D" w:themeColor="text1" w:themeTint="F2"/>
          <w14:textFill>
            <w14:solidFill>
              <w14:schemeClr w14:val="tx1">
                <w14:lumMod w14:val="95000"/>
                <w14:lumOff w14:val="5000"/>
              </w14:schemeClr>
            </w14:solidFill>
          </w14:textFill>
        </w:rPr>
        <w:t>2.4 组织架构（略）</w:t>
      </w:r>
      <w:bookmarkEnd w:id="8"/>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spacing w:line="500" w:lineRule="exact"/>
        <w:rPr>
          <w:rFonts w:hint="eastAsia" w:ascii="汉仪中圆简" w:hAnsi="汉仪中圆简" w:eastAsia="汉仪中圆简" w:cs="汉仪中圆简"/>
          <w:b/>
          <w:bCs/>
          <w:color w:val="0D0D0D" w:themeColor="text1" w:themeTint="F2"/>
          <w:kern w:val="44"/>
          <w:sz w:val="44"/>
          <w:szCs w:val="44"/>
          <w:lang w:eastAsia="zh-CN"/>
          <w14:textFill>
            <w14:solidFill>
              <w14:schemeClr w14:val="tx1">
                <w14:lumMod w14:val="95000"/>
                <w14:lumOff w14:val="5000"/>
              </w14:schemeClr>
            </w14:solidFill>
          </w14:textFill>
        </w:rPr>
      </w:pPr>
    </w:p>
    <w:p>
      <w:pPr>
        <w:spacing w:line="500" w:lineRule="exact"/>
        <w:rPr>
          <w:rFonts w:hint="eastAsia" w:ascii="汉仪中圆简" w:hAnsi="汉仪中圆简" w:eastAsia="汉仪中圆简" w:cs="汉仪中圆简"/>
          <w:b/>
          <w:bCs/>
          <w:color w:val="0D0D0D" w:themeColor="text1" w:themeTint="F2"/>
          <w:kern w:val="44"/>
          <w:sz w:val="44"/>
          <w:szCs w:val="44"/>
          <w:lang w:eastAsia="zh-CN"/>
          <w14:textFill>
            <w14:solidFill>
              <w14:schemeClr w14:val="tx1">
                <w14:lumMod w14:val="95000"/>
                <w14:lumOff w14:val="5000"/>
              </w14:schemeClr>
            </w14:solidFill>
          </w14:textFill>
        </w:rPr>
      </w:pPr>
    </w:p>
    <w:p>
      <w:pPr>
        <w:pStyle w:val="3"/>
        <w:rPr>
          <w:rFonts w:hint="eastAsia" w:ascii="汉仪中圆简" w:hAnsi="汉仪中圆简" w:eastAsia="汉仪中圆简" w:cs="汉仪中圆简"/>
          <w:color w:val="0D0D0D" w:themeColor="text1" w:themeTint="F2"/>
          <w:kern w:val="44"/>
          <w:sz w:val="44"/>
          <w:szCs w:val="44"/>
          <w:lang w:eastAsia="zh-CN"/>
          <w14:textFill>
            <w14:solidFill>
              <w14:schemeClr w14:val="tx1">
                <w14:lumMod w14:val="95000"/>
                <w14:lumOff w14:val="5000"/>
              </w14:schemeClr>
            </w14:solidFill>
          </w14:textFill>
        </w:rPr>
      </w:pPr>
      <w:bookmarkStart w:id="9" w:name="_Toc324103488"/>
      <w:r>
        <w:rPr>
          <w:rFonts w:hint="eastAsia" w:ascii="SimHei" w:hAnsi="SimHei" w:eastAsia="黑体" w:cs="汉仪中圆简"/>
          <w:color w:val="0D0D0D" w:themeColor="text1" w:themeTint="F2"/>
          <w:kern w:val="44"/>
          <w:sz w:val="44"/>
          <w:szCs w:val="44"/>
          <w14:textFill>
            <w14:solidFill>
              <w14:schemeClr w14:val="tx1">
                <w14:lumMod w14:val="95000"/>
                <w14:lumOff w14:val="5000"/>
              </w14:schemeClr>
            </w14:solidFill>
          </w14:textFill>
        </w:rPr>
        <w:t xml:space="preserve">第三章 </w:t>
      </w:r>
      <w:r>
        <w:rPr>
          <w:rFonts w:hint="eastAsia" w:ascii="SimHei" w:hAnsi="SimHei" w:eastAsia="黑体" w:cs="汉仪中圆简"/>
          <w:color w:val="0D0D0D" w:themeColor="text1" w:themeTint="F2"/>
          <w:kern w:val="44"/>
          <w:sz w:val="44"/>
          <w:szCs w:val="44"/>
          <w14:textFill>
            <w14:solidFill>
              <w14:schemeClr w14:val="tx1">
                <w14:lumMod w14:val="95000"/>
                <w14:lumOff w14:val="5000"/>
              </w14:schemeClr>
            </w14:solidFill>
          </w14:textFill>
        </w:rPr>
        <w:t>入职指引</w:t>
      </w:r>
      <w:bookmarkEnd w:id="9"/>
    </w:p>
    <w:p>
      <w:pPr>
        <w:rPr>
          <w:rFonts w:hint="eastAsia" w:ascii="汉仪中圆简" w:hAnsi="汉仪中圆简" w:eastAsia="汉仪中圆简" w:cs="汉仪中圆简"/>
          <w:color w:val="0D0D0D" w:themeColor="text1" w:themeTint="F2"/>
          <w:lang w:eastAsia="zh-CN"/>
          <w14:textFill>
            <w14:solidFill>
              <w14:schemeClr w14:val="tx1">
                <w14:lumMod w14:val="95000"/>
                <w14:lumOff w14:val="5000"/>
              </w14:schemeClr>
            </w14:solidFill>
          </w14:textFill>
        </w:rPr>
      </w:pPr>
    </w:p>
    <w:p>
      <w:pPr>
        <w:pStyle w:val="3"/>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bookmarkStart w:id="10" w:name="_Toc324103489"/>
      <w:r>
        <w:rPr>
          <w:rFonts w:hint="eastAsia" w:ascii="SimHei" w:hAnsi="SimHei" w:eastAsia="黑体" w:cs="汉仪中圆简"/>
          <w:color w:val="0D0D0D" w:themeColor="text1" w:themeTint="F2"/>
          <w14:textFill>
            <w14:solidFill>
              <w14:schemeClr w14:val="tx1">
                <w14:lumMod w14:val="95000"/>
                <w14:lumOff w14:val="5000"/>
              </w14:schemeClr>
            </w14:solidFill>
          </w14:textFill>
        </w:rPr>
        <w:t xml:space="preserve">3.1 </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招聘原则</w:t>
      </w:r>
      <w:bookmarkEnd w:id="10"/>
    </w:p>
    <w:p>
      <w:pPr>
        <w:numPr>
          <w:ilvl w:val="2"/>
          <w:numId w:val="2"/>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公司招聘员工的主要原则，乃视其对该职位是否合适而定，并以该职位的职务说明书为考核的标准。</w:t>
      </w:r>
    </w:p>
    <w:p>
      <w:pPr>
        <w:numPr>
          <w:ilvl w:val="2"/>
          <w:numId w:val="2"/>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公司聘用员工本着精简的原则，可聘可不聘者坚决不聘，无才无德者坚决</w:t>
      </w:r>
    </w:p>
    <w:p>
      <w:pPr>
        <w:numPr>
          <w:ilvl w:val="2"/>
          <w:numId w:val="2"/>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不聘，有才无德者坚决不聘，真正做到按需录用、量才录用、任人唯贤。</w:t>
      </w:r>
    </w:p>
    <w:p>
      <w:pPr>
        <w:numPr>
          <w:ilvl w:val="2"/>
          <w:numId w:val="2"/>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公平竞争，择优录用是公司招聘</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和晋升方面</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的另一重要原则，公司给予内部和外部应聘者同等的机会。</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职位或补空缺职位时，本公司将在可能情况下首先考虑已聘用员工，然后再向外招聘。公司员工在被聘用及晋升方面享有均等的机会；</w:t>
      </w:r>
    </w:p>
    <w:p>
      <w:pPr>
        <w:numPr>
          <w:ilvl w:val="2"/>
          <w:numId w:val="2"/>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工作表现是本公司晋升员工的最主要依据。</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pStyle w:val="3"/>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bookmarkStart w:id="11" w:name="_Toc324103490"/>
      <w:r>
        <w:rPr>
          <w:rFonts w:hint="eastAsia" w:ascii="SimHei" w:hAnsi="SimHei" w:eastAsia="黑体" w:cs="汉仪中圆简"/>
          <w:color w:val="0D0D0D" w:themeColor="text1" w:themeTint="F2"/>
          <w14:textFill>
            <w14:solidFill>
              <w14:schemeClr w14:val="tx1">
                <w14:lumMod w14:val="95000"/>
                <w14:lumOff w14:val="5000"/>
              </w14:schemeClr>
            </w14:solidFill>
          </w14:textFill>
        </w:rPr>
        <w:t xml:space="preserve">3.2 </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招聘及录用流程</w:t>
      </w:r>
      <w:bookmarkEnd w:id="11"/>
    </w:p>
    <w:p>
      <w:pPr>
        <w:numPr>
          <w:ilvl w:val="2"/>
          <w:numId w:val="3"/>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应聘者通过公司笔试、面试、背景审查和体格检查，并经确认合格后，可被公司聘为正式员工。</w:t>
      </w:r>
    </w:p>
    <w:p>
      <w:pPr>
        <w:numPr>
          <w:ilvl w:val="2"/>
          <w:numId w:val="3"/>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新进人员先至</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人力资源</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部办理报到手续，包括</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交验有关资料、证明；分配座位及电话分机号、领取员工手册、领取办公用品、办理邮箱登记、办理名片印刷登记、领用固定资产、参加迎新培训、签订劳动合同及保密协议等。</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（提示：部分企业要求个人提供当地户籍人员担保书；另需考虑个别移民问题）</w:t>
      </w:r>
    </w:p>
    <w:p>
      <w:pPr>
        <w:numPr>
          <w:ilvl w:val="2"/>
          <w:numId w:val="3"/>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与试用部门负责人见面，接受工作安排，并与负责人指定的入职引导人见面。</w:t>
      </w:r>
    </w:p>
    <w:p>
      <w:pPr>
        <w:numPr>
          <w:ilvl w:val="2"/>
          <w:numId w:val="3"/>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公司将组织新入司员工参加新员工培训，以使员工对公司概况有初步了解。</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pStyle w:val="3"/>
        <w:numPr>
          <w:ilvl w:val="1"/>
          <w:numId w:val="3"/>
        </w:numPr>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bookmarkStart w:id="12" w:name="_Toc324103491"/>
      <w:r>
        <w:rPr>
          <w:rFonts w:hint="eastAsia" w:ascii="SimHei" w:hAnsi="SimHei" w:eastAsia="黑体" w:cs="汉仪中圆简"/>
          <w:color w:val="0D0D0D" w:themeColor="text1" w:themeTint="F2"/>
          <w14:textFill>
            <w14:solidFill>
              <w14:schemeClr w14:val="tx1">
                <w14:lumMod w14:val="95000"/>
                <w14:lumOff w14:val="5000"/>
              </w14:schemeClr>
            </w14:solidFill>
          </w14:textFill>
        </w:rPr>
        <w:t>个人</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档案管理</w:t>
      </w:r>
      <w:bookmarkEnd w:id="12"/>
    </w:p>
    <w:p>
      <w:pPr>
        <w:numPr>
          <w:ilvl w:val="2"/>
          <w:numId w:val="3"/>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公司所有员工均应认真填写</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个人信息表</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，并附上有关证书、证件的复印件。员工应保证个人资料的准确性和真实性，任何虚假信息一经查实，公司将可以立即解除聘用关系。</w:t>
      </w:r>
    </w:p>
    <w:p>
      <w:pPr>
        <w:numPr>
          <w:ilvl w:val="2"/>
          <w:numId w:val="3"/>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员工的</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姓名、</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住址、电话、婚姻状况</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、学历证书</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和其它个人资料若有变更，员工有责任立即</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（一个月内）</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通知</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人力资源部</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，以便公司在必要的时候运用正确的人力资源信息</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，同时确保与职员有关的各项权益。</w:t>
      </w:r>
    </w:p>
    <w:p>
      <w:pPr>
        <w:numPr>
          <w:ilvl w:val="2"/>
          <w:numId w:val="3"/>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个人档案管理内容包括：</w:t>
      </w:r>
    </w:p>
    <w:p>
      <w:pPr>
        <w:numPr>
          <w:ilvl w:val="0"/>
          <w:numId w:val="4"/>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个人应聘申请表（附照片）</w:t>
      </w:r>
    </w:p>
    <w:p>
      <w:pPr>
        <w:numPr>
          <w:ilvl w:val="0"/>
          <w:numId w:val="4"/>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个人简历（中/英文）</w:t>
      </w:r>
    </w:p>
    <w:p>
      <w:pPr>
        <w:numPr>
          <w:ilvl w:val="0"/>
          <w:numId w:val="4"/>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各种证件复印件（包括证件）</w:t>
      </w:r>
    </w:p>
    <w:p>
      <w:pPr>
        <w:numPr>
          <w:ilvl w:val="0"/>
          <w:numId w:val="4"/>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聘用书复印件（附有最初工资说明、职位说明）</w:t>
      </w:r>
    </w:p>
    <w:p>
      <w:pPr>
        <w:numPr>
          <w:ilvl w:val="0"/>
          <w:numId w:val="4"/>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各种培训证件复印件（个人、公司）</w:t>
      </w:r>
    </w:p>
    <w:p>
      <w:pPr>
        <w:numPr>
          <w:ilvl w:val="0"/>
          <w:numId w:val="4"/>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与公司签定的劳动合同（公司备件）</w:t>
      </w:r>
    </w:p>
    <w:p>
      <w:pPr>
        <w:numPr>
          <w:ilvl w:val="0"/>
          <w:numId w:val="4"/>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保密协议书、承诺书各一份（公司备件）</w:t>
      </w:r>
    </w:p>
    <w:p>
      <w:pPr>
        <w:numPr>
          <w:ilvl w:val="0"/>
          <w:numId w:val="4"/>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使用公司财物清单（包括固定资产、低值易耗品）</w:t>
      </w:r>
    </w:p>
    <w:p>
      <w:pPr>
        <w:numPr>
          <w:ilvl w:val="0"/>
          <w:numId w:val="4"/>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月度考核成绩单</w:t>
      </w:r>
    </w:p>
    <w:p>
      <w:pPr>
        <w:numPr>
          <w:ilvl w:val="0"/>
          <w:numId w:val="4"/>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月度考勤记录</w:t>
      </w:r>
    </w:p>
    <w:p>
      <w:pPr>
        <w:numPr>
          <w:ilvl w:val="0"/>
          <w:numId w:val="4"/>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试用期记录、个人转正总结（包括进入公司时间记录）</w:t>
      </w:r>
    </w:p>
    <w:p>
      <w:pPr>
        <w:numPr>
          <w:ilvl w:val="0"/>
          <w:numId w:val="4"/>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工资涨浮、月奖金记录（包括总监以上级别建议证明）</w:t>
      </w:r>
    </w:p>
    <w:p>
      <w:pPr>
        <w:numPr>
          <w:ilvl w:val="0"/>
          <w:numId w:val="4"/>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晋级记录（包括总监以上级别建议证明）</w:t>
      </w:r>
    </w:p>
    <w:p>
      <w:pPr>
        <w:numPr>
          <w:ilvl w:val="0"/>
          <w:numId w:val="4"/>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公司内部奖励证明（包括总经理意见证明）</w:t>
      </w:r>
    </w:p>
    <w:p>
      <w:pPr>
        <w:numPr>
          <w:ilvl w:val="0"/>
          <w:numId w:val="4"/>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个人休假明细（包括重要病、事、休假申请证件）</w:t>
      </w:r>
    </w:p>
    <w:p>
      <w:pPr>
        <w:numPr>
          <w:ilvl w:val="0"/>
          <w:numId w:val="4"/>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公司派送的培训记录（包括最后取得的证书原件）</w:t>
      </w:r>
    </w:p>
    <w:p>
      <w:pPr>
        <w:numPr>
          <w:ilvl w:val="0"/>
          <w:numId w:val="4"/>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个人福利记录</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 xml:space="preserve"> </w:t>
      </w:r>
    </w:p>
    <w:p>
      <w:pPr>
        <w:numPr>
          <w:ilvl w:val="0"/>
          <w:numId w:val="4"/>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出差记录表</w:t>
      </w:r>
    </w:p>
    <w:p>
      <w:pPr>
        <w:numPr>
          <w:ilvl w:val="0"/>
          <w:numId w:val="4"/>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财务部私人借款记录</w:t>
      </w:r>
    </w:p>
    <w:p>
      <w:pPr>
        <w:numPr>
          <w:ilvl w:val="0"/>
          <w:numId w:val="4"/>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公司股票期权记录（包括涨浮记录）</w:t>
      </w:r>
    </w:p>
    <w:p>
      <w:pPr>
        <w:numPr>
          <w:ilvl w:val="0"/>
          <w:numId w:val="4"/>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纪律与处罚记录（包括总监以上级别意见证明）</w:t>
      </w:r>
    </w:p>
    <w:p>
      <w:pPr>
        <w:numPr>
          <w:ilvl w:val="0"/>
          <w:numId w:val="4"/>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建议与投诉记录（包括被公司采纳建议具体内容）</w:t>
      </w:r>
    </w:p>
    <w:p>
      <w:pPr>
        <w:numPr>
          <w:ilvl w:val="0"/>
          <w:numId w:val="4"/>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离职手续明细单</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pStyle w:val="3"/>
        <w:numPr>
          <w:ilvl w:val="1"/>
          <w:numId w:val="3"/>
        </w:numPr>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bookmarkStart w:id="13" w:name="_Toc324103492"/>
      <w:r>
        <w:rPr>
          <w:rFonts w:hint="eastAsia" w:ascii="SimHei" w:hAnsi="SimHei" w:eastAsia="黑体" w:cs="汉仪中圆简"/>
          <w:color w:val="0D0D0D" w:themeColor="text1" w:themeTint="F2"/>
          <w14:textFill>
            <w14:solidFill>
              <w14:schemeClr w14:val="tx1">
                <w14:lumMod w14:val="95000"/>
                <w14:lumOff w14:val="5000"/>
              </w14:schemeClr>
            </w14:solidFill>
          </w14:textFill>
        </w:rPr>
        <w:t>试用</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与转正</w:t>
      </w:r>
      <w:bookmarkEnd w:id="13"/>
    </w:p>
    <w:p>
      <w:pPr>
        <w:numPr>
          <w:ilvl w:val="2"/>
          <w:numId w:val="3"/>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试用期是公司录用人员的必要环节，坚持双向选择、优胜劣汰的原则。新员工自报到的第一天起的之后三个月为试用期。此期间，如果职员感到公司实际状况、发展机</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会与预期有较大差距，或由于其它原因而决定离开，可提出辞职，并按规定办理离职手续；</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如果员工在试用期内的表现不符合职位要求或有严重过失的，公司可以立即终止与该员工的聘用关系；公司也可根据情况决定是否延长员工的试用期，但最长不超过六个月</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w:t>
      </w:r>
    </w:p>
    <w:p>
      <w:pPr>
        <w:numPr>
          <w:ilvl w:val="2"/>
          <w:numId w:val="3"/>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试用期满公司将书面通知员工被正式聘用；在计算员工服务年限时，试用期计入员工的服务年限。</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（提示：</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从公司离职后，重新再进入公司时，职员的</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服务年限</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将从最近一次进入公司起计。</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w:t>
      </w:r>
    </w:p>
    <w:p>
      <w:pPr>
        <w:numPr>
          <w:ilvl w:val="2"/>
          <w:numId w:val="3"/>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试用期内员工不享受公司福利及年假。</w:t>
      </w:r>
    </w:p>
    <w:p>
      <w:pPr>
        <w:numPr>
          <w:ilvl w:val="2"/>
          <w:numId w:val="3"/>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如试用合格并通过入职前培训（包括脱产集中培训和在职培训），职员可填写《新职员基础在职培训清单》、《新职员入职培训情况调查表》、《新职员熟悉部门情况练习》和《职员转正申请表》，</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员工的部门主管将就员工试用期的表现</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做出</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评估，并填写</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试用期业绩评估表</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在员工试用期结束前至少两周交至</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人力资源部</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，由</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人力资源部</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结合部门主管的评价，决定是否给予转正。</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（提示：财务人员须由总部财务部审核；副总经理、部门正副经理及以上人员需由人力资源部审核，集团总经理审批。）</w:t>
      </w:r>
    </w:p>
    <w:p>
      <w:pPr>
        <w:numPr>
          <w:ilvl w:val="2"/>
          <w:numId w:val="3"/>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b/>
          <w:color w:val="0D0D0D" w:themeColor="text1" w:themeTint="F2"/>
          <w:sz w:val="24"/>
          <w14:textFill>
            <w14:solidFill>
              <w14:schemeClr w14:val="tx1">
                <w14:lumMod w14:val="95000"/>
                <w14:lumOff w14:val="5000"/>
              </w14:schemeClr>
            </w14:solidFill>
          </w14:textFill>
        </w:rPr>
        <w:t>入职引导人</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企业根据自身需求确定是否设立）：试用期间，公司会指定入职引导人帮助新职员接受脱产集中培训和在职培训。入职引导人的职责包括向新职员介绍本部门职能、人员情况、讲解本职工作内容和要求，帮助了解公司有关规则和规定，为新职员安排脱产集中培训的时间，确认并协助取得《员工手册》等资料。任何有关工作的具体事务，如确定办公位、领取办公用品、使用办公设备、用餐、搭乘班车等，新职员都可咨询入职引导人。</w:t>
      </w:r>
    </w:p>
    <w:p>
      <w:pPr>
        <w:numPr>
          <w:ilvl w:val="2"/>
          <w:numId w:val="3"/>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转正后的员工由</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人力资源部</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部负责建立相应的社会福利和社会保险。</w:t>
      </w:r>
    </w:p>
    <w:p>
      <w:pPr>
        <w:pStyle w:val="9"/>
        <w:spacing w:before="0" w:beforeAutospacing="0" w:after="0" w:afterAutospacing="0" w:line="360" w:lineRule="auto"/>
        <w:jc w:val="both"/>
        <w:rPr>
          <w:rFonts w:hint="eastAsia" w:ascii="汉仪中圆简" w:hAnsi="汉仪中圆简" w:eastAsia="汉仪中圆简" w:cs="汉仪中圆简"/>
          <w:color w:val="0D0D0D" w:themeColor="text1" w:themeTint="F2"/>
          <w:kern w:val="2"/>
          <w14:textFill>
            <w14:solidFill>
              <w14:schemeClr w14:val="tx1">
                <w14:lumMod w14:val="95000"/>
                <w14:lumOff w14:val="5000"/>
              </w14:schemeClr>
            </w14:solidFill>
          </w14:textFill>
        </w:rPr>
      </w:pPr>
    </w:p>
    <w:p>
      <w:pPr>
        <w:pStyle w:val="3"/>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bookmarkStart w:id="14" w:name="_Toc324103493"/>
      <w:r>
        <w:rPr>
          <w:rFonts w:hint="eastAsia" w:ascii="SimHei" w:hAnsi="SimHei" w:eastAsia="黑体" w:cs="汉仪中圆简"/>
          <w:color w:val="0D0D0D" w:themeColor="text1" w:themeTint="F2"/>
          <w14:textFill>
            <w14:solidFill>
              <w14:schemeClr w14:val="tx1">
                <w14:lumMod w14:val="95000"/>
                <w14:lumOff w14:val="5000"/>
              </w14:schemeClr>
            </w14:solidFill>
          </w14:textFill>
        </w:rPr>
        <w:t>3.5工作时间</w:t>
      </w:r>
      <w:bookmarkEnd w:id="14"/>
    </w:p>
    <w:p>
      <w:pPr>
        <w:pStyle w:val="9"/>
        <w:spacing w:before="0" w:beforeAutospacing="0" w:after="0" w:afterAutospacing="0" w:line="360" w:lineRule="auto"/>
        <w:ind w:firstLine="480" w:firstLineChars="200"/>
        <w:jc w:val="both"/>
        <w:rPr>
          <w:rFonts w:hint="eastAsia" w:ascii="汉仪中圆简" w:hAnsi="汉仪中圆简" w:eastAsia="汉仪中圆简" w:cs="汉仪中圆简"/>
          <w:color w:val="0D0D0D" w:themeColor="text1" w:themeTint="F2"/>
          <w:kern w:val="2"/>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kern w:val="2"/>
          <w14:textFill>
            <w14:solidFill>
              <w14:schemeClr w14:val="tx1">
                <w14:lumMod w14:val="95000"/>
                <w14:lumOff w14:val="5000"/>
              </w14:schemeClr>
            </w14:solidFill>
          </w14:textFill>
        </w:rPr>
        <w:t>本公司实行每周五天工作日，每天工作时间为星期一至星期五：八点至十七点，</w:t>
      </w:r>
      <w:r>
        <w:rPr>
          <w:rFonts w:hint="eastAsia" w:ascii="SimHei" w:hAnsi="SimHei" w:eastAsia="黑体" w:cs="汉仪中圆简"/>
          <w:color w:val="0D0D0D" w:themeColor="text1" w:themeTint="F2"/>
          <w:kern w:val="2"/>
          <w14:textFill>
            <w14:solidFill>
              <w14:schemeClr w14:val="tx1">
                <w14:lumMod w14:val="95000"/>
                <w14:lumOff w14:val="5000"/>
              </w14:schemeClr>
            </w14:solidFill>
          </w14:textFill>
        </w:rPr>
        <w:t>平均每周工作时间不超过四十小时的工时制度。</w:t>
      </w:r>
      <w:r>
        <w:rPr>
          <w:rFonts w:hint="eastAsia" w:ascii="SimHei" w:hAnsi="SimHei" w:eastAsia="黑体" w:cs="汉仪中圆简"/>
          <w:color w:val="0D0D0D" w:themeColor="text1" w:themeTint="F2"/>
          <w:kern w:val="2"/>
          <w14:textFill>
            <w14:solidFill>
              <w14:schemeClr w14:val="tx1">
                <w14:lumMod w14:val="95000"/>
                <w14:lumOff w14:val="5000"/>
              </w14:schemeClr>
            </w14:solidFill>
          </w14:textFill>
        </w:rPr>
        <w:t>午餐时间：十二点至十三点。</w:t>
      </w:r>
    </w:p>
    <w:p>
      <w:pPr>
        <w:spacing w:line="500" w:lineRule="exact"/>
        <w:ind w:firstLine="480" w:firstLineChars="200"/>
        <w:rPr>
          <w:rFonts w:hint="eastAsia" w:ascii="汉仪中圆简" w:hAnsi="汉仪中圆简" w:eastAsia="汉仪中圆简" w:cs="汉仪中圆简"/>
          <w:color w:val="0D0D0D" w:themeColor="text1" w:themeTint="F2"/>
          <w:sz w:val="24"/>
          <w:lang w:eastAsia="zh-CN"/>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（提示：</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对于销售人员，经主管同意，工作时间可根据客户的需求来安排，除去午餐时间，每天的工作时间不能少于8小时。</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w:t>
      </w:r>
    </w:p>
    <w:p>
      <w:pPr>
        <w:spacing w:line="500" w:lineRule="exact"/>
        <w:ind w:firstLine="480" w:firstLineChars="200"/>
        <w:rPr>
          <w:rFonts w:hint="eastAsia" w:ascii="汉仪中圆简" w:hAnsi="汉仪中圆简" w:eastAsia="汉仪中圆简" w:cs="汉仪中圆简"/>
          <w:color w:val="0D0D0D" w:themeColor="text1" w:themeTint="F2"/>
          <w:sz w:val="24"/>
          <w:lang w:eastAsia="zh-CN"/>
          <w14:textFill>
            <w14:solidFill>
              <w14:schemeClr w14:val="tx1">
                <w14:lumMod w14:val="95000"/>
                <w14:lumOff w14:val="5000"/>
              </w14:schemeClr>
            </w14:solidFill>
          </w14:textFill>
        </w:rPr>
      </w:pP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pStyle w:val="2"/>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bookmarkStart w:id="15" w:name="_Toc324103494"/>
      <w:r>
        <w:rPr>
          <w:rFonts w:hint="eastAsia" w:ascii="SimHei" w:hAnsi="SimHei" w:eastAsia="黑体" w:cs="汉仪中圆简"/>
          <w:color w:val="0D0D0D" w:themeColor="text1" w:themeTint="F2"/>
          <w14:textFill>
            <w14:solidFill>
              <w14:schemeClr w14:val="tx1">
                <w14:lumMod w14:val="95000"/>
                <w14:lumOff w14:val="5000"/>
              </w14:schemeClr>
            </w14:solidFill>
          </w14:textFill>
        </w:rPr>
        <w:t>第四章 员工行为准则（员工守则）</w:t>
      </w:r>
      <w:bookmarkEnd w:id="15"/>
    </w:p>
    <w:p>
      <w:pPr>
        <w:pStyle w:val="3"/>
        <w:numPr>
          <w:ilvl w:val="1"/>
          <w:numId w:val="5"/>
        </w:numPr>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t xml:space="preserve"> </w:t>
      </w:r>
      <w:bookmarkStart w:id="16" w:name="_Toc324103495"/>
      <w:r>
        <w:rPr>
          <w:rFonts w:hint="eastAsia" w:ascii="SimHei" w:hAnsi="SimHei" w:eastAsia="黑体" w:cs="汉仪中圆简"/>
          <w:color w:val="0D0D0D" w:themeColor="text1" w:themeTint="F2"/>
          <w14:textFill>
            <w14:solidFill>
              <w14:schemeClr w14:val="tx1">
                <w14:lumMod w14:val="95000"/>
                <w14:lumOff w14:val="5000"/>
              </w14:schemeClr>
            </w14:solidFill>
          </w14:textFill>
        </w:rPr>
        <w:t>总则</w:t>
      </w:r>
      <w:bookmarkEnd w:id="16"/>
    </w:p>
    <w:p>
      <w:pPr>
        <w:numPr>
          <w:ilvl w:val="2"/>
          <w:numId w:val="5"/>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本准则体现了公司价值观的基本要求，职员应当熟知并遵守。</w:t>
      </w:r>
    </w:p>
    <w:p>
      <w:pPr>
        <w:numPr>
          <w:ilvl w:val="2"/>
          <w:numId w:val="5"/>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员工必须遵守中华人民共和国各项法律法规。</w:t>
      </w:r>
    </w:p>
    <w:p>
      <w:pPr>
        <w:numPr>
          <w:ilvl w:val="2"/>
          <w:numId w:val="5"/>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在代表公司的各项活动中，员工必须维护公司荣誉与利益。</w:t>
      </w:r>
    </w:p>
    <w:p>
      <w:pPr>
        <w:numPr>
          <w:ilvl w:val="2"/>
          <w:numId w:val="5"/>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每位员工都应在工作中积极进取、严于自律、不断提升个人工作技能、技巧。</w:t>
      </w:r>
    </w:p>
    <w:p>
      <w:pPr>
        <w:numPr>
          <w:ilvl w:val="2"/>
          <w:numId w:val="5"/>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公司提倡互相信任的工作氛围，员工之间应该相互尊敬、相互信任。</w:t>
      </w:r>
    </w:p>
    <w:p>
      <w:pPr>
        <w:numPr>
          <w:ilvl w:val="2"/>
          <w:numId w:val="5"/>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公司尊重职员的正当权益，通过本准则界定公司利益与职员个人利益，避免二者发生冲突。</w:t>
      </w:r>
    </w:p>
    <w:p>
      <w:pPr>
        <w:numPr>
          <w:ilvl w:val="2"/>
          <w:numId w:val="5"/>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职员违反本准则可能导致公司与之解除劳动合同。职员违反本准则给公司造成经济损失，公司将依法追索经济赔偿。职员行为涉嫌刑事犯罪，公司将报告司法机关处理。</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pStyle w:val="3"/>
        <w:numPr>
          <w:ilvl w:val="1"/>
          <w:numId w:val="5"/>
        </w:numPr>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t xml:space="preserve"> </w:t>
      </w:r>
      <w:bookmarkStart w:id="17" w:name="_Toc324103496"/>
      <w:r>
        <w:rPr>
          <w:rFonts w:hint="eastAsia" w:ascii="SimHei" w:hAnsi="SimHei" w:eastAsia="黑体" w:cs="汉仪中圆简"/>
          <w:color w:val="0D0D0D" w:themeColor="text1" w:themeTint="F2"/>
          <w14:textFill>
            <w14:solidFill>
              <w14:schemeClr w14:val="tx1">
                <w14:lumMod w14:val="95000"/>
                <w14:lumOff w14:val="5000"/>
              </w14:schemeClr>
            </w14:solidFill>
          </w14:textFill>
        </w:rPr>
        <w:t>职务权责</w:t>
      </w:r>
      <w:bookmarkEnd w:id="17"/>
    </w:p>
    <w:p>
      <w:pPr>
        <w:numPr>
          <w:ilvl w:val="2"/>
          <w:numId w:val="5"/>
        </w:numPr>
        <w:spacing w:line="500" w:lineRule="exact"/>
        <w:rPr>
          <w:rFonts w:hint="eastAsia" w:ascii="汉仪中圆简" w:hAnsi="汉仪中圆简" w:eastAsia="汉仪中圆简" w:cs="汉仪中圆简"/>
          <w:b/>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b/>
          <w:color w:val="0D0D0D" w:themeColor="text1" w:themeTint="F2"/>
          <w:sz w:val="24"/>
          <w14:textFill>
            <w14:solidFill>
              <w14:schemeClr w14:val="tx1">
                <w14:lumMod w14:val="95000"/>
                <w14:lumOff w14:val="5000"/>
              </w14:schemeClr>
            </w14:solidFill>
          </w14:textFill>
        </w:rPr>
        <w:t>经营活动</w:t>
      </w:r>
    </w:p>
    <w:p>
      <w:pPr>
        <w:numPr>
          <w:ilvl w:val="3"/>
          <w:numId w:val="5"/>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职员应守法、诚实地履行自己的职责，任何私人理由都不应成为其职务行为的动机。</w:t>
      </w:r>
    </w:p>
    <w:p>
      <w:pPr>
        <w:numPr>
          <w:ilvl w:val="3"/>
          <w:numId w:val="5"/>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维护公司利益是职员的义务。职员不得从事、参与、支持、纵容对公司有现实或潜在危害的行为。发现公司利益受到损害，职员应向公司汇报，不得拖延或隐瞒。</w:t>
      </w:r>
    </w:p>
    <w:p>
      <w:pPr>
        <w:numPr>
          <w:ilvl w:val="3"/>
          <w:numId w:val="5"/>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在未经授权的情况下，职员不得超越本职业务和职权范围从事经营活动。</w:t>
      </w:r>
    </w:p>
    <w:p>
      <w:pPr>
        <w:numPr>
          <w:ilvl w:val="3"/>
          <w:numId w:val="5"/>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除本职日常业务外，未经公司授权或批准，职员不得从事下列活动：</w:t>
      </w:r>
    </w:p>
    <w:p>
      <w:pPr>
        <w:spacing w:line="500" w:lineRule="exact"/>
        <w:ind w:firstLine="600" w:firstLineChars="2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（1）以公司名义进行考察、谈判、签约、招投标、竞拍等；</w:t>
      </w:r>
    </w:p>
    <w:p>
      <w:pPr>
        <w:spacing w:line="500" w:lineRule="exact"/>
        <w:ind w:firstLine="600" w:firstLineChars="2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（2）以公司名义提供担保、证明；</w:t>
      </w:r>
    </w:p>
    <w:p>
      <w:pPr>
        <w:spacing w:line="500" w:lineRule="exact"/>
        <w:ind w:firstLine="600" w:firstLineChars="2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（3）以公司名义对新闻媒介发表意见、消息；</w:t>
      </w:r>
    </w:p>
    <w:p>
      <w:pPr>
        <w:spacing w:line="500" w:lineRule="exact"/>
        <w:ind w:firstLine="600" w:firstLineChars="2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（4）代表公司出席公众活动。</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4.2.1.5职员须严格执行公司颁布的各项制度。职员认为公司制度明显不适用，应及时向上司或制定和解释该制度的部门反映。公司鼓励职员就工作充分发表意见或提出合理化建议。</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4.2.1.6遵循管理流程接受上司的领导是职员的职责。职员应服从上司的指示。职员如认为上司的指示有违法律及商业道德，或危害公司利益，有权越级汇报。</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4.2.1.7遇到工作职责交叉或模糊的事项，公司鼓励勇于承担责任和以公司利益为重的行为，倡导主动积极地行动，推动工作完成。在工作紧急和重要的情况下，职员不得以分工不明为由推诿。</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4.2.1.8严禁职员超出公司授权范围或业务指引的要求，对客户和业务关联单位做出书面或口头承诺。在公司内部，职员应实事求是地对工作做出承诺，并努力兑现。</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4.2.1.9职员有贪污、受贿或作假欺骗公司的行为，无论给公司造成损失与否，公司均可无条件与之解除劳动合同。</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spacing w:line="500" w:lineRule="exact"/>
        <w:rPr>
          <w:rFonts w:hint="eastAsia" w:ascii="汉仪中圆简" w:hAnsi="汉仪中圆简" w:eastAsia="汉仪中圆简" w:cs="汉仪中圆简"/>
          <w:b/>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b/>
          <w:color w:val="0D0D0D" w:themeColor="text1" w:themeTint="F2"/>
          <w:sz w:val="24"/>
          <w14:textFill>
            <w14:solidFill>
              <w14:schemeClr w14:val="tx1">
                <w14:lumMod w14:val="95000"/>
                <w14:lumOff w14:val="5000"/>
              </w14:schemeClr>
            </w14:solidFill>
          </w14:textFill>
        </w:rPr>
        <w:t>4.2.2资源使用</w:t>
      </w:r>
    </w:p>
    <w:p>
      <w:pPr>
        <w:numPr>
          <w:ilvl w:val="3"/>
          <w:numId w:val="6"/>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职员未经批准，不得将公司资产赠与、转让、出租、出借、抵押给其它单位或者个人。</w:t>
      </w:r>
    </w:p>
    <w:p>
      <w:pPr>
        <w:numPr>
          <w:ilvl w:val="3"/>
          <w:numId w:val="6"/>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职员对公司的办公设备、交通工具、通讯及网络系统或其他资产，不得违反使用规定，做任何不适当的用途。</w:t>
      </w:r>
    </w:p>
    <w:p>
      <w:pPr>
        <w:numPr>
          <w:ilvl w:val="3"/>
          <w:numId w:val="6"/>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公司的一切书面和电子教材、培训资料等，均有知识产权，职员未经授权，不得对外传播。</w:t>
      </w:r>
    </w:p>
    <w:p>
      <w:pPr>
        <w:numPr>
          <w:ilvl w:val="3"/>
          <w:numId w:val="6"/>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职员因职务取得的商业和技术信息、发明创造和研究成果等，权益归公司所有。</w:t>
      </w:r>
    </w:p>
    <w:p>
      <w:pPr>
        <w:numPr>
          <w:ilvl w:val="3"/>
          <w:numId w:val="6"/>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职员对任何公司财产，包括配备给个人使用的办公桌、保险柜、橱柜，乃至储存在公司设备内的电子资料，不具有隐私权。公司有权进行检查和调配。</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pStyle w:val="3"/>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bookmarkStart w:id="18" w:name="_Toc324103497"/>
      <w:r>
        <w:rPr>
          <w:rFonts w:hint="eastAsia" w:ascii="SimHei" w:hAnsi="SimHei" w:eastAsia="黑体" w:cs="汉仪中圆简"/>
          <w:color w:val="0D0D0D" w:themeColor="text1" w:themeTint="F2"/>
          <w14:textFill>
            <w14:solidFill>
              <w14:schemeClr w14:val="tx1">
                <w14:lumMod w14:val="95000"/>
                <w14:lumOff w14:val="5000"/>
              </w14:schemeClr>
            </w14:solidFill>
          </w14:textFill>
        </w:rPr>
        <w:t>4.3 内外交往</w:t>
      </w:r>
      <w:bookmarkEnd w:id="18"/>
    </w:p>
    <w:p>
      <w:pPr>
        <w:numPr>
          <w:ilvl w:val="2"/>
          <w:numId w:val="7"/>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员工在业务范围内，应坚持合法、正当的职业道德。不准索取或者收受相关业务往来单位（客户）的酬金（回扣），否则将构成受贿；对于对方馈赠的礼物，只有当价值较小（按公认标准），接受后不会影响正确处理与对方的业务关系，且拒绝对方会被视为失礼的情况下，才可以在公开的场合下接受，并应在事后及时报告上司。反对以贿赂或其它不正当手段取得不正当利益。</w:t>
      </w:r>
    </w:p>
    <w:p>
      <w:pPr>
        <w:numPr>
          <w:ilvl w:val="2"/>
          <w:numId w:val="7"/>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员工不得挪用公款谋求个人利益或为他人谋取利益，否则依法追究其刑事责任。</w:t>
      </w:r>
    </w:p>
    <w:p>
      <w:pPr>
        <w:numPr>
          <w:ilvl w:val="2"/>
          <w:numId w:val="7"/>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员工在对外业务往来中，按照规定接受相关单位（客户）礼品（佣金），应按公司有关礼品管理制度上缴公司。</w:t>
      </w:r>
    </w:p>
    <w:p>
      <w:pPr>
        <w:numPr>
          <w:ilvl w:val="2"/>
          <w:numId w:val="7"/>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员工在对外业务往来中，不得参加违反法律法规及社会公德的活动。</w:t>
      </w:r>
    </w:p>
    <w:p>
      <w:pPr>
        <w:numPr>
          <w:ilvl w:val="2"/>
          <w:numId w:val="7"/>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公司对外的交际应酬活动，应本着礼貌大方、简朴务实的原则，不应铺张浪费。公司内部的接待工作，应务实简朴。职员在安排交际活动时须考虑以下重要因素：</w:t>
      </w:r>
    </w:p>
    <w:p>
      <w:pPr>
        <w:spacing w:line="500" w:lineRule="exact"/>
        <w:ind w:firstLine="600" w:firstLineChars="2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（1）是否属于工作需要；</w:t>
      </w:r>
    </w:p>
    <w:p>
      <w:pPr>
        <w:spacing w:line="500" w:lineRule="exact"/>
        <w:ind w:firstLine="600" w:firstLineChars="2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（2）费用、频率和时机是否恰当；</w:t>
      </w:r>
    </w:p>
    <w:p>
      <w:pPr>
        <w:spacing w:line="500" w:lineRule="exact"/>
        <w:ind w:firstLine="600" w:firstLineChars="2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（3）消费项目是否合法。</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4.3.6 公司对外部单位或个人支付佣金、回扣、酬金，或提供招待、馈赠等，应坚持下列原则：</w:t>
      </w:r>
    </w:p>
    <w:p>
      <w:pPr>
        <w:spacing w:line="500" w:lineRule="exact"/>
        <w:ind w:firstLine="480" w:firstLineChars="2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（1）不违反相关法律法规；</w:t>
      </w:r>
    </w:p>
    <w:p>
      <w:pPr>
        <w:spacing w:line="500" w:lineRule="exact"/>
        <w:ind w:firstLine="480" w:firstLineChars="2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（2）符合一般道德标准和商业惯例。</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4.3.7 尊重客户、业务关联单位和同事是基本的职业准则。职员不得在任何场合诋毁任何单位和个人。</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pStyle w:val="3"/>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bookmarkStart w:id="19" w:name="_Toc324103498"/>
      <w:r>
        <w:rPr>
          <w:rFonts w:hint="eastAsia" w:ascii="SimHei" w:hAnsi="SimHei" w:eastAsia="黑体" w:cs="汉仪中圆简"/>
          <w:color w:val="0D0D0D" w:themeColor="text1" w:themeTint="F2"/>
          <w14:textFill>
            <w14:solidFill>
              <w14:schemeClr w14:val="tx1">
                <w14:lumMod w14:val="95000"/>
                <w14:lumOff w14:val="5000"/>
              </w14:schemeClr>
            </w14:solidFill>
          </w14:textFill>
        </w:rPr>
        <w:t>4.4 个人与公司利益的冲突</w:t>
      </w:r>
      <w:bookmarkEnd w:id="19"/>
    </w:p>
    <w:p>
      <w:pPr>
        <w:spacing w:line="500" w:lineRule="exact"/>
        <w:rPr>
          <w:rFonts w:hint="eastAsia" w:ascii="汉仪中圆简" w:hAnsi="汉仪中圆简" w:eastAsia="汉仪中圆简" w:cs="汉仪中圆简"/>
          <w:b/>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b/>
          <w:color w:val="0D0D0D" w:themeColor="text1" w:themeTint="F2"/>
          <w:sz w:val="24"/>
          <w14:textFill>
            <w14:solidFill>
              <w14:schemeClr w14:val="tx1">
                <w14:lumMod w14:val="95000"/>
                <w14:lumOff w14:val="5000"/>
              </w14:schemeClr>
            </w14:solidFill>
          </w14:textFill>
        </w:rPr>
        <w:t>4.4.1 兼职</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4.4.1.1职员未经公司安排或批准，不得在外兼任获取报酬的工作。</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4.4.1.2在任何情况下，禁止下列情形的兼职（包括不获取报酬的活动）：</w:t>
      </w:r>
    </w:p>
    <w:p>
      <w:pPr>
        <w:spacing w:line="500" w:lineRule="exact"/>
        <w:ind w:firstLine="600" w:firstLineChars="2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（1）在公司内从事外部的兼职工作；</w:t>
      </w:r>
    </w:p>
    <w:p>
      <w:pPr>
        <w:spacing w:line="500" w:lineRule="exact"/>
        <w:ind w:firstLine="600" w:firstLineChars="2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（2）兼职于公司的业务关联单位、客户或者商业竞争对手；</w:t>
      </w:r>
    </w:p>
    <w:p>
      <w:pPr>
        <w:spacing w:line="500" w:lineRule="exact"/>
        <w:ind w:firstLine="600" w:firstLineChars="2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（3）所兼任的工作构成对公司的商业竞争；</w:t>
      </w:r>
    </w:p>
    <w:p>
      <w:pPr>
        <w:spacing w:line="500" w:lineRule="exact"/>
        <w:ind w:firstLine="600" w:firstLineChars="2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（4）因兼职影响本职工作或有损公司形象；</w:t>
      </w:r>
    </w:p>
    <w:p>
      <w:pPr>
        <w:spacing w:line="500" w:lineRule="exact"/>
        <w:ind w:firstLine="600" w:firstLineChars="2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（5）经理级及以上职员兼职。</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4.4.1.3公司鼓励职员在业余时间参加社会公益活动。但如利用公司资源或可能影响到工作，职员应事先获得公司批准。</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spacing w:line="500" w:lineRule="exact"/>
        <w:rPr>
          <w:rFonts w:hint="eastAsia" w:ascii="汉仪中圆简" w:hAnsi="汉仪中圆简" w:eastAsia="汉仪中圆简" w:cs="汉仪中圆简"/>
          <w:b/>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b/>
          <w:color w:val="0D0D0D" w:themeColor="text1" w:themeTint="F2"/>
          <w:sz w:val="24"/>
          <w14:textFill>
            <w14:solidFill>
              <w14:schemeClr w14:val="tx1">
                <w14:lumMod w14:val="95000"/>
                <w14:lumOff w14:val="5000"/>
              </w14:schemeClr>
            </w14:solidFill>
          </w14:textFill>
        </w:rPr>
        <w:t>4.4.2 个人投资</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4.4.2.1 职员可以在不与公司利益发生冲突的前提下，从事合法的投资活动，但不得进行下列情形的个人投资活动：</w:t>
      </w:r>
    </w:p>
    <w:p>
      <w:pPr>
        <w:spacing w:line="500" w:lineRule="exact"/>
        <w:ind w:firstLine="600" w:firstLineChars="2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 xml:space="preserve">（1）参与经营管理的； </w:t>
      </w:r>
    </w:p>
    <w:p>
      <w:pPr>
        <w:spacing w:line="500" w:lineRule="exact"/>
        <w:ind w:firstLine="600" w:firstLineChars="2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（2）对公司的客户、业务关联单位或商业竞争对手进行直接投资的；</w:t>
      </w:r>
    </w:p>
    <w:p>
      <w:pPr>
        <w:spacing w:line="500" w:lineRule="exact"/>
        <w:ind w:firstLine="600" w:firstLineChars="2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（3）借职务之便向投资对象提供利益的；</w:t>
      </w:r>
    </w:p>
    <w:p>
      <w:pPr>
        <w:spacing w:line="500" w:lineRule="exact"/>
        <w:ind w:firstLine="600" w:firstLineChars="2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（4）假借他人名义从事上述三项投资行为的。</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4.4.2.2 职员不得利用内幕消息，进行公司股票的买卖，亦不得指使、提示他人进行买卖。</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spacing w:line="500" w:lineRule="exact"/>
        <w:rPr>
          <w:rFonts w:hint="eastAsia" w:ascii="汉仪中圆简" w:hAnsi="汉仪中圆简" w:eastAsia="汉仪中圆简" w:cs="汉仪中圆简"/>
          <w:b/>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b/>
          <w:color w:val="0D0D0D" w:themeColor="text1" w:themeTint="F2"/>
          <w:sz w:val="24"/>
          <w14:textFill>
            <w14:solidFill>
              <w14:schemeClr w14:val="tx1">
                <w14:lumMod w14:val="95000"/>
                <w14:lumOff w14:val="5000"/>
              </w14:schemeClr>
            </w14:solidFill>
          </w14:textFill>
        </w:rPr>
        <w:t>4.4.3 特殊关系的回避</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4.4.3.1公司坚持举贤避亲的人事原则。职员不得录用或调动亲属到自己所管辖范围内工作。向集团内任何单位推荐自己亲属或好友的，应向人力资源部门提前申明。</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4.4.3.2已经存在亲属关系的职员，不得在同一地区（城市）或部门工作，并应回避有业务关联的岗位。新的亲属关系产生一个月内，须向人力资源部门书面声明。</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4.4.3.3公司不提倡职员与自己的亲属、好友所在单位建立业务合作关系。有正当理由建立业务关系的，要主动向上司书面申报自己的亲友关系，并应在相关的业务活动中回避。</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4.4.3.4职员应避免工作之外与业务关联单位的经营往来，不得利用职务影响力在业务关联单位安排亲属、接受劳务、技术服务或获取其他利益。如确实无法避免，应事先向公司申报。</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pStyle w:val="3"/>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bookmarkStart w:id="20" w:name="_Toc324103499"/>
      <w:r>
        <w:rPr>
          <w:rFonts w:hint="eastAsia" w:ascii="SimHei" w:hAnsi="SimHei" w:eastAsia="黑体" w:cs="汉仪中圆简"/>
          <w:color w:val="0D0D0D" w:themeColor="text1" w:themeTint="F2"/>
          <w14:textFill>
            <w14:solidFill>
              <w14:schemeClr w14:val="tx1">
                <w14:lumMod w14:val="95000"/>
                <w14:lumOff w14:val="5000"/>
              </w14:schemeClr>
            </w14:solidFill>
          </w14:textFill>
        </w:rPr>
        <w:t>4.5 投诉和举报</w:t>
      </w:r>
      <w:bookmarkEnd w:id="20"/>
    </w:p>
    <w:p>
      <w:pPr>
        <w:spacing w:line="500" w:lineRule="exact"/>
        <w:ind w:firstLine="480" w:firstLineChars="2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公司内部的投诉和举报，可以向人力资源部、法务部和纪律检查委员会以及主管该事项的高层经理人员提出。受理部门和人员，应认真调查处理投诉和举报，并为投诉人和举报人保密。</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pStyle w:val="3"/>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bookmarkStart w:id="21" w:name="_Toc324103500"/>
      <w:r>
        <w:rPr>
          <w:rFonts w:hint="eastAsia" w:ascii="SimHei" w:hAnsi="SimHei" w:eastAsia="黑体" w:cs="汉仪中圆简"/>
          <w:color w:val="0D0D0D" w:themeColor="text1" w:themeTint="F2"/>
          <w14:textFill>
            <w14:solidFill>
              <w14:schemeClr w14:val="tx1">
                <w14:lumMod w14:val="95000"/>
                <w14:lumOff w14:val="5000"/>
              </w14:schemeClr>
            </w14:solidFill>
          </w14:textFill>
        </w:rPr>
        <w:t>4.6 行为的判断及督导</w:t>
      </w:r>
      <w:bookmarkEnd w:id="21"/>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4.6.1职员判断个人行为是否违反本准则的简易标准是该行为能否毫无保留地在公司公开谈论。</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4.6.2职员有责任就难于作自我判断的行为或情形向上司或人力资源部咨询。接受咨询的部门和人员应给予及时、明确的指导并为当事人保密。</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4.6.3上司对其下属应尽到教导和管理的责任。如上司未能尽到责任，以致产生不良的后果，将与其下属同时受到处分。上司未尽教导和管理责任的情形包括：</w:t>
      </w:r>
    </w:p>
    <w:p>
      <w:pPr>
        <w:spacing w:line="500" w:lineRule="exact"/>
        <w:ind w:firstLine="360" w:firstLineChars="1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（1）默认下属违反本准则的行为；</w:t>
      </w:r>
    </w:p>
    <w:p>
      <w:pPr>
        <w:spacing w:line="500" w:lineRule="exact"/>
        <w:ind w:firstLine="360" w:firstLineChars="1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（2）未能按照公司规定保证下属定期接受本准则的培训；</w:t>
      </w:r>
    </w:p>
    <w:p>
      <w:pPr>
        <w:spacing w:line="500" w:lineRule="exact"/>
        <w:ind w:firstLine="360" w:firstLineChars="1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（3）未能采取有效的措施防止及补救管理上的漏洞；</w:t>
      </w:r>
    </w:p>
    <w:p>
      <w:pPr>
        <w:spacing w:line="500" w:lineRule="exact"/>
        <w:ind w:firstLine="360" w:firstLineChars="1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（4）未能严格遵守公司的政策进行管理。</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pStyle w:val="3"/>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bookmarkStart w:id="22" w:name="_Toc324103501"/>
      <w:r>
        <w:rPr>
          <w:rFonts w:hint="eastAsia" w:ascii="SimHei" w:hAnsi="SimHei" w:eastAsia="黑体" w:cs="汉仪中圆简"/>
          <w:color w:val="0D0D0D" w:themeColor="text1" w:themeTint="F2"/>
          <w14:textFill>
            <w14:solidFill>
              <w14:schemeClr w14:val="tx1">
                <w14:lumMod w14:val="95000"/>
                <w14:lumOff w14:val="5000"/>
              </w14:schemeClr>
            </w14:solidFill>
          </w14:textFill>
        </w:rPr>
        <w:t>4.7 职业礼仪</w:t>
      </w:r>
      <w:bookmarkEnd w:id="22"/>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4.7.1 职业形象</w:t>
      </w:r>
    </w:p>
    <w:p>
      <w:pPr>
        <w:spacing w:line="500" w:lineRule="exact"/>
        <w:ind w:firstLine="360" w:firstLineChars="1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（1）我们着力体现整洁、大方、得体的职业风格。</w:t>
      </w:r>
    </w:p>
    <w:p>
      <w:pPr>
        <w:spacing w:line="500" w:lineRule="exact"/>
        <w:ind w:firstLine="360" w:firstLineChars="1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（2）职员上班衣着基本分为：</w:t>
      </w:r>
    </w:p>
    <w:p>
      <w:pPr>
        <w:spacing w:line="500" w:lineRule="exact"/>
        <w:ind w:firstLine="480" w:firstLineChars="2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A、星期一至四</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 xml:space="preserve">    男职员着衬衫、西装、深色皮鞋（短袜），系领带；女职员着有袖衬衫、西装裙或西装裤、有袖套裙，着皮鞋。</w:t>
      </w:r>
    </w:p>
    <w:p>
      <w:pPr>
        <w:spacing w:line="500" w:lineRule="exact"/>
        <w:ind w:firstLine="480" w:firstLineChars="2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B、星期五</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 xml:space="preserve">    可着与工作场所相适应的轻便服装，但短裤、无袖装、超短裙不在此列。</w:t>
      </w:r>
    </w:p>
    <w:p>
      <w:pPr>
        <w:spacing w:line="500" w:lineRule="exact"/>
        <w:ind w:firstLine="480" w:firstLineChars="2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C、在“五一”、“十一”、“元旦”、“春节”等长假期时，如需要将休息日与工作日进行调换以连续休假，导致休息日仍需上班的，可在放假前一个工作日，着与工作场所相适应的轻便服装，其余时间，按照非周末要求着装。</w:t>
      </w:r>
    </w:p>
    <w:p>
      <w:pPr>
        <w:spacing w:line="500" w:lineRule="exact"/>
        <w:ind w:firstLine="600" w:firstLineChars="2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D、所在单位、岗位另有着装要求的，按要求执行。</w:t>
      </w:r>
    </w:p>
    <w:p>
      <w:pPr>
        <w:spacing w:line="500" w:lineRule="exact"/>
        <w:ind w:firstLine="480" w:firstLineChars="2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（3）上班时间佩戴工作牌。</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4.7.2 办公礼仪</w:t>
      </w:r>
    </w:p>
    <w:p>
      <w:pPr>
        <w:spacing w:line="500" w:lineRule="exact"/>
        <w:ind w:firstLine="360" w:firstLineChars="1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（1）使用电话注意语言简明；</w:t>
      </w:r>
    </w:p>
    <w:p>
      <w:pPr>
        <w:spacing w:line="500" w:lineRule="exact"/>
        <w:ind w:firstLine="360" w:firstLineChars="1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（2）代接同事办公位电话，做好必要记录并及时转达；</w:t>
      </w:r>
    </w:p>
    <w:p>
      <w:pPr>
        <w:spacing w:line="500" w:lineRule="exact"/>
        <w:ind w:firstLine="360" w:firstLineChars="1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（3）办公时间不擅离工作岗位，需暂时离开时应与同事交代；</w:t>
      </w:r>
    </w:p>
    <w:p>
      <w:pPr>
        <w:spacing w:line="500" w:lineRule="exact"/>
        <w:ind w:firstLine="360" w:firstLineChars="1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（4）不在办公区域高声喧哗，接待来访、业务洽谈要在洽谈室内或其他公司指定区域进行；</w:t>
      </w:r>
    </w:p>
    <w:p>
      <w:pPr>
        <w:spacing w:line="500" w:lineRule="exact"/>
        <w:ind w:firstLine="360" w:firstLineChars="1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（5）注意保持整洁的办公环境，不在办公区域进食或在非吸烟区吸烟；</w:t>
      </w:r>
    </w:p>
    <w:p>
      <w:pPr>
        <w:spacing w:line="500" w:lineRule="exact"/>
        <w:ind w:firstLine="360" w:firstLineChars="1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（6）适时调整手机铃声，办公区域内适当调低，培训/会议中则请取消铃声。</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4.7.3 员工应就工作资料、个人物品、现金进行妥善保存，以免丢失或损坏。</w:t>
      </w:r>
    </w:p>
    <w:p>
      <w:pPr>
        <w:spacing w:line="500" w:lineRule="exact"/>
        <w:rPr>
          <w:rFonts w:hint="eastAsia" w:ascii="汉仪中圆简" w:hAnsi="汉仪中圆简" w:eastAsia="汉仪中圆简" w:cs="汉仪中圆简"/>
          <w:b/>
          <w:color w:val="0D0D0D" w:themeColor="text1" w:themeTint="F2"/>
          <w:szCs w:val="21"/>
          <w14:textFill>
            <w14:solidFill>
              <w14:schemeClr w14:val="tx1">
                <w14:lumMod w14:val="95000"/>
                <w14:lumOff w14:val="5000"/>
              </w14:schemeClr>
            </w14:solidFill>
          </w14:textFill>
        </w:rPr>
      </w:pPr>
      <w:r>
        <w:rPr>
          <w:rFonts w:hint="eastAsia" w:ascii="SimHei" w:hAnsi="SimHei" w:eastAsia="黑体" w:cs="汉仪中圆简"/>
          <w:b/>
          <w:color w:val="0D0D0D" w:themeColor="text1" w:themeTint="F2"/>
          <w:szCs w:val="21"/>
          <w14:textFill>
            <w14:solidFill>
              <w14:schemeClr w14:val="tx1">
                <w14:lumMod w14:val="95000"/>
                <w14:lumOff w14:val="5000"/>
              </w14:schemeClr>
            </w14:solidFill>
          </w14:textFill>
        </w:rPr>
        <w:t>其它规定详见所在单位有关办公管理制度。</w:t>
      </w:r>
    </w:p>
    <w:p>
      <w:pPr>
        <w:spacing w:line="500" w:lineRule="exact"/>
        <w:rPr>
          <w:rFonts w:hint="eastAsia" w:ascii="汉仪中圆简" w:hAnsi="汉仪中圆简" w:eastAsia="汉仪中圆简" w:cs="汉仪中圆简"/>
          <w:b/>
          <w:color w:val="0D0D0D" w:themeColor="text1" w:themeTint="F2"/>
          <w:szCs w:val="21"/>
          <w14:textFill>
            <w14:solidFill>
              <w14:schemeClr w14:val="tx1">
                <w14:lumMod w14:val="95000"/>
                <w14:lumOff w14:val="5000"/>
              </w14:schemeClr>
            </w14:solidFill>
          </w14:textFill>
        </w:rPr>
      </w:pPr>
    </w:p>
    <w:p>
      <w:pPr>
        <w:pStyle w:val="3"/>
        <w:numPr>
          <w:ilvl w:val="1"/>
          <w:numId w:val="8"/>
        </w:numPr>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bookmarkStart w:id="23" w:name="_Toc324103502"/>
      <w:r>
        <w:rPr>
          <w:rFonts w:hint="eastAsia" w:ascii="SimHei" w:hAnsi="SimHei" w:eastAsia="黑体" w:cs="汉仪中圆简"/>
          <w:color w:val="0D0D0D" w:themeColor="text1" w:themeTint="F2"/>
          <w14:textFill>
            <w14:solidFill>
              <w14:schemeClr w14:val="tx1">
                <w14:lumMod w14:val="95000"/>
                <w14:lumOff w14:val="5000"/>
              </w14:schemeClr>
            </w14:solidFill>
          </w14:textFill>
        </w:rPr>
        <w:t>考勤制度</w:t>
      </w:r>
      <w:bookmarkEnd w:id="23"/>
    </w:p>
    <w:p>
      <w:pPr>
        <w:numPr>
          <w:ilvl w:val="2"/>
          <w:numId w:val="8"/>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上午上班前和下午下班后，职员要记住刷（打）卡，若因故不能刷（打）卡，应及时填写请假单报本部门负责人签字，然后送人力资源部门备案。</w:t>
      </w:r>
    </w:p>
    <w:p>
      <w:pPr>
        <w:numPr>
          <w:ilvl w:val="2"/>
          <w:numId w:val="8"/>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如代他人刷（打）卡，每次会扣除双方薪金各50元，违纪三次以上除作上述处罚外，本年度薪金级别不予上调。</w:t>
      </w:r>
    </w:p>
    <w:p>
      <w:pPr>
        <w:numPr>
          <w:ilvl w:val="2"/>
          <w:numId w:val="8"/>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无故不上班或故意不刷（打）卡作旷工处理，并给予行政处分或不超过当月薪金20%的经济处罚。连续旷工超过十五天，或一年内累计旷工超过三十天者，作除名处理，公司不负责其一切善后事宜。</w:t>
      </w:r>
    </w:p>
    <w:p>
      <w:pPr>
        <w:numPr>
          <w:ilvl w:val="2"/>
          <w:numId w:val="8"/>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迟到或早退5分钟以上15分钟以下者，每次扣除薪金</w:t>
      </w:r>
      <w:r>
        <w:rPr>
          <w:rFonts w:hint="eastAsia" w:ascii="SimHei" w:hAnsi="SimHei" w:eastAsia="黑体" w:cs="汉仪中圆简"/>
          <w:color w:val="0D0D0D" w:themeColor="text1" w:themeTint="F2"/>
          <w:sz w:val="24"/>
          <w:u w:val="single"/>
          <w14:textFill>
            <w14:solidFill>
              <w14:schemeClr w14:val="tx1">
                <w14:lumMod w14:val="95000"/>
                <w14:lumOff w14:val="5000"/>
              </w14:schemeClr>
            </w14:solidFill>
          </w14:textFill>
        </w:rPr>
        <w:t xml:space="preserve">     </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 xml:space="preserve">元；15分钟以上，两小时以下者，每次扣除薪金 </w:t>
      </w:r>
      <w:r>
        <w:rPr>
          <w:rFonts w:hint="eastAsia" w:ascii="SimHei" w:hAnsi="SimHei" w:eastAsia="黑体" w:cs="汉仪中圆简"/>
          <w:color w:val="0D0D0D" w:themeColor="text1" w:themeTint="F2"/>
          <w:sz w:val="24"/>
          <w:u w:val="single"/>
          <w14:textFill>
            <w14:solidFill>
              <w14:schemeClr w14:val="tx1">
                <w14:lumMod w14:val="95000"/>
                <w14:lumOff w14:val="5000"/>
              </w14:schemeClr>
            </w14:solidFill>
          </w14:textFill>
        </w:rPr>
        <w:t xml:space="preserve">     </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元，迟到或早退超过两小时按旷工处理。</w:t>
      </w:r>
    </w:p>
    <w:p>
      <w:pPr>
        <w:numPr>
          <w:ilvl w:val="2"/>
          <w:numId w:val="8"/>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请假须填写请假单，职员层由所在部门的经理签署意见，管理人员由上一级领导签署意见，获得批准并安排好工作后，才可离开工作岗位，同时请假单应交人力资源部门备案。</w:t>
      </w:r>
    </w:p>
    <w:p>
      <w:pPr>
        <w:numPr>
          <w:ilvl w:val="2"/>
          <w:numId w:val="8"/>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请病假必须于上班前或不迟于上班时间15分钟内，致电所在单位负责人及人力资源部门，且应于病假后上班第一天内，向公司提供规定医务机构出具的建议休息的有效证明。病假期间扣除当日福利补贴。病假累计半年以上者，至第七个月起按岗位薪金数额的70%为基数发放。</w:t>
      </w:r>
    </w:p>
    <w:p>
      <w:pPr>
        <w:numPr>
          <w:ilvl w:val="2"/>
          <w:numId w:val="8"/>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请事假将被扣除当日薪金全额及当日午餐补贴。</w:t>
      </w:r>
    </w:p>
    <w:p>
      <w:pPr>
        <w:numPr>
          <w:ilvl w:val="2"/>
          <w:numId w:val="8"/>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因参加社会活动请假，需经领导批准给予公假，薪金照发。</w:t>
      </w:r>
    </w:p>
    <w:p>
      <w:pPr>
        <w:numPr>
          <w:ilvl w:val="2"/>
          <w:numId w:val="8"/>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如赴外地出差，应填写出差单交人力资源部门备案。</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pStyle w:val="3"/>
        <w:numPr>
          <w:ilvl w:val="1"/>
          <w:numId w:val="8"/>
        </w:numPr>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bookmarkStart w:id="24" w:name="_Toc324103503"/>
      <w:r>
        <w:rPr>
          <w:rFonts w:hint="eastAsia" w:ascii="SimHei" w:hAnsi="SimHei" w:eastAsia="黑体" w:cs="汉仪中圆简"/>
          <w:color w:val="0D0D0D" w:themeColor="text1" w:themeTint="F2"/>
          <w14:textFill>
            <w14:solidFill>
              <w14:schemeClr w14:val="tx1">
                <w14:lumMod w14:val="95000"/>
                <w14:lumOff w14:val="5000"/>
              </w14:schemeClr>
            </w14:solidFill>
          </w14:textFill>
        </w:rPr>
        <w:t>出差制度</w:t>
      </w:r>
      <w:bookmarkEnd w:id="24"/>
    </w:p>
    <w:p>
      <w:pPr>
        <w:numPr>
          <w:ilvl w:val="2"/>
          <w:numId w:val="8"/>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公司内部出差管理，均由人力资源部负责，包括人员机票订购、房间订购，以及与主管领导最终协调批准。</w:t>
      </w:r>
    </w:p>
    <w:p>
      <w:pPr>
        <w:numPr>
          <w:ilvl w:val="2"/>
          <w:numId w:val="8"/>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通常情况下员工需提前一周向上级主管提出出差（当日往返的出差可根据</w:t>
      </w:r>
    </w:p>
    <w:p>
      <w:pPr>
        <w:numPr>
          <w:ilvl w:val="2"/>
          <w:numId w:val="8"/>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实际情况决定）申请，并作好工作安排，保证离开期间不会给工作带来任</w:t>
      </w:r>
    </w:p>
    <w:p>
      <w:pPr>
        <w:numPr>
          <w:ilvl w:val="2"/>
          <w:numId w:val="8"/>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何影响。</w:t>
      </w:r>
    </w:p>
    <w:p>
      <w:pPr>
        <w:numPr>
          <w:ilvl w:val="2"/>
          <w:numId w:val="8"/>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出差期间员工应遵守如下规定：</w:t>
      </w:r>
    </w:p>
    <w:p>
      <w:pPr>
        <w:numPr>
          <w:ilvl w:val="2"/>
          <w:numId w:val="8"/>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（1）</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注意言行举止，展示公司良好的企业形象；</w:t>
      </w:r>
    </w:p>
    <w:p>
      <w:pPr>
        <w:spacing w:line="500" w:lineRule="exact"/>
        <w:ind w:firstLine="720" w:firstLineChars="3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（2）</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避免与出差目的无关的活动；</w:t>
      </w:r>
    </w:p>
    <w:p>
      <w:pPr>
        <w:spacing w:line="500" w:lineRule="exact"/>
        <w:ind w:firstLine="720" w:firstLineChars="3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（3）</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出差在外期间应与上级主管保持联系，通报工作进程。如有行程变动，应立即报上级主管批准方可执行；</w:t>
      </w:r>
    </w:p>
    <w:p>
      <w:pPr>
        <w:spacing w:line="500" w:lineRule="exact"/>
        <w:ind w:firstLine="720" w:firstLineChars="3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（4）</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 xml:space="preserve">出差任务完成后应及时返回； </w:t>
      </w:r>
    </w:p>
    <w:p>
      <w:pPr>
        <w:spacing w:line="500" w:lineRule="exact"/>
        <w:ind w:firstLine="720" w:firstLineChars="300"/>
        <w:rPr>
          <w:rFonts w:hint="eastAsia" w:ascii="汉仪中圆简" w:hAnsi="汉仪中圆简" w:eastAsia="汉仪中圆简" w:cs="汉仪中圆简"/>
          <w:color w:val="0D0D0D" w:themeColor="text1" w:themeTint="F2"/>
          <w:sz w:val="24"/>
          <w:lang w:eastAsia="zh-CN"/>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（5）</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出差回来应及时向上级主管汇报工作情况。</w:t>
      </w:r>
    </w:p>
    <w:p>
      <w:pPr>
        <w:spacing w:line="500" w:lineRule="exact"/>
        <w:ind w:firstLine="720" w:firstLineChars="300"/>
        <w:rPr>
          <w:rFonts w:hint="eastAsia" w:ascii="汉仪中圆简" w:hAnsi="汉仪中圆简" w:eastAsia="汉仪中圆简" w:cs="汉仪中圆简"/>
          <w:color w:val="0D0D0D" w:themeColor="text1" w:themeTint="F2"/>
          <w:sz w:val="24"/>
          <w:lang w:eastAsia="zh-CN"/>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 xml:space="preserve">4.9.4 </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交通工具</w:t>
      </w:r>
    </w:p>
    <w:p>
      <w:pPr>
        <w:spacing w:line="500" w:lineRule="exact"/>
        <w:ind w:firstLine="720" w:firstLineChars="300"/>
        <w:rPr>
          <w:rFonts w:hint="eastAsia" w:ascii="汉仪中圆简" w:hAnsi="汉仪中圆简" w:eastAsia="汉仪中圆简" w:cs="汉仪中圆简"/>
          <w:color w:val="0D0D0D" w:themeColor="text1" w:themeTint="F2"/>
          <w:sz w:val="24"/>
          <w:lang w:eastAsia="zh-CN"/>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 xml:space="preserve">  </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 xml:space="preserve">    员工出差一般应选择乘坐汽车或火车（在火车上过夜方可选择卧铺），特殊情况或时间紧急方可乘坐飞机（经济舱）。</w:t>
      </w:r>
    </w:p>
    <w:p>
      <w:pPr>
        <w:spacing w:line="500" w:lineRule="exact"/>
        <w:ind w:firstLine="720" w:firstLineChars="300"/>
        <w:rPr>
          <w:rFonts w:hint="eastAsia" w:ascii="汉仪中圆简" w:hAnsi="汉仪中圆简" w:eastAsia="汉仪中圆简" w:cs="汉仪中圆简"/>
          <w:color w:val="0D0D0D" w:themeColor="text1" w:themeTint="F2"/>
          <w:sz w:val="24"/>
          <w:lang w:eastAsia="zh-CN"/>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 xml:space="preserve">4.9.5 </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出差住宿标准</w:t>
      </w:r>
    </w:p>
    <w:p>
      <w:pPr>
        <w:spacing w:line="500" w:lineRule="exact"/>
        <w:ind w:firstLine="720" w:firstLineChars="300"/>
        <w:rPr>
          <w:rFonts w:hint="eastAsia" w:ascii="汉仪中圆简" w:hAnsi="汉仪中圆简" w:eastAsia="汉仪中圆简" w:cs="汉仪中圆简"/>
          <w:color w:val="0D0D0D" w:themeColor="text1" w:themeTint="F2"/>
          <w:sz w:val="24"/>
          <w:lang w:eastAsia="zh-CN"/>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 xml:space="preserve">    </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需在出差地逗留24小时以上的员工选择住宿地时，一般员工住宿标准为</w:t>
      </w:r>
      <w:r>
        <w:rPr>
          <w:rFonts w:hint="eastAsia" w:ascii="SimHei" w:hAnsi="SimHei" w:eastAsia="黑体" w:cs="汉仪中圆简"/>
          <w:color w:val="0D0D0D" w:themeColor="text1" w:themeTint="F2"/>
          <w:sz w:val="24"/>
          <w:u w:val="single"/>
          <w14:textFill>
            <w14:solidFill>
              <w14:schemeClr w14:val="tx1">
                <w14:lumMod w14:val="95000"/>
                <w14:lumOff w14:val="5000"/>
              </w14:schemeClr>
            </w14:solidFill>
          </w14:textFill>
        </w:rPr>
        <w:t xml:space="preserve">  </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元/夜，部门主管级住宿标准为</w:t>
      </w:r>
      <w:r>
        <w:rPr>
          <w:rFonts w:hint="eastAsia" w:ascii="SimHei" w:hAnsi="SimHei" w:eastAsia="黑体" w:cs="汉仪中圆简"/>
          <w:color w:val="0D0D0D" w:themeColor="text1" w:themeTint="F2"/>
          <w:sz w:val="24"/>
          <w:u w:val="single"/>
          <w14:textFill>
            <w14:solidFill>
              <w14:schemeClr w14:val="tx1">
                <w14:lumMod w14:val="95000"/>
                <w14:lumOff w14:val="5000"/>
              </w14:schemeClr>
            </w14:solidFill>
          </w14:textFill>
        </w:rPr>
        <w:t xml:space="preserve">    </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元/夜，部门主管级以上者住宿标准为</w:t>
      </w:r>
      <w:r>
        <w:rPr>
          <w:rFonts w:hint="eastAsia" w:ascii="SimHei" w:hAnsi="SimHei" w:eastAsia="黑体" w:cs="汉仪中圆简"/>
          <w:color w:val="0D0D0D" w:themeColor="text1" w:themeTint="F2"/>
          <w:sz w:val="24"/>
          <w:u w:val="single"/>
          <w14:textFill>
            <w14:solidFill>
              <w14:schemeClr w14:val="tx1">
                <w14:lumMod w14:val="95000"/>
                <w14:lumOff w14:val="5000"/>
              </w14:schemeClr>
            </w14:solidFill>
          </w14:textFill>
        </w:rPr>
        <w:t xml:space="preserve">    </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元/夜。特殊情况经总经理批准后可超过以上标准。国外出差具体住宿标准参照当地水平决定，遵循合理经济的原则。</w:t>
      </w:r>
    </w:p>
    <w:p>
      <w:pPr>
        <w:spacing w:line="500" w:lineRule="exact"/>
        <w:ind w:firstLine="720" w:firstLineChars="300"/>
        <w:rPr>
          <w:rFonts w:hint="eastAsia" w:ascii="汉仪中圆简" w:hAnsi="汉仪中圆简" w:eastAsia="汉仪中圆简" w:cs="汉仪中圆简"/>
          <w:color w:val="0D0D0D" w:themeColor="text1" w:themeTint="F2"/>
          <w:sz w:val="24"/>
          <w:lang w:eastAsia="zh-CN"/>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 xml:space="preserve">4.9.6 </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伙食标准</w:t>
      </w:r>
    </w:p>
    <w:p>
      <w:pPr>
        <w:spacing w:line="500" w:lineRule="exact"/>
        <w:ind w:firstLine="720" w:firstLineChars="3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 xml:space="preserve">    （1）</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早餐标准为</w:t>
      </w:r>
      <w:r>
        <w:rPr>
          <w:rFonts w:hint="eastAsia" w:ascii="SimHei" w:hAnsi="SimHei" w:eastAsia="黑体" w:cs="汉仪中圆简"/>
          <w:color w:val="0D0D0D" w:themeColor="text1" w:themeTint="F2"/>
          <w:sz w:val="24"/>
          <w:u w:val="single"/>
          <w14:textFill>
            <w14:solidFill>
              <w14:schemeClr w14:val="tx1">
                <w14:lumMod w14:val="95000"/>
                <w14:lumOff w14:val="5000"/>
              </w14:schemeClr>
            </w14:solidFill>
          </w14:textFill>
        </w:rPr>
        <w:t xml:space="preserve">    </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元，午餐为</w:t>
      </w:r>
      <w:r>
        <w:rPr>
          <w:rFonts w:hint="eastAsia" w:ascii="SimHei" w:hAnsi="SimHei" w:eastAsia="黑体" w:cs="汉仪中圆简"/>
          <w:color w:val="0D0D0D" w:themeColor="text1" w:themeTint="F2"/>
          <w:sz w:val="24"/>
          <w:u w:val="single"/>
          <w14:textFill>
            <w14:solidFill>
              <w14:schemeClr w14:val="tx1">
                <w14:lumMod w14:val="95000"/>
                <w14:lumOff w14:val="5000"/>
              </w14:schemeClr>
            </w14:solidFill>
          </w14:textFill>
        </w:rPr>
        <w:t xml:space="preserve">    </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元，晚餐为</w:t>
      </w:r>
      <w:r>
        <w:rPr>
          <w:rFonts w:hint="eastAsia" w:ascii="SimHei" w:hAnsi="SimHei" w:eastAsia="黑体" w:cs="汉仪中圆简"/>
          <w:color w:val="0D0D0D" w:themeColor="text1" w:themeTint="F2"/>
          <w:sz w:val="24"/>
          <w:u w:val="single"/>
          <w14:textFill>
            <w14:solidFill>
              <w14:schemeClr w14:val="tx1">
                <w14:lumMod w14:val="95000"/>
                <w14:lumOff w14:val="5000"/>
              </w14:schemeClr>
            </w14:solidFill>
          </w14:textFill>
        </w:rPr>
        <w:t xml:space="preserve">     </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元。员工结束出差后可按标准在报销时申请出差餐费补贴；员工也可选择实报实销，但每日总餐费不可超过</w:t>
      </w:r>
      <w:r>
        <w:rPr>
          <w:rFonts w:hint="eastAsia" w:ascii="SimHei" w:hAnsi="SimHei" w:eastAsia="黑体" w:cs="汉仪中圆简"/>
          <w:color w:val="0D0D0D" w:themeColor="text1" w:themeTint="F2"/>
          <w:sz w:val="24"/>
          <w:u w:val="single"/>
          <w14:textFill>
            <w14:solidFill>
              <w14:schemeClr w14:val="tx1">
                <w14:lumMod w14:val="95000"/>
                <w14:lumOff w14:val="5000"/>
              </w14:schemeClr>
            </w14:solidFill>
          </w14:textFill>
        </w:rPr>
        <w:t xml:space="preserve">     </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元。</w:t>
      </w:r>
    </w:p>
    <w:p>
      <w:pPr>
        <w:spacing w:line="500" w:lineRule="exact"/>
        <w:ind w:firstLine="480" w:firstLineChars="2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（2）</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当日往返的出差，如于早上7：00前离家，可按标准申请早餐补贴；如于晚上7：00以后结束出差，可按标准申请晚餐补贴。</w:t>
      </w:r>
    </w:p>
    <w:p>
      <w:pPr>
        <w:spacing w:line="500" w:lineRule="exact"/>
        <w:ind w:firstLine="480" w:firstLineChars="2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（3）</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出差期间如安排宴请客户，凭发票按规定交际应酬费报销，此餐的餐费补贴将被取消。</w:t>
      </w:r>
    </w:p>
    <w:p>
      <w:pPr>
        <w:spacing w:line="500" w:lineRule="exact"/>
        <w:ind w:firstLine="480" w:firstLineChars="200"/>
        <w:rPr>
          <w:rFonts w:hint="eastAsia" w:ascii="汉仪中圆简" w:hAnsi="汉仪中圆简" w:eastAsia="汉仪中圆简" w:cs="汉仪中圆简"/>
          <w:color w:val="0D0D0D" w:themeColor="text1" w:themeTint="F2"/>
          <w:sz w:val="24"/>
          <w:lang w:eastAsia="zh-CN"/>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（4）</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酒店住宿含早餐或培训、会议等活动中提供餐饮的，则相应的餐费补贴被取消。</w:t>
      </w:r>
    </w:p>
    <w:p>
      <w:pPr>
        <w:spacing w:line="500" w:lineRule="exact"/>
        <w:ind w:firstLine="480" w:firstLineChars="200"/>
        <w:rPr>
          <w:rFonts w:hint="eastAsia" w:ascii="汉仪中圆简" w:hAnsi="汉仪中圆简" w:eastAsia="汉仪中圆简" w:cs="汉仪中圆简"/>
          <w:color w:val="0D0D0D" w:themeColor="text1" w:themeTint="F2"/>
          <w:sz w:val="24"/>
          <w:lang w:eastAsia="zh-CN"/>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 xml:space="preserve">4.9.7 </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出差补贴</w:t>
      </w:r>
    </w:p>
    <w:p>
      <w:pPr>
        <w:spacing w:line="500" w:lineRule="exact"/>
        <w:ind w:firstLine="480" w:firstLineChars="2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 xml:space="preserve">    （1）</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国内出差：省内或当日往返的出差每人每天补贴</w:t>
      </w:r>
      <w:r>
        <w:rPr>
          <w:rFonts w:hint="eastAsia" w:ascii="SimHei" w:hAnsi="SimHei" w:eastAsia="黑体" w:cs="汉仪中圆简"/>
          <w:color w:val="0D0D0D" w:themeColor="text1" w:themeTint="F2"/>
          <w:sz w:val="24"/>
          <w:u w:val="single"/>
          <w14:textFill>
            <w14:solidFill>
              <w14:schemeClr w14:val="tx1">
                <w14:lumMod w14:val="95000"/>
                <w14:lumOff w14:val="5000"/>
              </w14:schemeClr>
            </w14:solidFill>
          </w14:textFill>
        </w:rPr>
        <w:t xml:space="preserve">     </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元，其他情况的出差每人每天补贴</w:t>
      </w:r>
      <w:r>
        <w:rPr>
          <w:rFonts w:hint="eastAsia" w:ascii="SimHei" w:hAnsi="SimHei" w:eastAsia="黑体" w:cs="汉仪中圆简"/>
          <w:color w:val="0D0D0D" w:themeColor="text1" w:themeTint="F2"/>
          <w:sz w:val="24"/>
          <w:u w:val="single"/>
          <w14:textFill>
            <w14:solidFill>
              <w14:schemeClr w14:val="tx1">
                <w14:lumMod w14:val="95000"/>
                <w14:lumOff w14:val="5000"/>
              </w14:schemeClr>
            </w14:solidFill>
          </w14:textFill>
        </w:rPr>
        <w:t xml:space="preserve">    </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元。</w:t>
      </w:r>
    </w:p>
    <w:p>
      <w:pPr>
        <w:spacing w:line="500" w:lineRule="exact"/>
        <w:ind w:firstLine="480" w:firstLineChars="2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（2）</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国外出差：每人每天补贴</w:t>
      </w:r>
      <w:r>
        <w:rPr>
          <w:rFonts w:hint="eastAsia" w:ascii="SimHei" w:hAnsi="SimHei" w:eastAsia="黑体" w:cs="汉仪中圆简"/>
          <w:color w:val="0D0D0D" w:themeColor="text1" w:themeTint="F2"/>
          <w:sz w:val="24"/>
          <w:u w:val="single"/>
          <w14:textFill>
            <w14:solidFill>
              <w14:schemeClr w14:val="tx1">
                <w14:lumMod w14:val="95000"/>
                <w14:lumOff w14:val="5000"/>
              </w14:schemeClr>
            </w14:solidFill>
          </w14:textFill>
        </w:rPr>
        <w:t xml:space="preserve">     </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 xml:space="preserve">元。　</w:t>
      </w:r>
    </w:p>
    <w:p>
      <w:pPr>
        <w:numPr>
          <w:ilvl w:val="2"/>
          <w:numId w:val="9"/>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出差程序：</w:t>
      </w:r>
    </w:p>
    <w:p>
      <w:pPr>
        <w:numPr>
          <w:ilvl w:val="0"/>
          <w:numId w:val="10"/>
        </w:numPr>
        <w:spacing w:line="500" w:lineRule="exact"/>
        <w:ind w:hanging="873"/>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填写出差申请，主管或经理签署意见。</w:t>
      </w:r>
    </w:p>
    <w:p>
      <w:pPr>
        <w:numPr>
          <w:ilvl w:val="0"/>
          <w:numId w:val="10"/>
        </w:numPr>
        <w:spacing w:line="500" w:lineRule="exact"/>
        <w:ind w:hanging="873"/>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人力资源部与主管领导共同确定出差的必要性，并签署同意意见。</w:t>
      </w:r>
    </w:p>
    <w:p>
      <w:pPr>
        <w:numPr>
          <w:ilvl w:val="0"/>
          <w:numId w:val="10"/>
        </w:numPr>
        <w:spacing w:line="500" w:lineRule="exact"/>
        <w:ind w:hanging="873"/>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到财务部门办理借款手续。（具体条款参见财务说明）</w:t>
      </w:r>
    </w:p>
    <w:p>
      <w:pPr>
        <w:numPr>
          <w:ilvl w:val="2"/>
          <w:numId w:val="9"/>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报销程序：</w:t>
      </w:r>
    </w:p>
    <w:p>
      <w:pPr>
        <w:numPr>
          <w:ilvl w:val="0"/>
          <w:numId w:val="11"/>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出差返回后的半个月之内，到财务部门如实填报出差票据。</w:t>
      </w:r>
    </w:p>
    <w:p>
      <w:pPr>
        <w:numPr>
          <w:ilvl w:val="0"/>
          <w:numId w:val="11"/>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填写每日花费报告，并由主管或经理签署同意意见。</w:t>
      </w:r>
    </w:p>
    <w:p>
      <w:pPr>
        <w:numPr>
          <w:ilvl w:val="0"/>
          <w:numId w:val="11"/>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报销费用将在有效单据提交半个月后，由财务部门与出差人兑现。</w:t>
      </w:r>
    </w:p>
    <w:p>
      <w:pPr>
        <w:numPr>
          <w:ilvl w:val="0"/>
          <w:numId w:val="11"/>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具体细则参见公司有关财务制度中出差费用管理办法。</w:t>
      </w:r>
    </w:p>
    <w:p>
      <w:pPr>
        <w:numPr>
          <w:ilvl w:val="2"/>
          <w:numId w:val="9"/>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报销范围：五小时以下的经济仓航空机票、机场税、交通费、住宿费（等级标准参见财务细则）、餐费（等级标准参见财务细则）、其他费用提前由主管或经理同意；</w:t>
      </w:r>
    </w:p>
    <w:p>
      <w:pPr>
        <w:numPr>
          <w:ilvl w:val="2"/>
          <w:numId w:val="9"/>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不予报销范围：诸如酒吧或其他旅馆的房间服务费、娱乐费、其他商业花费、出差时间在五个工作日以下的洗衣费、未经批准的消费项目。</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pStyle w:val="3"/>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bookmarkStart w:id="25" w:name="_Toc324103504"/>
      <w:r>
        <w:rPr>
          <w:rFonts w:hint="eastAsia" w:ascii="SimHei" w:hAnsi="SimHei" w:eastAsia="黑体" w:cs="汉仪中圆简"/>
          <w:color w:val="0D0D0D" w:themeColor="text1" w:themeTint="F2"/>
          <w14:textFill>
            <w14:solidFill>
              <w14:schemeClr w14:val="tx1">
                <w14:lumMod w14:val="95000"/>
                <w14:lumOff w14:val="5000"/>
              </w14:schemeClr>
            </w14:solidFill>
          </w14:textFill>
        </w:rPr>
        <w:t>4.10 档案管理</w:t>
      </w:r>
      <w:bookmarkEnd w:id="25"/>
    </w:p>
    <w:p>
      <w:pPr>
        <w:spacing w:line="500" w:lineRule="exact"/>
        <w:ind w:firstLine="480" w:firstLineChars="200"/>
        <w:rPr>
          <w:rFonts w:hint="eastAsia" w:ascii="汉仪中圆简" w:hAnsi="汉仪中圆简" w:eastAsia="汉仪中圆简" w:cs="汉仪中圆简"/>
          <w:b/>
          <w:i/>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公司为了保证公司的文档管理，并加强知识管理，特别规定，所有部门的重要文档均需保留。（</w:t>
      </w:r>
      <w:r>
        <w:rPr>
          <w:rFonts w:hint="eastAsia" w:ascii="SimHei" w:hAnsi="SimHei" w:eastAsia="黑体" w:cs="汉仪中圆简"/>
          <w:b/>
          <w:i/>
          <w:color w:val="0D0D0D" w:themeColor="text1" w:themeTint="F2"/>
          <w:sz w:val="24"/>
          <w14:textFill>
            <w14:solidFill>
              <w14:schemeClr w14:val="tx1">
                <w14:lumMod w14:val="95000"/>
                <w14:lumOff w14:val="5000"/>
              </w14:schemeClr>
            </w14:solidFill>
          </w14:textFill>
        </w:rPr>
        <w:t>提示：便于知识分享：包括案例库、人才库、专利库等的储备与建设等）</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4.10.1 公司各个部门在制作重要文档时，应保存软、硬备份，并归档保存。</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4.10.2 保留文档以软件形式，定期送交人事行政部保存，包括文件、视频等形式。</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4.10.3 保留文档送交人事行政部之前，部门内部应按照公司统一编号进行归整，标明文档时间、文档内容、文档对象、文档发布人、文档接受人以及文档目的。</w:t>
      </w:r>
    </w:p>
    <w:p>
      <w:pPr>
        <w:numPr>
          <w:ilvl w:val="2"/>
          <w:numId w:val="12"/>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人力资源部定期将公司所有文档软件制作成光盘保存。</w:t>
      </w:r>
    </w:p>
    <w:p>
      <w:pPr>
        <w:numPr>
          <w:ilvl w:val="2"/>
          <w:numId w:val="12"/>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公司资料、文件分为一般、秘密、机密、绝密四个等级。（根据需求而定）</w:t>
      </w:r>
    </w:p>
    <w:p>
      <w:pPr>
        <w:numPr>
          <w:ilvl w:val="2"/>
          <w:numId w:val="12"/>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员工因工作需要借阅一般资料、文件，应先在管理部进行登记；如需借阅保密级资料文件，应由公司领导签字认可，管理部门登记后方可借阅。</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pStyle w:val="3"/>
        <w:numPr>
          <w:ilvl w:val="1"/>
          <w:numId w:val="12"/>
        </w:numPr>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bookmarkStart w:id="26" w:name="_Toc324103505"/>
      <w:r>
        <w:rPr>
          <w:rFonts w:hint="eastAsia" w:ascii="SimHei" w:hAnsi="SimHei" w:eastAsia="黑体" w:cs="汉仪中圆简"/>
          <w:color w:val="0D0D0D" w:themeColor="text1" w:themeTint="F2"/>
          <w14:textFill>
            <w14:solidFill>
              <w14:schemeClr w14:val="tx1">
                <w14:lumMod w14:val="95000"/>
                <w14:lumOff w14:val="5000"/>
              </w14:schemeClr>
            </w14:solidFill>
          </w14:textFill>
        </w:rPr>
        <w:t>保密制度</w:t>
      </w:r>
      <w:bookmarkEnd w:id="26"/>
    </w:p>
    <w:p>
      <w:pPr>
        <w:numPr>
          <w:ilvl w:val="2"/>
          <w:numId w:val="13"/>
        </w:numPr>
        <w:spacing w:line="500" w:lineRule="exact"/>
        <w:ind w:left="720" w:leftChars="0" w:hanging="720" w:firstLineChars="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公司一切未经公开披露的业务信息、财务资料、人事信息、招投标资料、合同文件、客户资料、调研和统计信息、技术文件（含设计方案等）、企划营销方案、管理文件、会议内容等，均属企业秘密，职员有保守该秘密的义务，不得擅自复印，未经特许，不得带出公司。当不确定某些具体内容是否为企业秘密时，应由公司鉴定其性质。</w:t>
      </w:r>
    </w:p>
    <w:p>
      <w:pPr>
        <w:numPr>
          <w:ilvl w:val="2"/>
          <w:numId w:val="13"/>
        </w:numPr>
        <w:spacing w:line="500" w:lineRule="exact"/>
        <w:ind w:left="720" w:leftChars="0" w:hanging="720" w:firstLineChars="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机密文件和资料无需保留时，必须用碎纸机粉碎销毁。</w:t>
      </w:r>
    </w:p>
    <w:p>
      <w:pPr>
        <w:numPr>
          <w:ilvl w:val="2"/>
          <w:numId w:val="13"/>
        </w:numPr>
        <w:spacing w:line="500" w:lineRule="exact"/>
        <w:ind w:left="720" w:leftChars="0" w:hanging="720" w:firstLineChars="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员工未经公司授权或批准，不准对外提供标有密级的公司文件以及其它未经公开的经营状况、业务数据等资料、信息。</w:t>
      </w:r>
    </w:p>
    <w:p>
      <w:pPr>
        <w:numPr>
          <w:ilvl w:val="2"/>
          <w:numId w:val="13"/>
        </w:numPr>
        <w:spacing w:line="500" w:lineRule="exact"/>
        <w:ind w:left="720" w:leftChars="0" w:hanging="720" w:firstLineChars="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每位员工应对自己所使用的计算机的信息安全负责。</w:t>
      </w:r>
    </w:p>
    <w:p>
      <w:pPr>
        <w:numPr>
          <w:ilvl w:val="2"/>
          <w:numId w:val="13"/>
        </w:numPr>
        <w:spacing w:line="500" w:lineRule="exact"/>
        <w:ind w:left="720" w:leftChars="0" w:hanging="720" w:firstLineChars="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职员薪酬属于个人隐私，任何职员不得公开或私下询问、议论。掌握此信息的职员，不得以任何方式泄露。</w:t>
      </w:r>
    </w:p>
    <w:p>
      <w:pPr>
        <w:numPr>
          <w:ilvl w:val="2"/>
          <w:numId w:val="13"/>
        </w:numPr>
        <w:spacing w:line="500" w:lineRule="exact"/>
        <w:ind w:left="720" w:leftChars="0" w:hanging="720" w:firstLineChars="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职员接受外部邀请进行演讲、交流或授课，应事先征得上司批准，并就可能涉及的有关公司业务的重要内容征求上司意见。</w:t>
      </w:r>
    </w:p>
    <w:p>
      <w:pPr>
        <w:numPr>
          <w:ilvl w:val="2"/>
          <w:numId w:val="13"/>
        </w:numPr>
        <w:spacing w:line="500" w:lineRule="exact"/>
        <w:ind w:left="720" w:leftChars="0" w:hanging="720" w:firstLineChars="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职员应对各种工作密码保密，不对外提供和泄露。严禁盗用他人密码。</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pStyle w:val="3"/>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bookmarkStart w:id="27" w:name="_Toc324103506"/>
      <w:r>
        <w:rPr>
          <w:rFonts w:hint="eastAsia" w:ascii="SimHei" w:hAnsi="SimHei" w:eastAsia="黑体" w:cs="汉仪中圆简"/>
          <w:color w:val="0D0D0D" w:themeColor="text1" w:themeTint="F2"/>
          <w14:textFill>
            <w14:solidFill>
              <w14:schemeClr w14:val="tx1">
                <w14:lumMod w14:val="95000"/>
                <w14:lumOff w14:val="5000"/>
              </w14:schemeClr>
            </w14:solidFill>
          </w14:textFill>
        </w:rPr>
        <w:t>4.12 奖励制度</w:t>
      </w:r>
      <w:bookmarkEnd w:id="27"/>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 xml:space="preserve">4.12.1 </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 xml:space="preserve">有下列情况，公司将予以奖励： </w:t>
      </w:r>
    </w:p>
    <w:p>
      <w:pPr>
        <w:numPr>
          <w:ilvl w:val="0"/>
          <w:numId w:val="14"/>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为公司创造显著经济效益；</w:t>
      </w:r>
    </w:p>
    <w:p>
      <w:pPr>
        <w:numPr>
          <w:ilvl w:val="0"/>
          <w:numId w:val="14"/>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为公司挽回重大经济损失；</w:t>
      </w:r>
    </w:p>
    <w:p>
      <w:pPr>
        <w:numPr>
          <w:ilvl w:val="0"/>
          <w:numId w:val="14"/>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为公司取得重大社会荣誉；</w:t>
      </w:r>
    </w:p>
    <w:p>
      <w:pPr>
        <w:numPr>
          <w:ilvl w:val="0"/>
          <w:numId w:val="14"/>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改进管理成效显著；</w:t>
      </w:r>
    </w:p>
    <w:p>
      <w:pPr>
        <w:numPr>
          <w:ilvl w:val="0"/>
          <w:numId w:val="14"/>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培养和举荐人才</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w:t>
      </w:r>
    </w:p>
    <w:p>
      <w:pPr>
        <w:numPr>
          <w:ilvl w:val="2"/>
          <w:numId w:val="15"/>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奖励分为年度特别奖和不定期即时奖励，年度特别奖须由所在部门推荐，人力资源部审核</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总经理批准，奖励方式为授予荣誉称号、颁发奖状和奖金。同时公司规定管理人员可对职员的业绩表现、工作态度、敬业精神、管理创新等给予即时奖励。</w:t>
      </w:r>
    </w:p>
    <w:p>
      <w:pPr>
        <w:numPr>
          <w:ilvl w:val="2"/>
          <w:numId w:val="15"/>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职员在公司服务满十周年，将获得由</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公司</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领导签发的纪念金牌。</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pStyle w:val="3"/>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bookmarkStart w:id="28" w:name="_Toc324103507"/>
      <w:r>
        <w:rPr>
          <w:rFonts w:hint="eastAsia" w:ascii="SimHei" w:hAnsi="SimHei" w:eastAsia="黑体" w:cs="汉仪中圆简"/>
          <w:color w:val="0D0D0D" w:themeColor="text1" w:themeTint="F2"/>
          <w14:textFill>
            <w14:solidFill>
              <w14:schemeClr w14:val="tx1">
                <w14:lumMod w14:val="95000"/>
                <w14:lumOff w14:val="5000"/>
              </w14:schemeClr>
            </w14:solidFill>
          </w14:textFill>
        </w:rPr>
        <w:t>4.13 处分制度</w:t>
      </w:r>
      <w:bookmarkEnd w:id="28"/>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4.13.1 有以下过失行为之一者，公司将视情节轻重、后果大小、认识态度等的不同，给予不同的处分或经济处罚。情节触犯国家有关法律、法规的，交由国家有关机关处罚。</w:t>
      </w:r>
    </w:p>
    <w:p>
      <w:pPr>
        <w:numPr>
          <w:ilvl w:val="0"/>
          <w:numId w:val="16"/>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玩忽职守造成事故，使公司蒙受较大经济、名誉损失；</w:t>
      </w:r>
    </w:p>
    <w:p>
      <w:pPr>
        <w:numPr>
          <w:ilvl w:val="0"/>
          <w:numId w:val="16"/>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盗窃行为，滥用或蓄意破坏公司财产；</w:t>
      </w:r>
    </w:p>
    <w:p>
      <w:pPr>
        <w:numPr>
          <w:ilvl w:val="0"/>
          <w:numId w:val="16"/>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违反公司规定屡教不改，或违法乱纪受刑事处罚；</w:t>
      </w:r>
    </w:p>
    <w:p>
      <w:pPr>
        <w:numPr>
          <w:ilvl w:val="0"/>
          <w:numId w:val="16"/>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涂改帐目、制造假帐欺骗公司；</w:t>
      </w:r>
    </w:p>
    <w:p>
      <w:pPr>
        <w:numPr>
          <w:ilvl w:val="0"/>
          <w:numId w:val="16"/>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利用工作之便，收受他人贿赂，造成恶劣影响或侵害公司利益；</w:t>
      </w:r>
    </w:p>
    <w:p>
      <w:pPr>
        <w:numPr>
          <w:ilvl w:val="0"/>
          <w:numId w:val="16"/>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蓄意煽动员工闹事或怠工；</w:t>
      </w:r>
    </w:p>
    <w:p>
      <w:pPr>
        <w:numPr>
          <w:ilvl w:val="0"/>
          <w:numId w:val="16"/>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在公司内从事破坏活动、窥探公司业务秘密或泄露任何不利于公司的机密；</w:t>
      </w:r>
    </w:p>
    <w:p>
      <w:pPr>
        <w:numPr>
          <w:ilvl w:val="0"/>
          <w:numId w:val="16"/>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违反、对抗上级主管指令；</w:t>
      </w:r>
    </w:p>
    <w:p>
      <w:pPr>
        <w:numPr>
          <w:ilvl w:val="0"/>
          <w:numId w:val="16"/>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工作时间内经常处理与工作无关的私人事情，且屡教不改；</w:t>
      </w:r>
    </w:p>
    <w:p>
      <w:pPr>
        <w:numPr>
          <w:ilvl w:val="0"/>
          <w:numId w:val="16"/>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故意隐瞒、修改个人资料；</w:t>
      </w:r>
    </w:p>
    <w:p>
      <w:pPr>
        <w:numPr>
          <w:ilvl w:val="0"/>
          <w:numId w:val="16"/>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工作疏忽或失职，通过网络或邮件泄露公司重要机密；</w:t>
      </w:r>
    </w:p>
    <w:p>
      <w:pPr>
        <w:numPr>
          <w:ilvl w:val="0"/>
          <w:numId w:val="16"/>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使用公司网络传播淫秽、反动、反政府或对公司有攻击性的言论、邮件、文件、图片，造成恶劣影响；</w:t>
      </w:r>
    </w:p>
    <w:p>
      <w:pPr>
        <w:numPr>
          <w:ilvl w:val="0"/>
          <w:numId w:val="16"/>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恶意攻击公司网络，造成网络瘫痪；</w:t>
      </w:r>
    </w:p>
    <w:p>
      <w:pPr>
        <w:numPr>
          <w:ilvl w:val="0"/>
          <w:numId w:val="16"/>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擅自进入他人信箱，窃取他人机密资料或侵犯他人隐私，造成严重后果；</w:t>
      </w:r>
    </w:p>
    <w:p>
      <w:pPr>
        <w:numPr>
          <w:ilvl w:val="0"/>
          <w:numId w:val="16"/>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未经允许，擅自安装计算机系统服务器软件，网络监控软件或网络硬件设施，造成公司网络无法正常运作；</w:t>
      </w:r>
    </w:p>
    <w:p>
      <w:pPr>
        <w:numPr>
          <w:ilvl w:val="0"/>
          <w:numId w:val="16"/>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不经检查或擅自卸载防病毒程序而造成病毒传播，工作用机系统瘫痪或他人用机系统瘫痪；</w:t>
      </w:r>
    </w:p>
    <w:p>
      <w:pPr>
        <w:numPr>
          <w:ilvl w:val="0"/>
          <w:numId w:val="16"/>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无故迟到、早退、缺勤、旷工；</w:t>
      </w:r>
    </w:p>
    <w:p>
      <w:pPr>
        <w:numPr>
          <w:ilvl w:val="0"/>
          <w:numId w:val="16"/>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工作时间着装不整，行为不检、有对他人不礼貌的言辞或行为（如侮辱同事、性骚扰等）；</w:t>
      </w:r>
    </w:p>
    <w:p>
      <w:pPr>
        <w:numPr>
          <w:ilvl w:val="0"/>
          <w:numId w:val="16"/>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破坏办公区环境，经常在办公区内高声喧哗；</w:t>
      </w:r>
    </w:p>
    <w:p>
      <w:pPr>
        <w:numPr>
          <w:ilvl w:val="0"/>
          <w:numId w:val="16"/>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安装盗版软件，造成工作用机系统瘫痪；</w:t>
      </w:r>
    </w:p>
    <w:p>
      <w:pPr>
        <w:numPr>
          <w:ilvl w:val="0"/>
          <w:numId w:val="16"/>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擅自安装硬件设备造成计算机死机。</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4.13.2 对以上过失行为处分办法如下：</w:t>
      </w:r>
    </w:p>
    <w:p>
      <w:pPr>
        <w:numPr>
          <w:ilvl w:val="0"/>
          <w:numId w:val="17"/>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辞退（触犯国家有关法律法规者交司法机关处理）</w:t>
      </w:r>
    </w:p>
    <w:p>
      <w:pPr>
        <w:numPr>
          <w:ilvl w:val="0"/>
          <w:numId w:val="17"/>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书面警告、降职、降级</w:t>
      </w:r>
    </w:p>
    <w:p>
      <w:pPr>
        <w:numPr>
          <w:ilvl w:val="0"/>
          <w:numId w:val="17"/>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口头警告、通报批评</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4.13.3 公司在处理员工违纪行为时，本着实事求是的原则，遵照公司其它行政管理规定，进行彻底深入调查，并保留每位员工的处理结果。</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pStyle w:val="3"/>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bookmarkStart w:id="29" w:name="_Toc324103508"/>
      <w:r>
        <w:rPr>
          <w:rFonts w:hint="eastAsia" w:ascii="SimHei" w:hAnsi="SimHei" w:eastAsia="黑体" w:cs="汉仪中圆简"/>
          <w:color w:val="0D0D0D" w:themeColor="text1" w:themeTint="F2"/>
          <w14:textFill>
            <w14:solidFill>
              <w14:schemeClr w14:val="tx1">
                <w14:lumMod w14:val="95000"/>
                <w14:lumOff w14:val="5000"/>
              </w14:schemeClr>
            </w14:solidFill>
          </w14:textFill>
        </w:rPr>
        <w:t>4.14 其它（相关人事及行政管理制度）</w:t>
      </w:r>
      <w:bookmarkEnd w:id="29"/>
    </w:p>
    <w:p>
      <w:pPr>
        <w:spacing w:line="500" w:lineRule="exact"/>
        <w:ind w:firstLine="420" w:firstLineChars="200"/>
        <w:rPr>
          <w:rFonts w:hint="eastAsia" w:ascii="汉仪中圆简" w:hAnsi="汉仪中圆简" w:eastAsia="汉仪中圆简" w:cs="汉仪中圆简"/>
          <w:b/>
          <w:color w:val="0D0D0D" w:themeColor="text1" w:themeTint="F2"/>
          <w:szCs w:val="21"/>
          <w14:textFill>
            <w14:solidFill>
              <w14:schemeClr w14:val="tx1">
                <w14:lumMod w14:val="95000"/>
                <w14:lumOff w14:val="5000"/>
              </w14:schemeClr>
            </w14:solidFill>
          </w14:textFill>
        </w:rPr>
      </w:pPr>
      <w:r>
        <w:rPr>
          <w:rFonts w:hint="eastAsia" w:ascii="SimHei" w:hAnsi="SimHei" w:eastAsia="黑体" w:cs="汉仪中圆简"/>
          <w:b/>
          <w:color w:val="0D0D0D" w:themeColor="text1" w:themeTint="F2"/>
          <w:szCs w:val="21"/>
          <w14:textFill>
            <w14:solidFill>
              <w14:schemeClr w14:val="tx1">
                <w14:lumMod w14:val="95000"/>
                <w14:lumOff w14:val="5000"/>
              </w14:schemeClr>
            </w14:solidFill>
          </w14:textFill>
        </w:rPr>
        <w:t>该部分为部分补充性的人事管理制度，具体可根据企业的实际需求突出所需内容，相关内容请参照详细文件，如办公管理规定、公司财务制度等。</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4.14.1 接待制度</w:t>
      </w:r>
    </w:p>
    <w:p>
      <w:pPr>
        <w:spacing w:line="500" w:lineRule="exact"/>
        <w:ind w:firstLine="480" w:firstLineChars="2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为保障公司机密安全，原则上公司以外的任何人员均不得进入公司办公区域。所有来访客人，均由前台秘书代为接待，请在前台座椅或前台接待室中等待。前台秘书电话通知被访者到前台接待，并由前台秘书做登记内容。如果特殊原因，来访客人需要进入办公区域，必须由被访者带领进入公司，并由被访者保证送出公司。总监以上的客人，由前台秘书电话通知总监秘书出来接待，将客人带领至总监办公室。</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 xml:space="preserve">4.14.2 会议室使用制度 </w:t>
      </w:r>
    </w:p>
    <w:p>
      <w:pPr>
        <w:spacing w:line="500" w:lineRule="exact"/>
        <w:ind w:firstLine="480" w:firstLineChars="2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会议室的使用由人力资源部指定的前台秘书统一安排，如果需要使用会议室，请提前与前台秘书预定。如果使用发生碰撞，由前台秘书根据会议时间的缓急做统一安排。如需要在会议期间使用新的办公用品、饮料等，请提前向人力资源部门提出申请，人力资源部在认为合理的情况下，将在会议前做好准备。</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 xml:space="preserve">4.14.3 胸卡制度（略） </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 xml:space="preserve">4.14.4 办公用品管理制度（略） </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4.14.5 员工报销制度（略）</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4.14.6 固定资产的使用（略）</w:t>
      </w:r>
    </w:p>
    <w:p>
      <w:pPr>
        <w:spacing w:line="500" w:lineRule="exact"/>
        <w:ind w:firstLine="600" w:firstLineChars="2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 xml:space="preserve">（1）个人计算机的使用  </w:t>
      </w:r>
    </w:p>
    <w:p>
      <w:pPr>
        <w:spacing w:line="500" w:lineRule="exact"/>
        <w:ind w:firstLine="600" w:firstLineChars="2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（2）投影仪的使用</w:t>
      </w:r>
    </w:p>
    <w:p>
      <w:pPr>
        <w:spacing w:line="500" w:lineRule="exact"/>
        <w:ind w:firstLine="600" w:firstLineChars="2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（3）打印机的使用</w:t>
      </w:r>
    </w:p>
    <w:p>
      <w:pPr>
        <w:spacing w:line="500" w:lineRule="exact"/>
        <w:ind w:firstLine="600" w:firstLineChars="2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（4）传真机的使用</w:t>
      </w:r>
    </w:p>
    <w:p>
      <w:pPr>
        <w:spacing w:line="500" w:lineRule="exact"/>
        <w:ind w:firstLine="600" w:firstLineChars="2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（5）复印机的使用</w:t>
      </w:r>
    </w:p>
    <w:p>
      <w:pPr>
        <w:spacing w:line="500" w:lineRule="exact"/>
        <w:ind w:firstLine="600" w:firstLineChars="2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（6）冰箱的使用</w:t>
      </w:r>
    </w:p>
    <w:p>
      <w:pPr>
        <w:spacing w:line="500" w:lineRule="exact"/>
        <w:ind w:firstLine="600" w:firstLineChars="2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（7）微波炉的使用</w:t>
      </w:r>
    </w:p>
    <w:p>
      <w:pPr>
        <w:spacing w:line="500" w:lineRule="exact"/>
        <w:ind w:firstLine="600" w:firstLineChars="2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4.14.7 车辆及司机的管理（略）</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4.14.8 非固定资产的管理（略）</w:t>
      </w:r>
    </w:p>
    <w:p>
      <w:pPr>
        <w:spacing w:line="500" w:lineRule="exact"/>
        <w:ind w:firstLine="480" w:firstLineChars="2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（1）办公用品的领用、购买管理</w:t>
      </w:r>
    </w:p>
    <w:p>
      <w:pPr>
        <w:spacing w:line="500" w:lineRule="exact"/>
        <w:ind w:firstLine="480" w:firstLineChars="2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（2）信件发放管理</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 xml:space="preserve">    （3）电话的使用</w:t>
      </w:r>
    </w:p>
    <w:p>
      <w:pPr>
        <w:spacing w:line="500" w:lineRule="exact"/>
        <w:ind w:firstLine="480" w:firstLineChars="2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（4）移动电话的使用（包括通讯费用报销制度）</w:t>
      </w:r>
    </w:p>
    <w:p>
      <w:pPr>
        <w:spacing w:line="500" w:lineRule="exact"/>
        <w:ind w:firstLine="480" w:firstLineChars="2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（5）电子邮件的使用</w:t>
      </w:r>
    </w:p>
    <w:p>
      <w:pPr>
        <w:spacing w:line="500" w:lineRule="exact"/>
        <w:ind w:firstLine="480" w:firstLineChars="2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（6）名片的印制</w:t>
      </w:r>
    </w:p>
    <w:p>
      <w:pPr>
        <w:spacing w:line="500" w:lineRule="exact"/>
        <w:ind w:firstLine="480" w:firstLineChars="2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（7）公章的管理</w:t>
      </w:r>
    </w:p>
    <w:p>
      <w:pPr>
        <w:spacing w:line="500" w:lineRule="exact"/>
        <w:ind w:firstLine="480" w:firstLineChars="2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（8）办公钥匙的管理</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4.14.9 图书借阅制度（略）</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4.14.10 上网规定（略）</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4.14.11 信息系统管理制度（略）</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pStyle w:val="2"/>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bookmarkStart w:id="30" w:name="_Toc324103509"/>
      <w:r>
        <w:rPr>
          <w:rFonts w:hint="eastAsia" w:ascii="SimHei" w:hAnsi="SimHei" w:eastAsia="黑体" w:cs="汉仪中圆简"/>
          <w:color w:val="0D0D0D" w:themeColor="text1" w:themeTint="F2"/>
          <w14:textFill>
            <w14:solidFill>
              <w14:schemeClr w14:val="tx1">
                <w14:lumMod w14:val="95000"/>
                <w14:lumOff w14:val="5000"/>
              </w14:schemeClr>
            </w14:solidFill>
          </w14:textFill>
        </w:rPr>
        <w:t>第五章 薪酬及福利</w:t>
      </w:r>
      <w:bookmarkEnd w:id="30"/>
    </w:p>
    <w:p>
      <w:pPr>
        <w:tabs>
          <w:tab w:val="left" w:pos="1080"/>
        </w:tabs>
        <w:rPr>
          <w:rFonts w:hint="eastAsia" w:ascii="汉仪中圆简" w:hAnsi="汉仪中圆简" w:eastAsia="汉仪中圆简" w:cs="汉仪中圆简"/>
          <w:b/>
          <w:color w:val="0D0D0D" w:themeColor="text1" w:themeTint="F2"/>
          <w:szCs w:val="21"/>
          <w14:textFill>
            <w14:solidFill>
              <w14:schemeClr w14:val="tx1">
                <w14:lumMod w14:val="95000"/>
                <w14:lumOff w14:val="5000"/>
              </w14:schemeClr>
            </w14:solidFill>
          </w14:textFill>
        </w:rPr>
      </w:pPr>
      <w:r>
        <w:rPr>
          <w:rFonts w:hint="eastAsia" w:ascii="SimHei" w:hAnsi="SimHei" w:eastAsia="黑体" w:cs="汉仪中圆简"/>
          <w:b/>
          <w:color w:val="0D0D0D" w:themeColor="text1" w:themeTint="F2"/>
          <w:szCs w:val="21"/>
          <w14:textFill>
            <w14:solidFill>
              <w14:schemeClr w14:val="tx1">
                <w14:lumMod w14:val="95000"/>
                <w14:lumOff w14:val="5000"/>
              </w14:schemeClr>
            </w14:solidFill>
          </w14:textFill>
        </w:rPr>
        <w:t>注：员工的工资、津贴及奖金属保密范围。</w:t>
      </w:r>
    </w:p>
    <w:p>
      <w:pPr>
        <w:pStyle w:val="3"/>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bookmarkStart w:id="31" w:name="_Toc324103510"/>
      <w:r>
        <w:rPr>
          <w:rFonts w:hint="eastAsia" w:ascii="SimHei" w:hAnsi="SimHei" w:eastAsia="黑体" w:cs="汉仪中圆简"/>
          <w:color w:val="0D0D0D" w:themeColor="text1" w:themeTint="F2"/>
          <w14:textFill>
            <w14:solidFill>
              <w14:schemeClr w14:val="tx1">
                <w14:lumMod w14:val="95000"/>
                <w14:lumOff w14:val="5000"/>
              </w14:schemeClr>
            </w14:solidFill>
          </w14:textFill>
        </w:rPr>
        <w:t>5.1 发薪日期</w:t>
      </w:r>
      <w:bookmarkEnd w:id="31"/>
      <w:r>
        <w:rPr>
          <w:rFonts w:hint="eastAsia" w:ascii="SimHei" w:hAnsi="SimHei" w:eastAsia="黑体" w:cs="汉仪中圆简"/>
          <w:color w:val="0D0D0D" w:themeColor="text1" w:themeTint="F2"/>
          <w14:textFill>
            <w14:solidFill>
              <w14:schemeClr w14:val="tx1">
                <w14:lumMod w14:val="95000"/>
                <w14:lumOff w14:val="5000"/>
              </w14:schemeClr>
            </w14:solidFill>
          </w14:textFill>
        </w:rPr>
        <w:t xml:space="preserve"> </w:t>
      </w:r>
    </w:p>
    <w:p>
      <w:pPr>
        <w:spacing w:line="500" w:lineRule="exact"/>
        <w:ind w:firstLine="480" w:firstLineChars="2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公司按职员的实际工作天数支付薪金，付薪日期为每月的</w:t>
      </w:r>
      <w:r>
        <w:rPr>
          <w:rFonts w:hint="eastAsia" w:ascii="SimHei" w:hAnsi="SimHei" w:eastAsia="黑体" w:cs="汉仪中圆简"/>
          <w:color w:val="0D0D0D" w:themeColor="text1" w:themeTint="F2"/>
          <w:sz w:val="24"/>
          <w:u w:val="single"/>
          <w14:textFill>
            <w14:solidFill>
              <w14:schemeClr w14:val="tx1">
                <w14:lumMod w14:val="95000"/>
                <w14:lumOff w14:val="5000"/>
              </w14:schemeClr>
            </w14:solidFill>
          </w14:textFill>
        </w:rPr>
        <w:t xml:space="preserve">    </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日，支付的是职员上月</w:t>
      </w:r>
      <w:r>
        <w:rPr>
          <w:rFonts w:hint="eastAsia" w:ascii="SimHei" w:hAnsi="SimHei" w:eastAsia="黑体" w:cs="汉仪中圆简"/>
          <w:color w:val="0D0D0D" w:themeColor="text1" w:themeTint="F2"/>
          <w:sz w:val="24"/>
          <w:u w:val="single"/>
          <w14:textFill>
            <w14:solidFill>
              <w14:schemeClr w14:val="tx1">
                <w14:lumMod w14:val="95000"/>
                <w14:lumOff w14:val="5000"/>
              </w14:schemeClr>
            </w14:solidFill>
          </w14:textFill>
        </w:rPr>
        <w:t xml:space="preserve">    </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日至本月</w:t>
      </w:r>
      <w:r>
        <w:rPr>
          <w:rFonts w:hint="eastAsia" w:ascii="SimHei" w:hAnsi="SimHei" w:eastAsia="黑体" w:cs="汉仪中圆简"/>
          <w:color w:val="0D0D0D" w:themeColor="text1" w:themeTint="F2"/>
          <w:sz w:val="24"/>
          <w:u w:val="single"/>
          <w14:textFill>
            <w14:solidFill>
              <w14:schemeClr w14:val="tx1">
                <w14:lumMod w14:val="95000"/>
                <w14:lumOff w14:val="5000"/>
              </w14:schemeClr>
            </w14:solidFill>
          </w14:textFill>
        </w:rPr>
        <w:t xml:space="preserve">    </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日的薪金。若付薪日遇节假日或休息日，则在最近的工作日支付。公司将在每月付薪日前将薪金（不含午餐补贴）转入以职员个人名义开出的银行帐户内，职员可凭存折到银行领取。</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pStyle w:val="3"/>
        <w:numPr>
          <w:ilvl w:val="1"/>
          <w:numId w:val="18"/>
        </w:numPr>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bookmarkStart w:id="32" w:name="_Toc324103511"/>
      <w:r>
        <w:rPr>
          <w:rFonts w:hint="eastAsia" w:ascii="SimHei" w:hAnsi="SimHei" w:eastAsia="黑体" w:cs="汉仪中圆简"/>
          <w:color w:val="0D0D0D" w:themeColor="text1" w:themeTint="F2"/>
          <w14:textFill>
            <w14:solidFill>
              <w14:schemeClr w14:val="tx1">
                <w14:lumMod w14:val="95000"/>
                <w14:lumOff w14:val="5000"/>
              </w14:schemeClr>
            </w14:solidFill>
          </w14:textFill>
        </w:rPr>
        <w:t>薪金系列</w:t>
      </w:r>
      <w:bookmarkEnd w:id="32"/>
    </w:p>
    <w:p>
      <w:pPr>
        <w:numPr>
          <w:ilvl w:val="2"/>
          <w:numId w:val="18"/>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职员薪金一般由岗位薪金与福利补贴两部分构成；薪金均以税前数值计算。</w:t>
      </w:r>
    </w:p>
    <w:p>
      <w:pPr>
        <w:numPr>
          <w:ilvl w:val="2"/>
          <w:numId w:val="18"/>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福利补贴包括住房补贴、午餐补贴、工龄补贴、司龄补贴、饮料费。</w:t>
      </w:r>
    </w:p>
    <w:p>
      <w:pPr>
        <w:numPr>
          <w:ilvl w:val="2"/>
          <w:numId w:val="18"/>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补贴、社会保险（含商业保险）等一般以职员岗位薪金为基础计算基数。</w:t>
      </w:r>
    </w:p>
    <w:p>
      <w:pPr>
        <w:numPr>
          <w:ilvl w:val="2"/>
          <w:numId w:val="18"/>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岗位薪金评定的依据是：职员所在工作岗位的职责、职员工作能力、贡献。</w:t>
      </w:r>
    </w:p>
    <w:p>
      <w:pPr>
        <w:numPr>
          <w:ilvl w:val="2"/>
          <w:numId w:val="18"/>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职员薪金由人力资源部统一管理，在公司范围内岗位薪金的定级采用统一标准。（关于岗位薪金定级标准，另见公司“薪酬制度”等相关文件）</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pStyle w:val="3"/>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bookmarkStart w:id="33" w:name="_Toc324103512"/>
      <w:r>
        <w:rPr>
          <w:rFonts w:hint="eastAsia" w:ascii="SimHei" w:hAnsi="SimHei" w:eastAsia="黑体" w:cs="汉仪中圆简"/>
          <w:color w:val="0D0D0D" w:themeColor="text1" w:themeTint="F2"/>
          <w14:textFill>
            <w14:solidFill>
              <w14:schemeClr w14:val="tx1">
                <w14:lumMod w14:val="95000"/>
                <w14:lumOff w14:val="5000"/>
              </w14:schemeClr>
            </w14:solidFill>
          </w14:textFill>
        </w:rPr>
        <w:t>5.3 特殊期间的薪金给付</w:t>
      </w:r>
      <w:bookmarkEnd w:id="33"/>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5.3.1 工伤医疗期内</w:t>
      </w:r>
    </w:p>
    <w:p>
      <w:pPr>
        <w:spacing w:line="500" w:lineRule="exact"/>
        <w:ind w:firstLine="48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工伤职员在工伤医疗期内停发薪金，改为按月发给工伤津贴。工伤津贴的基数为职员岗位薪金加住房补贴。工伤医疗期满停发工伤津贴。</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5.3.2  病（伤）假内</w:t>
      </w:r>
    </w:p>
    <w:p>
      <w:pPr>
        <w:spacing w:line="500" w:lineRule="exact"/>
        <w:ind w:firstLine="360" w:firstLineChars="1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（1）病（伤）假期间扣除福利补贴，具体依所在单位相关规定办理。</w:t>
      </w:r>
    </w:p>
    <w:p>
      <w:pPr>
        <w:spacing w:line="500" w:lineRule="exact"/>
        <w:ind w:firstLine="360" w:firstLineChars="1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（2）职员患病或非因工负伤，需要停止工作治疗时，根据国家有关规定享有3-24个月的医疗期。</w:t>
      </w:r>
    </w:p>
    <w:p>
      <w:pPr>
        <w:spacing w:line="500" w:lineRule="exact"/>
        <w:ind w:firstLine="360" w:firstLineChars="1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（3）连续病（伤）假或一年内累计病（伤）假不超过6个月的，按以下标准支付病（伤）假期薪金：</w:t>
      </w:r>
    </w:p>
    <w:p>
      <w:pPr>
        <w:spacing w:line="500" w:lineRule="exact"/>
        <w:ind w:firstLine="480" w:firstLineChars="2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A、司龄不满5年者，为本人岗位薪金和住房补贴的60%；</w:t>
      </w:r>
    </w:p>
    <w:p>
      <w:pPr>
        <w:spacing w:line="500" w:lineRule="exact"/>
        <w:ind w:firstLine="480" w:firstLineChars="2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B、司龄满5年不满10年者，为本人岗位薪金和住房补贴的70%；</w:t>
      </w:r>
    </w:p>
    <w:p>
      <w:pPr>
        <w:spacing w:line="500" w:lineRule="exact"/>
        <w:ind w:firstLine="480" w:firstLineChars="2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C、司龄满10年及10年以上者，为本人岗位薪金和住房补贴的80%。</w:t>
      </w:r>
    </w:p>
    <w:p>
      <w:pPr>
        <w:spacing w:line="500" w:lineRule="exact"/>
        <w:ind w:firstLine="360" w:firstLineChars="1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（4）连续病（伤）假或一年内累计病（伤）假在6个月以上的，停发病（伤）假期薪金，按下列标准给付救济费：</w:t>
      </w:r>
    </w:p>
    <w:p>
      <w:pPr>
        <w:spacing w:line="500" w:lineRule="exact"/>
        <w:ind w:firstLine="480" w:firstLineChars="2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A、司龄不满5年者，为本人岗位薪金和住房补贴的50%；</w:t>
      </w:r>
    </w:p>
    <w:p>
      <w:pPr>
        <w:spacing w:line="500" w:lineRule="exact"/>
        <w:ind w:firstLine="480" w:firstLineChars="2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B、司龄满5年及5年以上者，为本人岗位薪金和住房补贴的60%；</w:t>
      </w:r>
    </w:p>
    <w:p>
      <w:pPr>
        <w:spacing w:line="500" w:lineRule="exact"/>
        <w:ind w:firstLine="480" w:firstLineChars="2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（5）连续病（伤）假6个月及以上者，每第7个月起酌情下调薪金级别一次，每次下调幅度不超过5级，救济费随之调整，救济费不低于当地最低工资标准的120%，低于此限不予降薪；</w:t>
      </w:r>
    </w:p>
    <w:p>
      <w:pPr>
        <w:spacing w:line="500" w:lineRule="exact"/>
        <w:ind w:firstLine="480" w:firstLineChars="2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（6）医疗期内，救济费不得低于所在单位平均薪金（岗位薪金和住房补贴）的40%。</w:t>
      </w:r>
    </w:p>
    <w:p>
      <w:pPr>
        <w:spacing w:line="500" w:lineRule="exact"/>
        <w:ind w:firstLine="480" w:firstLineChars="2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pStyle w:val="3"/>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bookmarkStart w:id="34" w:name="_Toc324103513"/>
      <w:r>
        <w:rPr>
          <w:rFonts w:hint="eastAsia" w:ascii="SimHei" w:hAnsi="SimHei" w:eastAsia="黑体" w:cs="汉仪中圆简"/>
          <w:color w:val="0D0D0D" w:themeColor="text1" w:themeTint="F2"/>
          <w14:textFill>
            <w14:solidFill>
              <w14:schemeClr w14:val="tx1">
                <w14:lumMod w14:val="95000"/>
                <w14:lumOff w14:val="5000"/>
              </w14:schemeClr>
            </w14:solidFill>
          </w14:textFill>
        </w:rPr>
        <w:t>5.4加班与加班工资</w:t>
      </w:r>
      <w:bookmarkEnd w:id="34"/>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5.4.1 加班工资制度及补假制度仅适用于</w:t>
      </w:r>
      <w:r>
        <w:rPr>
          <w:rFonts w:hint="eastAsia" w:ascii="SimHei" w:hAnsi="SimHei" w:eastAsia="黑体" w:cs="汉仪中圆简"/>
          <w:color w:val="0D0D0D" w:themeColor="text1" w:themeTint="F2"/>
          <w:sz w:val="24"/>
          <w:u w:val="single"/>
          <w14:textFill>
            <w14:solidFill>
              <w14:schemeClr w14:val="tx1">
                <w14:lumMod w14:val="95000"/>
                <w14:lumOff w14:val="5000"/>
              </w14:schemeClr>
            </w14:solidFill>
          </w14:textFill>
        </w:rPr>
        <w:t xml:space="preserve">        </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部，其余员工及部门主管级以上人员因工作性质和岗位职责要求，在确定薪资水平及奖励计划时已计入可能发生的超时工作报酬，故不另行享受加班工资。</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5.4.2 公司因业务需要，可要求员工在正常工作时间以外或节假日期间加班，公司按劳动法有关规定支付加班工资或给予补假，加班以半天起算，具体方法如下：</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 xml:space="preserve">    </w:t>
      </w:r>
      <w:r>
        <w:rPr>
          <w:rFonts w:hint="eastAsia" w:ascii="SimHei" w:hAnsi="SimHei" w:eastAsia="黑体" w:cs="汉仪中圆简"/>
          <w:color w:val="0D0D0D" w:themeColor="text1" w:themeTint="F2"/>
          <w:sz w:val="24"/>
          <w:lang w:eastAsia="zh-CN"/>
          <w14:textFill>
            <w14:solidFill>
              <w14:schemeClr w14:val="tx1">
                <w14:lumMod w14:val="95000"/>
                <w14:lumOff w14:val="5000"/>
              </w14:schemeClr>
            </w14:solidFill>
          </w14:textFill>
        </w:rPr>
        <w:t>_</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 xml:space="preserve">　工作日加班工资＝月薪酬总额 /30×1.5×加班时间</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 xml:space="preserve">　　</w:t>
      </w:r>
      <w:r>
        <w:rPr>
          <w:rFonts w:hint="eastAsia" w:ascii="SimHei" w:hAnsi="SimHei" w:eastAsia="黑体" w:cs="汉仪中圆简"/>
          <w:color w:val="0D0D0D" w:themeColor="text1" w:themeTint="F2"/>
          <w:sz w:val="24"/>
          <w:lang w:eastAsia="zh-CN"/>
          <w14:textFill>
            <w14:solidFill>
              <w14:schemeClr w14:val="tx1">
                <w14:lumMod w14:val="95000"/>
                <w14:lumOff w14:val="5000"/>
              </w14:schemeClr>
            </w14:solidFill>
          </w14:textFill>
        </w:rPr>
        <w:t>_</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 xml:space="preserve">　休息日加班工资＝月薪酬总额 /30×2×加班时间</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 xml:space="preserve">　　</w:t>
      </w:r>
      <w:r>
        <w:rPr>
          <w:rFonts w:hint="eastAsia" w:ascii="SimHei" w:hAnsi="SimHei" w:eastAsia="黑体" w:cs="汉仪中圆简"/>
          <w:color w:val="0D0D0D" w:themeColor="text1" w:themeTint="F2"/>
          <w:sz w:val="24"/>
          <w:lang w:eastAsia="zh-CN"/>
          <w14:textFill>
            <w14:solidFill>
              <w14:schemeClr w14:val="tx1">
                <w14:lumMod w14:val="95000"/>
                <w14:lumOff w14:val="5000"/>
              </w14:schemeClr>
            </w14:solidFill>
          </w14:textFill>
        </w:rPr>
        <w:t>_</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 xml:space="preserve">　法定假日加班工资＝月薪酬总额 /30×3×加班时间</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5.4.3 出差或客户应酬等交际活动不计加班。</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5.4.4 工作日加班至晚上7：00以后以及休息日或国定假日加班的员工，可申请加班餐贴，费用为</w:t>
      </w:r>
      <w:r>
        <w:rPr>
          <w:rFonts w:hint="eastAsia" w:ascii="SimHei" w:hAnsi="SimHei" w:eastAsia="黑体" w:cs="汉仪中圆简"/>
          <w:color w:val="0D0D0D" w:themeColor="text1" w:themeTint="F2"/>
          <w:sz w:val="24"/>
          <w:u w:val="single"/>
          <w14:textFill>
            <w14:solidFill>
              <w14:schemeClr w14:val="tx1">
                <w14:lumMod w14:val="95000"/>
                <w14:lumOff w14:val="5000"/>
              </w14:schemeClr>
            </w14:solidFill>
          </w14:textFill>
        </w:rPr>
        <w:t xml:space="preserve">    </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元/餐。</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5.4.5 员工如需加班，应如实填写“加班申请表”，经部门主管批准后，方可按有关制度执行。</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pStyle w:val="3"/>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bookmarkStart w:id="35" w:name="_Toc324103514"/>
      <w:r>
        <w:rPr>
          <w:rFonts w:hint="eastAsia" w:ascii="SimHei" w:hAnsi="SimHei" w:eastAsia="黑体" w:cs="汉仪中圆简"/>
          <w:color w:val="0D0D0D" w:themeColor="text1" w:themeTint="F2"/>
          <w14:textFill>
            <w14:solidFill>
              <w14:schemeClr w14:val="tx1">
                <w14:lumMod w14:val="95000"/>
                <w14:lumOff w14:val="5000"/>
              </w14:schemeClr>
            </w14:solidFill>
          </w14:textFill>
        </w:rPr>
        <w:t>5.5 薪金调整机制</w:t>
      </w:r>
      <w:bookmarkEnd w:id="35"/>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职员岗位薪金将可能在如下情况下发生调整：</w:t>
      </w:r>
    </w:p>
    <w:p>
      <w:pPr>
        <w:numPr>
          <w:ilvl w:val="2"/>
          <w:numId w:val="19"/>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岗位薪金常规调整，即指公司有可能根据经营业绩情况、社会综合物价水平的较大幅度变动相应调整职员岗位薪金。</w:t>
      </w:r>
    </w:p>
    <w:p>
      <w:pPr>
        <w:numPr>
          <w:ilvl w:val="2"/>
          <w:numId w:val="19"/>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公司将根据职员的工作业绩和工作能力进行奖励性薪金晋级，其对象为经营活动中为公司创利成绩显著者；促进企业经营管理，提高经济效益方面成绩突出者；公司认为应奖励的其他人员。</w:t>
      </w:r>
    </w:p>
    <w:p>
      <w:pPr>
        <w:numPr>
          <w:ilvl w:val="2"/>
          <w:numId w:val="19"/>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职员职务发生变动，其岗位薪金相应进行调整，其薪金必须在该职务级别薪金范围之内。</w:t>
      </w:r>
    </w:p>
    <w:p>
      <w:pPr>
        <w:numPr>
          <w:ilvl w:val="2"/>
          <w:numId w:val="19"/>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职员在年终考核中，被所在单位认为工作绩效低于平均水平，将可能被降低岗位薪金。</w:t>
      </w:r>
    </w:p>
    <w:p>
      <w:pPr>
        <w:numPr>
          <w:ilvl w:val="2"/>
          <w:numId w:val="19"/>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岗位薪金晋级，新的岗位薪金从公司下发有关通知的下月</w:t>
      </w:r>
      <w:r>
        <w:rPr>
          <w:rFonts w:hint="eastAsia" w:ascii="SimHei" w:hAnsi="SimHei" w:eastAsia="黑体" w:cs="汉仪中圆简"/>
          <w:color w:val="0D0D0D" w:themeColor="text1" w:themeTint="F2"/>
          <w:sz w:val="24"/>
          <w:u w:val="single"/>
          <w14:textFill>
            <w14:solidFill>
              <w14:schemeClr w14:val="tx1">
                <w14:lumMod w14:val="95000"/>
                <w14:lumOff w14:val="5000"/>
              </w14:schemeClr>
            </w14:solidFill>
          </w14:textFill>
        </w:rPr>
        <w:t xml:space="preserve">     </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日起执行；岗位薪金降级，从公司下发有关通知的当月起。</w:t>
      </w:r>
    </w:p>
    <w:p>
      <w:pPr>
        <w:numPr>
          <w:ilvl w:val="2"/>
          <w:numId w:val="19"/>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公司可根据职员即期表现上浮或下调其岗位薪金，以及时激励优秀、督促后进。</w:t>
      </w:r>
    </w:p>
    <w:p>
      <w:pPr>
        <w:numPr>
          <w:ilvl w:val="2"/>
          <w:numId w:val="19"/>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除此以外公司原则上不再设置其他的岗位薪金调整形式。</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pStyle w:val="3"/>
        <w:numPr>
          <w:ilvl w:val="1"/>
          <w:numId w:val="19"/>
        </w:numPr>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t xml:space="preserve"> </w:t>
      </w:r>
      <w:bookmarkStart w:id="36" w:name="_Toc324103515"/>
      <w:r>
        <w:rPr>
          <w:rFonts w:hint="eastAsia" w:ascii="SimHei" w:hAnsi="SimHei" w:eastAsia="黑体" w:cs="汉仪中圆简"/>
          <w:color w:val="0D0D0D" w:themeColor="text1" w:themeTint="F2"/>
          <w14:textFill>
            <w14:solidFill>
              <w14:schemeClr w14:val="tx1">
                <w14:lumMod w14:val="95000"/>
                <w14:lumOff w14:val="5000"/>
              </w14:schemeClr>
            </w14:solidFill>
          </w14:textFill>
        </w:rPr>
        <w:t>假期</w:t>
      </w:r>
      <w:bookmarkEnd w:id="36"/>
    </w:p>
    <w:p>
      <w:pPr>
        <w:numPr>
          <w:ilvl w:val="2"/>
          <w:numId w:val="19"/>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 xml:space="preserve">职员可享受本手册规定的重要节假日，期间照常支付职员的薪金。 </w:t>
      </w:r>
    </w:p>
    <w:p>
      <w:pPr>
        <w:numPr>
          <w:ilvl w:val="2"/>
          <w:numId w:val="19"/>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职员转正后可享受婚假、丧假、产假及护理假；在公司工作满一年后，职员可以按规定享受探亲假、年休假，这些假期均为有薪假期，只扣除当日午餐补贴。</w:t>
      </w:r>
    </w:p>
    <w:p>
      <w:pPr>
        <w:numPr>
          <w:ilvl w:val="2"/>
          <w:numId w:val="19"/>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每年职员只能在年休假、探亲假中选休一种假期，并享受其待遇；职员可根据工作的安排并征得领导同意，获得批准后取假。</w:t>
      </w:r>
    </w:p>
    <w:p>
      <w:pPr>
        <w:spacing w:line="500" w:lineRule="exact"/>
        <w:ind w:firstLine="720" w:firstLineChars="3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取假的一般程序：</w:t>
      </w:r>
    </w:p>
    <w:p>
      <w:pPr>
        <w:numPr>
          <w:ilvl w:val="0"/>
          <w:numId w:val="20"/>
        </w:numPr>
        <w:spacing w:line="500" w:lineRule="exact"/>
        <w:ind w:left="1418" w:hanging="709"/>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职员提前一个月向所在部门领导人和人力资源部门申报拟休假的种类和时间；</w:t>
      </w:r>
    </w:p>
    <w:p>
      <w:pPr>
        <w:numPr>
          <w:ilvl w:val="0"/>
          <w:numId w:val="20"/>
        </w:numPr>
        <w:spacing w:line="500" w:lineRule="exact"/>
        <w:ind w:left="1418" w:hanging="709"/>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具体休假时间，职员层由所在部门与个人协商后统一安排；经理层及以上由所在部门与人力资源部协商安排。休假期间若遇公众假日或法定假日，不另增加休假时间。</w:t>
      </w:r>
    </w:p>
    <w:p>
      <w:pPr>
        <w:numPr>
          <w:ilvl w:val="2"/>
          <w:numId w:val="19"/>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 xml:space="preserve">凡符合以下情况之一的，不享受当年年休假或探亲假： </w:t>
      </w:r>
    </w:p>
    <w:p>
      <w:pPr>
        <w:spacing w:line="500" w:lineRule="exact"/>
        <w:ind w:firstLine="720" w:firstLineChars="3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（1）一年内一次性病假超过45天或累计病假超过65天；</w:t>
      </w:r>
    </w:p>
    <w:p>
      <w:pPr>
        <w:spacing w:line="500" w:lineRule="exact"/>
        <w:ind w:firstLine="720" w:firstLineChars="3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（2）一年内一次性事假超过25天或累计事假超过30天；</w:t>
      </w:r>
    </w:p>
    <w:p>
      <w:pPr>
        <w:spacing w:line="500" w:lineRule="exact"/>
        <w:ind w:firstLine="720" w:firstLineChars="3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（3）一年内病、事假相加超过50天；</w:t>
      </w:r>
    </w:p>
    <w:p>
      <w:pPr>
        <w:spacing w:line="500" w:lineRule="exact"/>
        <w:ind w:firstLine="720" w:firstLineChars="3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（4）一年内休产假超过30天。</w:t>
      </w:r>
    </w:p>
    <w:p>
      <w:pPr>
        <w:spacing w:line="500" w:lineRule="exact"/>
        <w:ind w:firstLine="840" w:firstLineChars="3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如在年休假或探亲假后再请病假、事假超过上述规定时间的，则在下一年度取消年休假或探亲假。</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 xml:space="preserve">5.6.5 重要节假日 </w:t>
      </w:r>
    </w:p>
    <w:p>
      <w:pPr>
        <w:spacing w:line="500" w:lineRule="exact"/>
        <w:ind w:firstLine="600" w:firstLineChars="2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元  旦 放假1天</w:t>
      </w:r>
    </w:p>
    <w:p>
      <w:pPr>
        <w:spacing w:line="500" w:lineRule="exact"/>
        <w:ind w:firstLine="600" w:firstLineChars="2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春  节 放假10天</w:t>
      </w:r>
    </w:p>
    <w:p>
      <w:pPr>
        <w:spacing w:line="500" w:lineRule="exact"/>
        <w:ind w:firstLine="600" w:firstLineChars="2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五一节 放假3天</w:t>
      </w:r>
    </w:p>
    <w:p>
      <w:pPr>
        <w:spacing w:line="500" w:lineRule="exact"/>
        <w:ind w:firstLine="600" w:firstLineChars="2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国庆节 放假3天</w:t>
      </w:r>
    </w:p>
    <w:p>
      <w:pPr>
        <w:spacing w:line="500" w:lineRule="exact"/>
        <w:ind w:firstLine="600" w:firstLineChars="2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端午节 放假3天</w:t>
      </w:r>
    </w:p>
    <w:p>
      <w:pPr>
        <w:spacing w:line="500" w:lineRule="exact"/>
        <w:ind w:firstLine="600" w:firstLineChars="2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清明节 放假1天</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 xml:space="preserve">5.6.6 探亲假 </w:t>
      </w:r>
    </w:p>
    <w:p>
      <w:pPr>
        <w:spacing w:line="500" w:lineRule="exact"/>
        <w:ind w:firstLine="480" w:firstLineChars="2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（1）与配偶分居两地，每年职员可享受一次为期30天的探亲假；</w:t>
      </w:r>
    </w:p>
    <w:p>
      <w:pPr>
        <w:spacing w:line="500" w:lineRule="exact"/>
        <w:ind w:firstLine="480" w:firstLineChars="2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（2）未婚、父母均在外地居住，每年职员可享受为期20天的探亲假；</w:t>
      </w:r>
    </w:p>
    <w:p>
      <w:pPr>
        <w:spacing w:line="500" w:lineRule="exact"/>
        <w:ind w:firstLine="480" w:firstLineChars="2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（3）已婚而父母均在外地居住，每四年职员可享受为期20天的探亲假，此假应在第四年享受；</w:t>
      </w:r>
    </w:p>
    <w:p>
      <w:pPr>
        <w:spacing w:line="500" w:lineRule="exact"/>
        <w:ind w:firstLine="480" w:firstLineChars="2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 xml:space="preserve">（4）由于业务拓展需要被派往原工作城市外非家庭所在地工作，且外派时间超过5个月，职员可享受上述规定探亲假； </w:t>
      </w:r>
    </w:p>
    <w:p>
      <w:pPr>
        <w:spacing w:line="500" w:lineRule="exact"/>
        <w:ind w:firstLine="480" w:firstLineChars="2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（5）享受探亲假者，公司将一次性发给300元补贴，不再报销任何费用。</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 xml:space="preserve">5.6.7 年休假 </w:t>
      </w:r>
    </w:p>
    <w:tbl>
      <w:tblPr>
        <w:tblStyle w:val="10"/>
        <w:tblW w:w="0" w:type="auto"/>
        <w:jc w:val="center"/>
        <w:tblCellSpacing w:w="7" w:type="dxa"/>
        <w:tblBorders>
          <w:top w:val="outset" w:color="FFFFFF" w:sz="6" w:space="0"/>
          <w:left w:val="outset" w:color="FFFFFF" w:sz="6" w:space="0"/>
          <w:bottom w:val="outset" w:color="FFFFFF" w:sz="6" w:space="0"/>
          <w:right w:val="outset" w:color="FFFFFF" w:sz="6" w:space="0"/>
          <w:insideH w:val="none" w:color="auto" w:sz="0" w:space="0"/>
          <w:insideV w:val="none" w:color="auto" w:sz="0" w:space="0"/>
        </w:tblBorders>
        <w:tblLayout w:type="fixed"/>
        <w:tblCellMar>
          <w:top w:w="30" w:type="dxa"/>
          <w:left w:w="30" w:type="dxa"/>
          <w:bottom w:w="30" w:type="dxa"/>
          <w:right w:w="30" w:type="dxa"/>
        </w:tblCellMar>
      </w:tblPr>
      <w:tblGrid>
        <w:gridCol w:w="3543"/>
        <w:gridCol w:w="3687"/>
      </w:tblGrid>
      <w:tr>
        <w:tblPrEx>
          <w:tblBorders>
            <w:top w:val="outset" w:color="FFFFFF" w:sz="6" w:space="0"/>
            <w:left w:val="outset" w:color="FFFFFF" w:sz="6" w:space="0"/>
            <w:bottom w:val="outset" w:color="FFFFFF" w:sz="6" w:space="0"/>
            <w:right w:val="outset" w:color="FFFFFF" w:sz="6" w:space="0"/>
            <w:insideH w:val="none" w:color="auto" w:sz="0" w:space="0"/>
            <w:insideV w:val="none" w:color="auto" w:sz="0" w:space="0"/>
          </w:tblBorders>
          <w:tblCellMar>
            <w:top w:w="30" w:type="dxa"/>
            <w:left w:w="30" w:type="dxa"/>
            <w:bottom w:w="30" w:type="dxa"/>
            <w:right w:w="30" w:type="dxa"/>
          </w:tblCellMar>
        </w:tblPrEx>
        <w:trPr>
          <w:tblCellSpacing w:w="7" w:type="dxa"/>
          <w:jc w:val="center"/>
        </w:trPr>
        <w:tc>
          <w:tcPr>
            <w:tcW w:w="3522" w:type="dxa"/>
            <w:tcBorders>
              <w:top w:val="outset" w:color="FFFFFF" w:sz="6" w:space="0"/>
              <w:left w:val="outset" w:color="FFFFFF" w:sz="6" w:space="0"/>
              <w:bottom w:val="outset" w:color="FFFFFF" w:sz="6" w:space="0"/>
              <w:right w:val="outset" w:color="FFFFFF" w:sz="6" w:space="0"/>
            </w:tcBorders>
            <w:noWrap w:val="0"/>
            <w:vAlign w:val="top"/>
          </w:tcPr>
          <w:p>
            <w:pPr>
              <w:pStyle w:val="9"/>
              <w:spacing w:line="360" w:lineRule="auto"/>
              <w:jc w:val="center"/>
              <w:rPr>
                <w:rFonts w:hint="eastAsia" w:ascii="汉仪中圆简" w:hAnsi="汉仪中圆简" w:eastAsia="汉仪中圆简" w:cs="汉仪中圆简"/>
                <w:color w:val="0D0D0D" w:themeColor="text1" w:themeTint="F2"/>
                <w:sz w:val="21"/>
                <w:szCs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t xml:space="preserve">  </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 xml:space="preserve">  </w:t>
            </w:r>
            <w:r>
              <w:rPr>
                <w:rFonts w:hint="eastAsia" w:ascii="SimHei" w:hAnsi="SimHei" w:eastAsia="黑体" w:cs="汉仪中圆简"/>
                <w:color w:val="0D0D0D" w:themeColor="text1" w:themeTint="F2"/>
                <w14:textFill>
                  <w14:solidFill>
                    <w14:schemeClr w14:val="tx1">
                      <w14:lumMod w14:val="95000"/>
                      <w14:lumOff w14:val="5000"/>
                    </w14:schemeClr>
                  </w14:solidFill>
                </w14:textFill>
              </w:rPr>
              <w:t xml:space="preserve"> </w:t>
            </w:r>
            <w:r>
              <w:rPr>
                <w:rFonts w:hint="eastAsia" w:ascii="SimHei" w:hAnsi="SimHei" w:eastAsia="黑体" w:cs="汉仪中圆简"/>
                <w:color w:val="0D0D0D" w:themeColor="text1" w:themeTint="F2"/>
                <w:sz w:val="21"/>
                <w:szCs w:val="21"/>
                <w14:textFill>
                  <w14:solidFill>
                    <w14:schemeClr w14:val="tx1">
                      <w14:lumMod w14:val="95000"/>
                      <w14:lumOff w14:val="5000"/>
                    </w14:schemeClr>
                  </w14:solidFill>
                </w14:textFill>
              </w:rPr>
              <w:t>工龄</w:t>
            </w:r>
            <w:r>
              <w:rPr>
                <w:rFonts w:hint="eastAsia" w:ascii="SimHei" w:hAnsi="SimHei" w:eastAsia="黑体" w:cs="汉仪中圆简"/>
                <w:color w:val="0D0D0D" w:themeColor="text1" w:themeTint="F2"/>
                <w:sz w:val="21"/>
                <w:szCs w:val="21"/>
                <w14:textFill>
                  <w14:solidFill>
                    <w14:schemeClr w14:val="tx1">
                      <w14:lumMod w14:val="95000"/>
                      <w14:lumOff w14:val="5000"/>
                    </w14:schemeClr>
                  </w14:solidFill>
                </w14:textFill>
              </w:rPr>
              <w:t xml:space="preserve">Y（年） </w:t>
            </w:r>
          </w:p>
        </w:tc>
        <w:tc>
          <w:tcPr>
            <w:tcW w:w="3666" w:type="dxa"/>
            <w:tcBorders>
              <w:top w:val="outset" w:color="FFFFFF" w:sz="6" w:space="0"/>
              <w:left w:val="outset" w:color="FFFFFF" w:sz="6" w:space="0"/>
              <w:bottom w:val="outset" w:color="FFFFFF" w:sz="6" w:space="0"/>
              <w:right w:val="outset" w:color="FFFFFF" w:sz="6" w:space="0"/>
            </w:tcBorders>
            <w:noWrap w:val="0"/>
            <w:vAlign w:val="top"/>
          </w:tcPr>
          <w:p>
            <w:pPr>
              <w:pStyle w:val="9"/>
              <w:spacing w:line="360" w:lineRule="auto"/>
              <w:jc w:val="center"/>
              <w:rPr>
                <w:rFonts w:hint="eastAsia" w:ascii="汉仪中圆简" w:hAnsi="汉仪中圆简" w:eastAsia="汉仪中圆简" w:cs="汉仪中圆简"/>
                <w:color w:val="0D0D0D" w:themeColor="text1" w:themeTint="F2"/>
                <w:sz w:val="21"/>
                <w:szCs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1"/>
                <w:szCs w:val="21"/>
                <w14:textFill>
                  <w14:solidFill>
                    <w14:schemeClr w14:val="tx1">
                      <w14:lumMod w14:val="95000"/>
                      <w14:lumOff w14:val="5000"/>
                    </w14:schemeClr>
                  </w14:solidFill>
                </w14:textFill>
              </w:rPr>
              <w:t>年休假时间</w:t>
            </w:r>
            <w:r>
              <w:rPr>
                <w:rFonts w:hint="eastAsia" w:ascii="SimHei" w:hAnsi="SimHei" w:eastAsia="黑体" w:cs="汉仪中圆简"/>
                <w:color w:val="0D0D0D" w:themeColor="text1" w:themeTint="F2"/>
                <w:sz w:val="21"/>
                <w:szCs w:val="21"/>
                <w14:textFill>
                  <w14:solidFill>
                    <w14:schemeClr w14:val="tx1">
                      <w14:lumMod w14:val="95000"/>
                      <w14:lumOff w14:val="5000"/>
                    </w14:schemeClr>
                  </w14:solidFill>
                </w14:textFill>
              </w:rPr>
              <w:t xml:space="preserve"> </w:t>
            </w:r>
          </w:p>
        </w:tc>
      </w:tr>
      <w:tr>
        <w:tblPrEx>
          <w:tblBorders>
            <w:top w:val="outset" w:color="FFFFFF" w:sz="6" w:space="0"/>
            <w:left w:val="outset" w:color="FFFFFF" w:sz="6" w:space="0"/>
            <w:bottom w:val="outset" w:color="FFFFFF" w:sz="6" w:space="0"/>
            <w:right w:val="outset" w:color="FFFFFF" w:sz="6" w:space="0"/>
            <w:insideH w:val="none" w:color="auto" w:sz="0" w:space="0"/>
            <w:insideV w:val="none" w:color="auto" w:sz="0" w:space="0"/>
          </w:tblBorders>
          <w:tblCellMar>
            <w:top w:w="30" w:type="dxa"/>
            <w:left w:w="30" w:type="dxa"/>
            <w:bottom w:w="30" w:type="dxa"/>
            <w:right w:w="30" w:type="dxa"/>
          </w:tblCellMar>
        </w:tblPrEx>
        <w:trPr>
          <w:tblCellSpacing w:w="7" w:type="dxa"/>
          <w:jc w:val="center"/>
        </w:trPr>
        <w:tc>
          <w:tcPr>
            <w:tcW w:w="3522" w:type="dxa"/>
            <w:tcBorders>
              <w:top w:val="outset" w:color="FFFFFF" w:sz="6" w:space="0"/>
              <w:left w:val="outset" w:color="FFFFFF" w:sz="6" w:space="0"/>
              <w:bottom w:val="outset" w:color="FFFFFF" w:sz="6" w:space="0"/>
              <w:right w:val="outset" w:color="FFFFFF" w:sz="6" w:space="0"/>
            </w:tcBorders>
            <w:noWrap w:val="0"/>
            <w:vAlign w:val="top"/>
          </w:tcPr>
          <w:p>
            <w:pPr>
              <w:pStyle w:val="9"/>
              <w:spacing w:line="360" w:lineRule="auto"/>
              <w:jc w:val="center"/>
              <w:rPr>
                <w:rFonts w:hint="eastAsia" w:ascii="汉仪中圆简" w:hAnsi="汉仪中圆简" w:eastAsia="汉仪中圆简" w:cs="汉仪中圆简"/>
                <w:color w:val="0D0D0D" w:themeColor="text1" w:themeTint="F2"/>
                <w:sz w:val="21"/>
                <w:szCs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1"/>
                <w:szCs w:val="21"/>
                <w14:textFill>
                  <w14:solidFill>
                    <w14:schemeClr w14:val="tx1">
                      <w14:lumMod w14:val="95000"/>
                      <w14:lumOff w14:val="5000"/>
                    </w14:schemeClr>
                  </w14:solidFill>
                </w14:textFill>
              </w:rPr>
              <w:t xml:space="preserve">1≤Y&lt;5 </w:t>
            </w:r>
          </w:p>
        </w:tc>
        <w:tc>
          <w:tcPr>
            <w:tcW w:w="3666" w:type="dxa"/>
            <w:tcBorders>
              <w:top w:val="outset" w:color="FFFFFF" w:sz="6" w:space="0"/>
              <w:left w:val="outset" w:color="FFFFFF" w:sz="6" w:space="0"/>
              <w:bottom w:val="outset" w:color="FFFFFF" w:sz="6" w:space="0"/>
              <w:right w:val="outset" w:color="FFFFFF" w:sz="6" w:space="0"/>
            </w:tcBorders>
            <w:noWrap w:val="0"/>
            <w:vAlign w:val="top"/>
          </w:tcPr>
          <w:p>
            <w:pPr>
              <w:pStyle w:val="9"/>
              <w:spacing w:line="360" w:lineRule="auto"/>
              <w:jc w:val="center"/>
              <w:rPr>
                <w:rFonts w:hint="eastAsia" w:ascii="汉仪中圆简" w:hAnsi="汉仪中圆简" w:eastAsia="汉仪中圆简" w:cs="汉仪中圆简"/>
                <w:color w:val="0D0D0D" w:themeColor="text1" w:themeTint="F2"/>
                <w:sz w:val="21"/>
                <w:szCs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1"/>
                <w:szCs w:val="21"/>
                <w14:textFill>
                  <w14:solidFill>
                    <w14:schemeClr w14:val="tx1">
                      <w14:lumMod w14:val="95000"/>
                      <w14:lumOff w14:val="5000"/>
                    </w14:schemeClr>
                  </w14:solidFill>
                </w14:textFill>
              </w:rPr>
              <w:t xml:space="preserve">5天 </w:t>
            </w:r>
          </w:p>
        </w:tc>
      </w:tr>
      <w:tr>
        <w:tblPrEx>
          <w:tblBorders>
            <w:top w:val="outset" w:color="FFFFFF" w:sz="6" w:space="0"/>
            <w:left w:val="outset" w:color="FFFFFF" w:sz="6" w:space="0"/>
            <w:bottom w:val="outset" w:color="FFFFFF" w:sz="6" w:space="0"/>
            <w:right w:val="outset" w:color="FFFFFF" w:sz="6" w:space="0"/>
            <w:insideH w:val="none" w:color="auto" w:sz="0" w:space="0"/>
            <w:insideV w:val="none" w:color="auto" w:sz="0" w:space="0"/>
          </w:tblBorders>
          <w:tblCellMar>
            <w:top w:w="30" w:type="dxa"/>
            <w:left w:w="30" w:type="dxa"/>
            <w:bottom w:w="30" w:type="dxa"/>
            <w:right w:w="30" w:type="dxa"/>
          </w:tblCellMar>
        </w:tblPrEx>
        <w:trPr>
          <w:tblCellSpacing w:w="7" w:type="dxa"/>
          <w:jc w:val="center"/>
        </w:trPr>
        <w:tc>
          <w:tcPr>
            <w:tcW w:w="3522" w:type="dxa"/>
            <w:tcBorders>
              <w:top w:val="outset" w:color="FFFFFF" w:sz="6" w:space="0"/>
              <w:left w:val="outset" w:color="FFFFFF" w:sz="6" w:space="0"/>
              <w:bottom w:val="outset" w:color="FFFFFF" w:sz="6" w:space="0"/>
              <w:right w:val="outset" w:color="FFFFFF" w:sz="6" w:space="0"/>
            </w:tcBorders>
            <w:noWrap w:val="0"/>
            <w:vAlign w:val="top"/>
          </w:tcPr>
          <w:p>
            <w:pPr>
              <w:pStyle w:val="9"/>
              <w:spacing w:line="360" w:lineRule="auto"/>
              <w:jc w:val="center"/>
              <w:rPr>
                <w:rFonts w:hint="eastAsia" w:ascii="汉仪中圆简" w:hAnsi="汉仪中圆简" w:eastAsia="汉仪中圆简" w:cs="汉仪中圆简"/>
                <w:color w:val="0D0D0D" w:themeColor="text1" w:themeTint="F2"/>
                <w:sz w:val="21"/>
                <w:szCs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1"/>
                <w:szCs w:val="21"/>
                <w14:textFill>
                  <w14:solidFill>
                    <w14:schemeClr w14:val="tx1">
                      <w14:lumMod w14:val="95000"/>
                      <w14:lumOff w14:val="5000"/>
                    </w14:schemeClr>
                  </w14:solidFill>
                </w14:textFill>
              </w:rPr>
              <w:t xml:space="preserve">5≤Y&lt;10 </w:t>
            </w:r>
          </w:p>
        </w:tc>
        <w:tc>
          <w:tcPr>
            <w:tcW w:w="3666" w:type="dxa"/>
            <w:tcBorders>
              <w:top w:val="outset" w:color="FFFFFF" w:sz="6" w:space="0"/>
              <w:left w:val="outset" w:color="FFFFFF" w:sz="6" w:space="0"/>
              <w:bottom w:val="outset" w:color="FFFFFF" w:sz="6" w:space="0"/>
              <w:right w:val="outset" w:color="FFFFFF" w:sz="6" w:space="0"/>
            </w:tcBorders>
            <w:noWrap w:val="0"/>
            <w:vAlign w:val="top"/>
          </w:tcPr>
          <w:p>
            <w:pPr>
              <w:pStyle w:val="9"/>
              <w:spacing w:line="360" w:lineRule="auto"/>
              <w:jc w:val="center"/>
              <w:rPr>
                <w:rFonts w:hint="eastAsia" w:ascii="汉仪中圆简" w:hAnsi="汉仪中圆简" w:eastAsia="汉仪中圆简" w:cs="汉仪中圆简"/>
                <w:color w:val="0D0D0D" w:themeColor="text1" w:themeTint="F2"/>
                <w:sz w:val="21"/>
                <w:szCs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1"/>
                <w:szCs w:val="21"/>
                <w14:textFill>
                  <w14:solidFill>
                    <w14:schemeClr w14:val="tx1">
                      <w14:lumMod w14:val="95000"/>
                      <w14:lumOff w14:val="5000"/>
                    </w14:schemeClr>
                  </w14:solidFill>
                </w14:textFill>
              </w:rPr>
              <w:t xml:space="preserve">10天 </w:t>
            </w:r>
          </w:p>
        </w:tc>
      </w:tr>
      <w:tr>
        <w:tblPrEx>
          <w:tblBorders>
            <w:top w:val="outset" w:color="FFFFFF" w:sz="6" w:space="0"/>
            <w:left w:val="outset" w:color="FFFFFF" w:sz="6" w:space="0"/>
            <w:bottom w:val="outset" w:color="FFFFFF" w:sz="6" w:space="0"/>
            <w:right w:val="outset" w:color="FFFFFF" w:sz="6" w:space="0"/>
            <w:insideH w:val="none" w:color="auto" w:sz="0" w:space="0"/>
            <w:insideV w:val="none" w:color="auto" w:sz="0" w:space="0"/>
          </w:tblBorders>
          <w:tblCellMar>
            <w:top w:w="30" w:type="dxa"/>
            <w:left w:w="30" w:type="dxa"/>
            <w:bottom w:w="30" w:type="dxa"/>
            <w:right w:w="30" w:type="dxa"/>
          </w:tblCellMar>
        </w:tblPrEx>
        <w:trPr>
          <w:tblCellSpacing w:w="7" w:type="dxa"/>
          <w:jc w:val="center"/>
        </w:trPr>
        <w:tc>
          <w:tcPr>
            <w:tcW w:w="3522" w:type="dxa"/>
            <w:tcBorders>
              <w:top w:val="outset" w:color="FFFFFF" w:sz="6" w:space="0"/>
              <w:left w:val="outset" w:color="FFFFFF" w:sz="6" w:space="0"/>
              <w:bottom w:val="outset" w:color="FFFFFF" w:sz="6" w:space="0"/>
              <w:right w:val="outset" w:color="FFFFFF" w:sz="6" w:space="0"/>
            </w:tcBorders>
            <w:noWrap w:val="0"/>
            <w:vAlign w:val="top"/>
          </w:tcPr>
          <w:p>
            <w:pPr>
              <w:pStyle w:val="9"/>
              <w:spacing w:line="360" w:lineRule="auto"/>
              <w:jc w:val="center"/>
              <w:rPr>
                <w:rFonts w:hint="eastAsia" w:ascii="汉仪中圆简" w:hAnsi="汉仪中圆简" w:eastAsia="汉仪中圆简" w:cs="汉仪中圆简"/>
                <w:color w:val="0D0D0D" w:themeColor="text1" w:themeTint="F2"/>
                <w:sz w:val="21"/>
                <w:szCs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1"/>
                <w:szCs w:val="21"/>
                <w14:textFill>
                  <w14:solidFill>
                    <w14:schemeClr w14:val="tx1">
                      <w14:lumMod w14:val="95000"/>
                      <w14:lumOff w14:val="5000"/>
                    </w14:schemeClr>
                  </w14:solidFill>
                </w14:textFill>
              </w:rPr>
              <w:t xml:space="preserve">10≤Y&lt;20 </w:t>
            </w:r>
          </w:p>
        </w:tc>
        <w:tc>
          <w:tcPr>
            <w:tcW w:w="3666" w:type="dxa"/>
            <w:tcBorders>
              <w:top w:val="outset" w:color="FFFFFF" w:sz="6" w:space="0"/>
              <w:left w:val="outset" w:color="FFFFFF" w:sz="6" w:space="0"/>
              <w:bottom w:val="outset" w:color="FFFFFF" w:sz="6" w:space="0"/>
              <w:right w:val="outset" w:color="FFFFFF" w:sz="6" w:space="0"/>
            </w:tcBorders>
            <w:noWrap w:val="0"/>
            <w:vAlign w:val="top"/>
          </w:tcPr>
          <w:p>
            <w:pPr>
              <w:pStyle w:val="9"/>
              <w:spacing w:line="360" w:lineRule="auto"/>
              <w:jc w:val="center"/>
              <w:rPr>
                <w:rFonts w:hint="eastAsia" w:ascii="汉仪中圆简" w:hAnsi="汉仪中圆简" w:eastAsia="汉仪中圆简" w:cs="汉仪中圆简"/>
                <w:color w:val="0D0D0D" w:themeColor="text1" w:themeTint="F2"/>
                <w:sz w:val="21"/>
                <w:szCs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1"/>
                <w:szCs w:val="21"/>
                <w14:textFill>
                  <w14:solidFill>
                    <w14:schemeClr w14:val="tx1">
                      <w14:lumMod w14:val="95000"/>
                      <w14:lumOff w14:val="5000"/>
                    </w14:schemeClr>
                  </w14:solidFill>
                </w14:textFill>
              </w:rPr>
              <w:t xml:space="preserve">15天 </w:t>
            </w:r>
          </w:p>
        </w:tc>
      </w:tr>
      <w:tr>
        <w:tblPrEx>
          <w:tblBorders>
            <w:top w:val="outset" w:color="FFFFFF" w:sz="6" w:space="0"/>
            <w:left w:val="outset" w:color="FFFFFF" w:sz="6" w:space="0"/>
            <w:bottom w:val="outset" w:color="FFFFFF" w:sz="6" w:space="0"/>
            <w:right w:val="outset" w:color="FFFFFF" w:sz="6" w:space="0"/>
            <w:insideH w:val="none" w:color="auto" w:sz="0" w:space="0"/>
            <w:insideV w:val="none" w:color="auto" w:sz="0" w:space="0"/>
          </w:tblBorders>
          <w:tblCellMar>
            <w:top w:w="30" w:type="dxa"/>
            <w:left w:w="30" w:type="dxa"/>
            <w:bottom w:w="30" w:type="dxa"/>
            <w:right w:w="30" w:type="dxa"/>
          </w:tblCellMar>
        </w:tblPrEx>
        <w:trPr>
          <w:tblCellSpacing w:w="7" w:type="dxa"/>
          <w:jc w:val="center"/>
        </w:trPr>
        <w:tc>
          <w:tcPr>
            <w:tcW w:w="3522" w:type="dxa"/>
            <w:tcBorders>
              <w:top w:val="outset" w:color="FFFFFF" w:sz="6" w:space="0"/>
              <w:left w:val="outset" w:color="FFFFFF" w:sz="6" w:space="0"/>
              <w:bottom w:val="outset" w:color="FFFFFF" w:sz="6" w:space="0"/>
              <w:right w:val="outset" w:color="FFFFFF" w:sz="6" w:space="0"/>
            </w:tcBorders>
            <w:noWrap w:val="0"/>
            <w:vAlign w:val="top"/>
          </w:tcPr>
          <w:p>
            <w:pPr>
              <w:pStyle w:val="9"/>
              <w:spacing w:line="360" w:lineRule="auto"/>
              <w:jc w:val="center"/>
              <w:rPr>
                <w:rFonts w:hint="eastAsia" w:ascii="汉仪中圆简" w:hAnsi="汉仪中圆简" w:eastAsia="汉仪中圆简" w:cs="汉仪中圆简"/>
                <w:color w:val="0D0D0D" w:themeColor="text1" w:themeTint="F2"/>
                <w:sz w:val="21"/>
                <w:szCs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1"/>
                <w:szCs w:val="21"/>
                <w14:textFill>
                  <w14:solidFill>
                    <w14:schemeClr w14:val="tx1">
                      <w14:lumMod w14:val="95000"/>
                      <w14:lumOff w14:val="5000"/>
                    </w14:schemeClr>
                  </w14:solidFill>
                </w14:textFill>
              </w:rPr>
              <w:t xml:space="preserve">Y≥20 </w:t>
            </w:r>
          </w:p>
        </w:tc>
        <w:tc>
          <w:tcPr>
            <w:tcW w:w="3666" w:type="dxa"/>
            <w:tcBorders>
              <w:top w:val="outset" w:color="FFFFFF" w:sz="6" w:space="0"/>
              <w:left w:val="outset" w:color="FFFFFF" w:sz="6" w:space="0"/>
              <w:bottom w:val="outset" w:color="FFFFFF" w:sz="6" w:space="0"/>
              <w:right w:val="outset" w:color="FFFFFF" w:sz="6" w:space="0"/>
            </w:tcBorders>
            <w:noWrap w:val="0"/>
            <w:vAlign w:val="top"/>
          </w:tcPr>
          <w:p>
            <w:pPr>
              <w:pStyle w:val="9"/>
              <w:spacing w:line="360" w:lineRule="auto"/>
              <w:jc w:val="center"/>
              <w:rPr>
                <w:rFonts w:hint="eastAsia" w:ascii="汉仪中圆简" w:hAnsi="汉仪中圆简" w:eastAsia="汉仪中圆简" w:cs="汉仪中圆简"/>
                <w:color w:val="0D0D0D" w:themeColor="text1" w:themeTint="F2"/>
                <w:sz w:val="21"/>
                <w:szCs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1"/>
                <w:szCs w:val="21"/>
                <w14:textFill>
                  <w14:solidFill>
                    <w14:schemeClr w14:val="tx1">
                      <w14:lumMod w14:val="95000"/>
                      <w14:lumOff w14:val="5000"/>
                    </w14:schemeClr>
                  </w14:solidFill>
                </w14:textFill>
              </w:rPr>
              <w:t xml:space="preserve">20天 </w:t>
            </w:r>
          </w:p>
        </w:tc>
      </w:tr>
    </w:tbl>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 xml:space="preserve"> </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 xml:space="preserve">    （1）高中毕业直接考入大专院校的，大专院校的学龄每二年折合一年工龄，硕士以上学龄计入工龄； </w:t>
      </w:r>
    </w:p>
    <w:p>
      <w:pPr>
        <w:spacing w:line="500" w:lineRule="exact"/>
        <w:ind w:firstLine="600" w:firstLineChars="2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（2）享受年休假者，公司将发给300元补贴，不再报销其它费用。</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5.6.8 婚假</w:t>
      </w:r>
    </w:p>
    <w:p>
      <w:pPr>
        <w:spacing w:line="500" w:lineRule="exact"/>
        <w:ind w:firstLine="600" w:firstLineChars="2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公司对依国家婚姻法履行正式登记手续的转正职员，给婚假7天，如符合男25周岁、女23周岁及以上初婚的晚婚条件，另加10天假期。但职员必须在结婚注册日后5个月内取假。</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5.6.9 丧假</w:t>
      </w:r>
    </w:p>
    <w:p>
      <w:pPr>
        <w:spacing w:line="500" w:lineRule="exact"/>
        <w:ind w:firstLine="600" w:firstLineChars="2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直系亲属（指配偶、子女、父母或配偶之父母）死亡，公司给假5天。</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5.6.10 调动假</w:t>
      </w:r>
    </w:p>
    <w:p>
      <w:pPr>
        <w:spacing w:line="500" w:lineRule="exact"/>
        <w:ind w:firstLine="600" w:firstLineChars="2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异地办理行政和户口关系调动手续，给为期7天的假期一次。</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5.6.11 女职员产假</w:t>
      </w:r>
    </w:p>
    <w:tbl>
      <w:tblPr>
        <w:tblStyle w:val="10"/>
        <w:tblW w:w="0" w:type="auto"/>
        <w:jc w:val="center"/>
        <w:tblCellSpacing w:w="7" w:type="dxa"/>
        <w:tblBorders>
          <w:top w:val="outset" w:color="FFFFFF" w:sz="6" w:space="0"/>
          <w:left w:val="outset" w:color="FFFFFF" w:sz="6" w:space="0"/>
          <w:bottom w:val="outset" w:color="FFFFFF" w:sz="6" w:space="0"/>
          <w:right w:val="outset" w:color="FFFFFF" w:sz="6" w:space="0"/>
          <w:insideH w:val="none" w:color="auto" w:sz="0" w:space="0"/>
          <w:insideV w:val="none" w:color="auto" w:sz="0" w:space="0"/>
        </w:tblBorders>
        <w:tblLayout w:type="fixed"/>
        <w:tblCellMar>
          <w:top w:w="30" w:type="dxa"/>
          <w:left w:w="30" w:type="dxa"/>
          <w:bottom w:w="30" w:type="dxa"/>
          <w:right w:w="30" w:type="dxa"/>
        </w:tblCellMar>
      </w:tblPr>
      <w:tblGrid>
        <w:gridCol w:w="1728"/>
        <w:gridCol w:w="1640"/>
        <w:gridCol w:w="2782"/>
        <w:gridCol w:w="2055"/>
      </w:tblGrid>
      <w:tr>
        <w:tblPrEx>
          <w:tblBorders>
            <w:top w:val="outset" w:color="FFFFFF" w:sz="6" w:space="0"/>
            <w:left w:val="outset" w:color="FFFFFF" w:sz="6" w:space="0"/>
            <w:bottom w:val="outset" w:color="FFFFFF" w:sz="6" w:space="0"/>
            <w:right w:val="outset" w:color="FFFFFF" w:sz="6" w:space="0"/>
            <w:insideH w:val="none" w:color="auto" w:sz="0" w:space="0"/>
            <w:insideV w:val="none" w:color="auto" w:sz="0" w:space="0"/>
          </w:tblBorders>
          <w:tblCellMar>
            <w:top w:w="30" w:type="dxa"/>
            <w:left w:w="30" w:type="dxa"/>
            <w:bottom w:w="30" w:type="dxa"/>
            <w:right w:w="30" w:type="dxa"/>
          </w:tblCellMar>
        </w:tblPrEx>
        <w:trPr>
          <w:trHeight w:val="810" w:hRule="atLeast"/>
          <w:tblCellSpacing w:w="7" w:type="dxa"/>
          <w:jc w:val="center"/>
        </w:trPr>
        <w:tc>
          <w:tcPr>
            <w:tcW w:w="1707" w:type="dxa"/>
            <w:tcBorders>
              <w:top w:val="outset" w:color="FFFFFF" w:sz="6" w:space="0"/>
              <w:left w:val="outset" w:color="FFFFFF" w:sz="6" w:space="0"/>
              <w:bottom w:val="outset" w:color="FFFFFF" w:sz="6" w:space="0"/>
              <w:right w:val="outset" w:color="FFFFFF" w:sz="6" w:space="0"/>
            </w:tcBorders>
            <w:noWrap w:val="0"/>
            <w:vAlign w:val="top"/>
          </w:tcPr>
          <w:p>
            <w:pPr>
              <w:spacing w:line="360" w:lineRule="auto"/>
              <w:jc w:val="center"/>
              <w:rPr>
                <w:rFonts w:hint="eastAsia" w:ascii="汉仪中圆简" w:hAnsi="汉仪中圆简" w:eastAsia="汉仪中圆简" w:cs="汉仪中圆简"/>
                <w:color w:val="0D0D0D" w:themeColor="text1" w:themeTint="F2"/>
                <w:szCs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 xml:space="preserve">　</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ab/>
            </w:r>
            <w:r>
              <w:rPr>
                <w:rFonts w:hint="eastAsia" w:ascii="SimHei" w:hAnsi="SimHei" w:eastAsia="黑体" w:cs="汉仪中圆简"/>
                <w:color w:val="0D0D0D" w:themeColor="text1" w:themeTint="F2"/>
                <w:szCs w:val="21"/>
                <w14:textFill>
                  <w14:solidFill>
                    <w14:schemeClr w14:val="tx1">
                      <w14:lumMod w14:val="95000"/>
                      <w14:lumOff w14:val="5000"/>
                    </w14:schemeClr>
                  </w14:solidFill>
                </w14:textFill>
              </w:rPr>
              <w:t>类别</w:t>
            </w:r>
          </w:p>
        </w:tc>
        <w:tc>
          <w:tcPr>
            <w:tcW w:w="1626" w:type="dxa"/>
            <w:tcBorders>
              <w:top w:val="outset" w:color="FFFFFF" w:sz="6" w:space="0"/>
              <w:left w:val="outset" w:color="FFFFFF" w:sz="6" w:space="0"/>
              <w:bottom w:val="outset" w:color="FFFFFF" w:sz="6" w:space="0"/>
              <w:right w:val="outset" w:color="FFFFFF" w:sz="6" w:space="0"/>
            </w:tcBorders>
            <w:noWrap w:val="0"/>
            <w:vAlign w:val="top"/>
          </w:tcPr>
          <w:p>
            <w:pPr>
              <w:pStyle w:val="9"/>
              <w:spacing w:line="360" w:lineRule="auto"/>
              <w:jc w:val="center"/>
              <w:rPr>
                <w:rFonts w:hint="eastAsia" w:ascii="汉仪中圆简" w:hAnsi="汉仪中圆简" w:eastAsia="汉仪中圆简" w:cs="汉仪中圆简"/>
                <w:color w:val="0D0D0D" w:themeColor="text1" w:themeTint="F2"/>
                <w:sz w:val="21"/>
                <w:szCs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1"/>
                <w:szCs w:val="21"/>
                <w14:textFill>
                  <w14:solidFill>
                    <w14:schemeClr w14:val="tx1">
                      <w14:lumMod w14:val="95000"/>
                      <w14:lumOff w14:val="5000"/>
                    </w14:schemeClr>
                  </w14:solidFill>
                </w14:textFill>
              </w:rPr>
              <w:t>产假</w:t>
            </w:r>
            <w:r>
              <w:rPr>
                <w:rFonts w:hint="eastAsia" w:ascii="SimHei" w:hAnsi="SimHei" w:eastAsia="黑体" w:cs="汉仪中圆简"/>
                <w:color w:val="0D0D0D" w:themeColor="text1" w:themeTint="F2"/>
                <w:sz w:val="21"/>
                <w:szCs w:val="21"/>
                <w14:textFill>
                  <w14:solidFill>
                    <w14:schemeClr w14:val="tx1">
                      <w14:lumMod w14:val="95000"/>
                      <w14:lumOff w14:val="5000"/>
                    </w14:schemeClr>
                  </w14:solidFill>
                </w14:textFill>
              </w:rPr>
              <w:t xml:space="preserve"> </w:t>
            </w:r>
          </w:p>
        </w:tc>
        <w:tc>
          <w:tcPr>
            <w:tcW w:w="2768" w:type="dxa"/>
            <w:tcBorders>
              <w:top w:val="outset" w:color="FFFFFF" w:sz="6" w:space="0"/>
              <w:left w:val="outset" w:color="FFFFFF" w:sz="6" w:space="0"/>
              <w:bottom w:val="outset" w:color="FFFFFF" w:sz="6" w:space="0"/>
              <w:right w:val="outset" w:color="FFFFFF" w:sz="6" w:space="0"/>
            </w:tcBorders>
            <w:noWrap w:val="0"/>
            <w:vAlign w:val="top"/>
          </w:tcPr>
          <w:p>
            <w:pPr>
              <w:pStyle w:val="9"/>
              <w:spacing w:line="360" w:lineRule="auto"/>
              <w:jc w:val="center"/>
              <w:rPr>
                <w:rFonts w:hint="eastAsia" w:ascii="汉仪中圆简" w:hAnsi="汉仪中圆简" w:eastAsia="汉仪中圆简" w:cs="汉仪中圆简"/>
                <w:color w:val="0D0D0D" w:themeColor="text1" w:themeTint="F2"/>
                <w:sz w:val="21"/>
                <w:szCs w:val="21"/>
                <w:lang w:eastAsia="zh-CN"/>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1"/>
                <w:szCs w:val="21"/>
                <w14:textFill>
                  <w14:solidFill>
                    <w14:schemeClr w14:val="tx1">
                      <w14:lumMod w14:val="95000"/>
                      <w14:lumOff w14:val="5000"/>
                    </w14:schemeClr>
                  </w14:solidFill>
                </w14:textFill>
              </w:rPr>
              <w:t>领独生子女证</w:t>
            </w:r>
          </w:p>
          <w:p>
            <w:pPr>
              <w:pStyle w:val="9"/>
              <w:spacing w:line="360" w:lineRule="auto"/>
              <w:jc w:val="center"/>
              <w:rPr>
                <w:rFonts w:hint="eastAsia" w:ascii="汉仪中圆简" w:hAnsi="汉仪中圆简" w:eastAsia="汉仪中圆简" w:cs="汉仪中圆简"/>
                <w:color w:val="0D0D0D" w:themeColor="text1" w:themeTint="F2"/>
                <w:sz w:val="21"/>
                <w:szCs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1"/>
                <w:szCs w:val="21"/>
                <w14:textFill>
                  <w14:solidFill>
                    <w14:schemeClr w14:val="tx1">
                      <w14:lumMod w14:val="95000"/>
                      <w14:lumOff w14:val="5000"/>
                    </w14:schemeClr>
                  </w14:solidFill>
                </w14:textFill>
              </w:rPr>
              <w:t>增加假期</w:t>
            </w:r>
          </w:p>
        </w:tc>
        <w:tc>
          <w:tcPr>
            <w:tcW w:w="2034" w:type="dxa"/>
            <w:tcBorders>
              <w:top w:val="outset" w:color="FFFFFF" w:sz="6" w:space="0"/>
              <w:left w:val="outset" w:color="FFFFFF" w:sz="6" w:space="0"/>
              <w:bottom w:val="outset" w:color="FFFFFF" w:sz="6" w:space="0"/>
              <w:right w:val="outset" w:color="FFFFFF" w:sz="6" w:space="0"/>
            </w:tcBorders>
            <w:noWrap w:val="0"/>
            <w:vAlign w:val="top"/>
          </w:tcPr>
          <w:p>
            <w:pPr>
              <w:pStyle w:val="9"/>
              <w:spacing w:line="360" w:lineRule="auto"/>
              <w:jc w:val="center"/>
              <w:rPr>
                <w:rFonts w:hint="eastAsia" w:ascii="汉仪中圆简" w:hAnsi="汉仪中圆简" w:eastAsia="汉仪中圆简" w:cs="汉仪中圆简"/>
                <w:color w:val="0D0D0D" w:themeColor="text1" w:themeTint="F2"/>
                <w:sz w:val="21"/>
                <w:szCs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1"/>
                <w:szCs w:val="21"/>
                <w14:textFill>
                  <w14:solidFill>
                    <w14:schemeClr w14:val="tx1">
                      <w14:lumMod w14:val="95000"/>
                      <w14:lumOff w14:val="5000"/>
                    </w14:schemeClr>
                  </w14:solidFill>
                </w14:textFill>
              </w:rPr>
              <w:t>产假</w:t>
            </w:r>
            <w:r>
              <w:rPr>
                <w:rFonts w:hint="eastAsia" w:ascii="SimHei" w:hAnsi="SimHei" w:eastAsia="黑体" w:cs="汉仪中圆简"/>
                <w:color w:val="0D0D0D" w:themeColor="text1" w:themeTint="F2"/>
                <w:sz w:val="21"/>
                <w:szCs w:val="21"/>
                <w14:textFill>
                  <w14:solidFill>
                    <w14:schemeClr w14:val="tx1">
                      <w14:lumMod w14:val="95000"/>
                      <w14:lumOff w14:val="5000"/>
                    </w14:schemeClr>
                  </w14:solidFill>
                </w14:textFill>
              </w:rPr>
              <w:t xml:space="preserve">合计 </w:t>
            </w:r>
          </w:p>
        </w:tc>
      </w:tr>
      <w:tr>
        <w:tblPrEx>
          <w:tblBorders>
            <w:top w:val="outset" w:color="FFFFFF" w:sz="6" w:space="0"/>
            <w:left w:val="outset" w:color="FFFFFF" w:sz="6" w:space="0"/>
            <w:bottom w:val="outset" w:color="FFFFFF" w:sz="6" w:space="0"/>
            <w:right w:val="outset" w:color="FFFFFF" w:sz="6" w:space="0"/>
            <w:insideH w:val="none" w:color="auto" w:sz="0" w:space="0"/>
            <w:insideV w:val="none" w:color="auto" w:sz="0" w:space="0"/>
          </w:tblBorders>
          <w:tblCellMar>
            <w:top w:w="30" w:type="dxa"/>
            <w:left w:w="30" w:type="dxa"/>
            <w:bottom w:w="30" w:type="dxa"/>
            <w:right w:w="30" w:type="dxa"/>
          </w:tblCellMar>
        </w:tblPrEx>
        <w:trPr>
          <w:tblCellSpacing w:w="7" w:type="dxa"/>
          <w:jc w:val="center"/>
        </w:trPr>
        <w:tc>
          <w:tcPr>
            <w:tcW w:w="1707" w:type="dxa"/>
            <w:tcBorders>
              <w:top w:val="outset" w:color="FFFFFF" w:sz="6" w:space="0"/>
              <w:left w:val="outset" w:color="FFFFFF" w:sz="6" w:space="0"/>
              <w:bottom w:val="outset" w:color="FFFFFF" w:sz="6" w:space="0"/>
              <w:right w:val="outset" w:color="FFFFFF" w:sz="6" w:space="0"/>
            </w:tcBorders>
            <w:noWrap w:val="0"/>
            <w:vAlign w:val="top"/>
          </w:tcPr>
          <w:p>
            <w:pPr>
              <w:pStyle w:val="9"/>
              <w:spacing w:line="360" w:lineRule="auto"/>
              <w:jc w:val="center"/>
              <w:rPr>
                <w:rFonts w:hint="eastAsia" w:ascii="汉仪中圆简" w:hAnsi="汉仪中圆简" w:eastAsia="汉仪中圆简" w:cs="汉仪中圆简"/>
                <w:color w:val="0D0D0D" w:themeColor="text1" w:themeTint="F2"/>
                <w:sz w:val="21"/>
                <w:szCs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1"/>
                <w:szCs w:val="21"/>
                <w14:textFill>
                  <w14:solidFill>
                    <w14:schemeClr w14:val="tx1">
                      <w14:lumMod w14:val="95000"/>
                      <w14:lumOff w14:val="5000"/>
                    </w14:schemeClr>
                  </w14:solidFill>
                </w14:textFill>
              </w:rPr>
              <w:t>非晚育</w:t>
            </w:r>
            <w:r>
              <w:rPr>
                <w:rFonts w:hint="eastAsia" w:ascii="SimHei" w:hAnsi="SimHei" w:eastAsia="黑体" w:cs="汉仪中圆简"/>
                <w:color w:val="0D0D0D" w:themeColor="text1" w:themeTint="F2"/>
                <w:sz w:val="21"/>
                <w:szCs w:val="21"/>
                <w14:textFill>
                  <w14:solidFill>
                    <w14:schemeClr w14:val="tx1">
                      <w14:lumMod w14:val="95000"/>
                      <w14:lumOff w14:val="5000"/>
                    </w14:schemeClr>
                  </w14:solidFill>
                </w14:textFill>
              </w:rPr>
              <w:t xml:space="preserve"> </w:t>
            </w:r>
          </w:p>
        </w:tc>
        <w:tc>
          <w:tcPr>
            <w:tcW w:w="1626" w:type="dxa"/>
            <w:tcBorders>
              <w:top w:val="outset" w:color="FFFFFF" w:sz="6" w:space="0"/>
              <w:left w:val="outset" w:color="FFFFFF" w:sz="6" w:space="0"/>
              <w:bottom w:val="outset" w:color="FFFFFF" w:sz="6" w:space="0"/>
              <w:right w:val="outset" w:color="FFFFFF" w:sz="6" w:space="0"/>
            </w:tcBorders>
            <w:noWrap w:val="0"/>
            <w:vAlign w:val="top"/>
          </w:tcPr>
          <w:p>
            <w:pPr>
              <w:pStyle w:val="9"/>
              <w:spacing w:line="360" w:lineRule="auto"/>
              <w:jc w:val="center"/>
              <w:rPr>
                <w:rFonts w:hint="eastAsia" w:ascii="汉仪中圆简" w:hAnsi="汉仪中圆简" w:eastAsia="汉仪中圆简" w:cs="汉仪中圆简"/>
                <w:color w:val="0D0D0D" w:themeColor="text1" w:themeTint="F2"/>
                <w:sz w:val="21"/>
                <w:szCs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1"/>
                <w:szCs w:val="21"/>
                <w14:textFill>
                  <w14:solidFill>
                    <w14:schemeClr w14:val="tx1">
                      <w14:lumMod w14:val="95000"/>
                      <w14:lumOff w14:val="5000"/>
                    </w14:schemeClr>
                  </w14:solidFill>
                </w14:textFill>
              </w:rPr>
              <w:t xml:space="preserve">90天 </w:t>
            </w:r>
          </w:p>
        </w:tc>
        <w:tc>
          <w:tcPr>
            <w:tcW w:w="2768" w:type="dxa"/>
            <w:tcBorders>
              <w:top w:val="outset" w:color="FFFFFF" w:sz="6" w:space="0"/>
              <w:left w:val="outset" w:color="FFFFFF" w:sz="6" w:space="0"/>
              <w:bottom w:val="outset" w:color="FFFFFF" w:sz="6" w:space="0"/>
              <w:right w:val="outset" w:color="FFFFFF" w:sz="6" w:space="0"/>
            </w:tcBorders>
            <w:noWrap w:val="0"/>
            <w:vAlign w:val="top"/>
          </w:tcPr>
          <w:p>
            <w:pPr>
              <w:pStyle w:val="9"/>
              <w:spacing w:line="360" w:lineRule="auto"/>
              <w:jc w:val="center"/>
              <w:rPr>
                <w:rFonts w:hint="eastAsia" w:ascii="汉仪中圆简" w:hAnsi="汉仪中圆简" w:eastAsia="汉仪中圆简" w:cs="汉仪中圆简"/>
                <w:color w:val="0D0D0D" w:themeColor="text1" w:themeTint="F2"/>
                <w:sz w:val="21"/>
                <w:szCs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1"/>
                <w:szCs w:val="21"/>
                <w14:textFill>
                  <w14:solidFill>
                    <w14:schemeClr w14:val="tx1">
                      <w14:lumMod w14:val="95000"/>
                      <w14:lumOff w14:val="5000"/>
                    </w14:schemeClr>
                  </w14:solidFill>
                </w14:textFill>
              </w:rPr>
              <w:t xml:space="preserve">35天 </w:t>
            </w:r>
          </w:p>
        </w:tc>
        <w:tc>
          <w:tcPr>
            <w:tcW w:w="2034" w:type="dxa"/>
            <w:tcBorders>
              <w:top w:val="outset" w:color="FFFFFF" w:sz="6" w:space="0"/>
              <w:left w:val="outset" w:color="FFFFFF" w:sz="6" w:space="0"/>
              <w:bottom w:val="outset" w:color="FFFFFF" w:sz="6" w:space="0"/>
              <w:right w:val="outset" w:color="FFFFFF" w:sz="6" w:space="0"/>
            </w:tcBorders>
            <w:noWrap w:val="0"/>
            <w:vAlign w:val="top"/>
          </w:tcPr>
          <w:p>
            <w:pPr>
              <w:pStyle w:val="9"/>
              <w:spacing w:line="360" w:lineRule="auto"/>
              <w:jc w:val="center"/>
              <w:rPr>
                <w:rFonts w:hint="eastAsia" w:ascii="汉仪中圆简" w:hAnsi="汉仪中圆简" w:eastAsia="汉仪中圆简" w:cs="汉仪中圆简"/>
                <w:color w:val="0D0D0D" w:themeColor="text1" w:themeTint="F2"/>
                <w:sz w:val="21"/>
                <w:szCs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1"/>
                <w:szCs w:val="21"/>
                <w14:textFill>
                  <w14:solidFill>
                    <w14:schemeClr w14:val="tx1">
                      <w14:lumMod w14:val="95000"/>
                      <w14:lumOff w14:val="5000"/>
                    </w14:schemeClr>
                  </w14:solidFill>
                </w14:textFill>
              </w:rPr>
              <w:t xml:space="preserve">125天 </w:t>
            </w:r>
          </w:p>
        </w:tc>
      </w:tr>
      <w:tr>
        <w:tblPrEx>
          <w:tblBorders>
            <w:top w:val="outset" w:color="FFFFFF" w:sz="6" w:space="0"/>
            <w:left w:val="outset" w:color="FFFFFF" w:sz="6" w:space="0"/>
            <w:bottom w:val="outset" w:color="FFFFFF" w:sz="6" w:space="0"/>
            <w:right w:val="outset" w:color="FFFFFF" w:sz="6" w:space="0"/>
            <w:insideH w:val="none" w:color="auto" w:sz="0" w:space="0"/>
            <w:insideV w:val="none" w:color="auto" w:sz="0" w:space="0"/>
          </w:tblBorders>
          <w:tblCellMar>
            <w:top w:w="30" w:type="dxa"/>
            <w:left w:w="30" w:type="dxa"/>
            <w:bottom w:w="30" w:type="dxa"/>
            <w:right w:w="30" w:type="dxa"/>
          </w:tblCellMar>
        </w:tblPrEx>
        <w:trPr>
          <w:tblCellSpacing w:w="7" w:type="dxa"/>
          <w:jc w:val="center"/>
        </w:trPr>
        <w:tc>
          <w:tcPr>
            <w:tcW w:w="1707" w:type="dxa"/>
            <w:tcBorders>
              <w:top w:val="outset" w:color="FFFFFF" w:sz="6" w:space="0"/>
              <w:left w:val="outset" w:color="FFFFFF" w:sz="6" w:space="0"/>
              <w:bottom w:val="outset" w:color="FFFFFF" w:sz="6" w:space="0"/>
              <w:right w:val="outset" w:color="FFFFFF" w:sz="6" w:space="0"/>
            </w:tcBorders>
            <w:noWrap w:val="0"/>
            <w:vAlign w:val="top"/>
          </w:tcPr>
          <w:p>
            <w:pPr>
              <w:pStyle w:val="9"/>
              <w:spacing w:line="360" w:lineRule="auto"/>
              <w:jc w:val="center"/>
              <w:rPr>
                <w:rFonts w:hint="eastAsia" w:ascii="汉仪中圆简" w:hAnsi="汉仪中圆简" w:eastAsia="汉仪中圆简" w:cs="汉仪中圆简"/>
                <w:color w:val="0D0D0D" w:themeColor="text1" w:themeTint="F2"/>
                <w:sz w:val="21"/>
                <w:szCs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1"/>
                <w:szCs w:val="21"/>
                <w14:textFill>
                  <w14:solidFill>
                    <w14:schemeClr w14:val="tx1">
                      <w14:lumMod w14:val="95000"/>
                      <w14:lumOff w14:val="5000"/>
                    </w14:schemeClr>
                  </w14:solidFill>
                </w14:textFill>
              </w:rPr>
              <w:t>晚育</w:t>
            </w:r>
            <w:r>
              <w:rPr>
                <w:rFonts w:hint="eastAsia" w:ascii="SimHei" w:hAnsi="SimHei" w:eastAsia="黑体" w:cs="汉仪中圆简"/>
                <w:color w:val="0D0D0D" w:themeColor="text1" w:themeTint="F2"/>
                <w:sz w:val="21"/>
                <w:szCs w:val="21"/>
                <w14:textFill>
                  <w14:solidFill>
                    <w14:schemeClr w14:val="tx1">
                      <w14:lumMod w14:val="95000"/>
                      <w14:lumOff w14:val="5000"/>
                    </w14:schemeClr>
                  </w14:solidFill>
                </w14:textFill>
              </w:rPr>
              <w:t xml:space="preserve"> </w:t>
            </w:r>
          </w:p>
        </w:tc>
        <w:tc>
          <w:tcPr>
            <w:tcW w:w="1626" w:type="dxa"/>
            <w:tcBorders>
              <w:top w:val="outset" w:color="FFFFFF" w:sz="6" w:space="0"/>
              <w:left w:val="outset" w:color="FFFFFF" w:sz="6" w:space="0"/>
              <w:bottom w:val="outset" w:color="FFFFFF" w:sz="6" w:space="0"/>
              <w:right w:val="outset" w:color="FFFFFF" w:sz="6" w:space="0"/>
            </w:tcBorders>
            <w:noWrap w:val="0"/>
            <w:vAlign w:val="top"/>
          </w:tcPr>
          <w:p>
            <w:pPr>
              <w:pStyle w:val="9"/>
              <w:spacing w:line="360" w:lineRule="auto"/>
              <w:jc w:val="center"/>
              <w:rPr>
                <w:rFonts w:hint="eastAsia" w:ascii="汉仪中圆简" w:hAnsi="汉仪中圆简" w:eastAsia="汉仪中圆简" w:cs="汉仪中圆简"/>
                <w:color w:val="0D0D0D" w:themeColor="text1" w:themeTint="F2"/>
                <w:sz w:val="21"/>
                <w:szCs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1"/>
                <w:szCs w:val="21"/>
                <w14:textFill>
                  <w14:solidFill>
                    <w14:schemeClr w14:val="tx1">
                      <w14:lumMod w14:val="95000"/>
                      <w14:lumOff w14:val="5000"/>
                    </w14:schemeClr>
                  </w14:solidFill>
                </w14:textFill>
              </w:rPr>
              <w:t xml:space="preserve">105天 </w:t>
            </w:r>
          </w:p>
        </w:tc>
        <w:tc>
          <w:tcPr>
            <w:tcW w:w="2768" w:type="dxa"/>
            <w:tcBorders>
              <w:top w:val="outset" w:color="FFFFFF" w:sz="6" w:space="0"/>
              <w:left w:val="outset" w:color="FFFFFF" w:sz="6" w:space="0"/>
              <w:bottom w:val="outset" w:color="FFFFFF" w:sz="6" w:space="0"/>
              <w:right w:val="outset" w:color="FFFFFF" w:sz="6" w:space="0"/>
            </w:tcBorders>
            <w:noWrap w:val="0"/>
            <w:vAlign w:val="top"/>
          </w:tcPr>
          <w:p>
            <w:pPr>
              <w:pStyle w:val="9"/>
              <w:spacing w:line="360" w:lineRule="auto"/>
              <w:jc w:val="center"/>
              <w:rPr>
                <w:rFonts w:hint="eastAsia" w:ascii="汉仪中圆简" w:hAnsi="汉仪中圆简" w:eastAsia="汉仪中圆简" w:cs="汉仪中圆简"/>
                <w:color w:val="0D0D0D" w:themeColor="text1" w:themeTint="F2"/>
                <w:sz w:val="21"/>
                <w:szCs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1"/>
                <w:szCs w:val="21"/>
                <w14:textFill>
                  <w14:solidFill>
                    <w14:schemeClr w14:val="tx1">
                      <w14:lumMod w14:val="95000"/>
                      <w14:lumOff w14:val="5000"/>
                    </w14:schemeClr>
                  </w14:solidFill>
                </w14:textFill>
              </w:rPr>
              <w:t xml:space="preserve">35天 </w:t>
            </w:r>
          </w:p>
        </w:tc>
        <w:tc>
          <w:tcPr>
            <w:tcW w:w="2034" w:type="dxa"/>
            <w:tcBorders>
              <w:top w:val="outset" w:color="FFFFFF" w:sz="6" w:space="0"/>
              <w:left w:val="outset" w:color="FFFFFF" w:sz="6" w:space="0"/>
              <w:bottom w:val="outset" w:color="FFFFFF" w:sz="6" w:space="0"/>
              <w:right w:val="outset" w:color="FFFFFF" w:sz="6" w:space="0"/>
            </w:tcBorders>
            <w:noWrap w:val="0"/>
            <w:vAlign w:val="top"/>
          </w:tcPr>
          <w:p>
            <w:pPr>
              <w:pStyle w:val="9"/>
              <w:spacing w:line="360" w:lineRule="auto"/>
              <w:jc w:val="center"/>
              <w:rPr>
                <w:rFonts w:hint="eastAsia" w:ascii="汉仪中圆简" w:hAnsi="汉仪中圆简" w:eastAsia="汉仪中圆简" w:cs="汉仪中圆简"/>
                <w:color w:val="0D0D0D" w:themeColor="text1" w:themeTint="F2"/>
                <w:sz w:val="21"/>
                <w:szCs w:val="21"/>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1"/>
                <w:szCs w:val="21"/>
                <w14:textFill>
                  <w14:solidFill>
                    <w14:schemeClr w14:val="tx1">
                      <w14:lumMod w14:val="95000"/>
                      <w14:lumOff w14:val="5000"/>
                    </w14:schemeClr>
                  </w14:solidFill>
                </w14:textFill>
              </w:rPr>
              <w:t xml:space="preserve">140天 </w:t>
            </w:r>
          </w:p>
        </w:tc>
      </w:tr>
    </w:tbl>
    <w:p>
      <w:pPr>
        <w:spacing w:line="500" w:lineRule="exact"/>
        <w:ind w:firstLine="480" w:firstLineChars="2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（1）男26周岁、女24周岁及以上初育为晚育；</w:t>
      </w:r>
    </w:p>
    <w:p>
      <w:pPr>
        <w:spacing w:line="500" w:lineRule="exact"/>
        <w:ind w:firstLine="480" w:firstLineChars="2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（2）产假以产前后休假累计。</w:t>
      </w:r>
    </w:p>
    <w:p>
      <w:pPr>
        <w:spacing w:line="500" w:lineRule="exact"/>
        <w:ind w:firstLine="480" w:firstLineChars="200"/>
        <w:rPr>
          <w:rFonts w:hint="eastAsia" w:ascii="汉仪中圆简" w:hAnsi="汉仪中圆简" w:eastAsia="汉仪中圆简" w:cs="汉仪中圆简"/>
          <w:color w:val="0D0D0D" w:themeColor="text1" w:themeTint="F2"/>
          <w:sz w:val="24"/>
          <w:u w:val="single"/>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u w:val="single"/>
          <w14:textFill>
            <w14:solidFill>
              <w14:schemeClr w14:val="tx1">
                <w14:lumMod w14:val="95000"/>
                <w14:lumOff w14:val="5000"/>
              </w14:schemeClr>
            </w14:solidFill>
          </w14:textFill>
        </w:rPr>
        <w:t>注：以上为通用天数，具体天数以最新政策为准。</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5.6.12 男职员护理假：10天（限在女方产假期间）。</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5.6.13 哺乳假</w:t>
      </w:r>
    </w:p>
    <w:p>
      <w:pPr>
        <w:spacing w:line="500" w:lineRule="exact"/>
        <w:ind w:firstLine="480" w:firstLineChars="2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小孩一周岁以内，上班时间给母亲每天哺乳时间一小时（不含午餐时间）。</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5.6.14 计划生育假</w:t>
      </w:r>
    </w:p>
    <w:p>
      <w:pPr>
        <w:spacing w:line="500" w:lineRule="exact"/>
        <w:ind w:firstLine="480" w:firstLineChars="2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职员必须遵守政府有关计划生育的规定，计划生育假按国家规定执行。</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pStyle w:val="3"/>
        <w:numPr>
          <w:ilvl w:val="1"/>
          <w:numId w:val="19"/>
        </w:numPr>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bookmarkStart w:id="37" w:name="_Toc324103516"/>
      <w:r>
        <w:rPr>
          <w:rFonts w:hint="eastAsia" w:ascii="SimHei" w:hAnsi="SimHei" w:eastAsia="黑体" w:cs="汉仪中圆简"/>
          <w:color w:val="0D0D0D" w:themeColor="text1" w:themeTint="F2"/>
          <w14:textFill>
            <w14:solidFill>
              <w14:schemeClr w14:val="tx1">
                <w14:lumMod w14:val="95000"/>
                <w14:lumOff w14:val="5000"/>
              </w14:schemeClr>
            </w14:solidFill>
          </w14:textFill>
        </w:rPr>
        <w:t>社会保险</w:t>
      </w:r>
      <w:bookmarkEnd w:id="37"/>
    </w:p>
    <w:p>
      <w:pPr>
        <w:numPr>
          <w:ilvl w:val="2"/>
          <w:numId w:val="19"/>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公司为所有正式聘用职员购买养老保险、工伤保险、医疗保险、计划生育险、和住房公积金等社会保险项目。</w:t>
      </w:r>
    </w:p>
    <w:p>
      <w:pPr>
        <w:numPr>
          <w:ilvl w:val="2"/>
          <w:numId w:val="19"/>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对于长期外派和外地公司的转正职员，若当地未实行相应医疗保险，则实行医疗费用定额管理，由各地公司单列会计科目。如有特殊病症，须到特定医院就诊，应向所在单位领导说明，经同意方可前往就医。</w:t>
      </w:r>
    </w:p>
    <w:p>
      <w:pPr>
        <w:numPr>
          <w:ilvl w:val="2"/>
          <w:numId w:val="19"/>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购买医疗保险后，职员患病应凭社会保险机构发给的凭证，到规定的医院、卫生院等单位就医。在外地就医，应根据社会保险部门有关规定，办理审批手续，将药费单与诊断书交到社会保险部门报销。如有特殊病症，须到特定医院就诊，应事前向社会保险局申请。公司将不再为职员报销医药费。</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pStyle w:val="3"/>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bookmarkStart w:id="38" w:name="_Toc324103517"/>
      <w:r>
        <w:rPr>
          <w:rFonts w:hint="eastAsia" w:ascii="SimHei" w:hAnsi="SimHei" w:eastAsia="黑体" w:cs="汉仪中圆简"/>
          <w:color w:val="0D0D0D" w:themeColor="text1" w:themeTint="F2"/>
          <w14:textFill>
            <w14:solidFill>
              <w14:schemeClr w14:val="tx1">
                <w14:lumMod w14:val="95000"/>
                <w14:lumOff w14:val="5000"/>
              </w14:schemeClr>
            </w14:solidFill>
          </w14:textFill>
        </w:rPr>
        <w:t>5.8 贺仪与奠仪（限转正后）</w:t>
      </w:r>
      <w:bookmarkEnd w:id="38"/>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5.8.1 贺仪</w:t>
      </w:r>
    </w:p>
    <w:p>
      <w:pPr>
        <w:spacing w:line="500" w:lineRule="exact"/>
        <w:ind w:firstLine="480" w:firstLineChars="2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（1）如职员办理了结婚登记手续（限转正后），符合晚婚条件，请将结婚证于注册后一个月内呈报总部人力资源部，公司将致新婚贺仪人民币300元整；</w:t>
      </w:r>
    </w:p>
    <w:p>
      <w:pPr>
        <w:spacing w:line="500" w:lineRule="exact"/>
        <w:ind w:firstLine="480" w:firstLineChars="2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（2）如职员在子女出生6个月内向总部人力资源部出示《独生子女证》，公司将致贺仪人民币300元整；</w:t>
      </w:r>
    </w:p>
    <w:p>
      <w:pPr>
        <w:spacing w:line="500" w:lineRule="exact"/>
        <w:ind w:firstLine="480" w:firstLineChars="2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（3）如职员在子女入学一个月内向总部人力资源部出示入学通知，公司为职员子女入读小学、初中、高中、中专致贺仪人民币300元整，为职员子女入读高等院校致贺仪人民币1000元整。</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5.8.2 奠仪</w:t>
      </w:r>
    </w:p>
    <w:p>
      <w:pPr>
        <w:spacing w:line="500" w:lineRule="exact"/>
        <w:ind w:firstLine="600" w:firstLineChars="2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职员在直系亲属（指配偶、子女、父母或配偶之父母）不幸去世一个月内知会总部人力资源部，公司将致以奠仪人民币1000元整。</w:t>
      </w:r>
    </w:p>
    <w:p>
      <w:pPr>
        <w:spacing w:line="500" w:lineRule="exact"/>
        <w:ind w:firstLine="600" w:firstLineChars="2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pStyle w:val="3"/>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bookmarkStart w:id="39" w:name="_Toc324103518"/>
      <w:r>
        <w:rPr>
          <w:rFonts w:hint="eastAsia" w:ascii="SimHei" w:hAnsi="SimHei" w:eastAsia="黑体" w:cs="汉仪中圆简"/>
          <w:color w:val="0D0D0D" w:themeColor="text1" w:themeTint="F2"/>
          <w14:textFill>
            <w14:solidFill>
              <w14:schemeClr w14:val="tx1">
                <w14:lumMod w14:val="95000"/>
                <w14:lumOff w14:val="5000"/>
              </w14:schemeClr>
            </w14:solidFill>
          </w14:textFill>
        </w:rPr>
        <w:t>5.9 独生子女费用（限转正后）</w:t>
      </w:r>
      <w:bookmarkEnd w:id="39"/>
    </w:p>
    <w:p>
      <w:pPr>
        <w:spacing w:line="500" w:lineRule="exact"/>
        <w:ind w:firstLine="480" w:firstLineChars="2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自领取《独生子女证》之日起至子女满14周岁止，公司每月给予保育费补助30元，并给予独生子女医疗补贴100元整，此部分金额随同保育费一同发放。</w:t>
      </w:r>
    </w:p>
    <w:p>
      <w:pPr>
        <w:spacing w:line="500" w:lineRule="exact"/>
        <w:ind w:firstLine="480" w:firstLineChars="2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夫妇同在公司的只能一方享受此待遇。</w:t>
      </w:r>
    </w:p>
    <w:p>
      <w:pPr>
        <w:spacing w:line="500" w:lineRule="exact"/>
        <w:ind w:firstLine="480" w:firstLineChars="2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pStyle w:val="3"/>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bookmarkStart w:id="40" w:name="_Toc324103519"/>
      <w:r>
        <w:rPr>
          <w:rFonts w:hint="eastAsia" w:ascii="SimHei" w:hAnsi="SimHei" w:eastAsia="黑体" w:cs="汉仪中圆简"/>
          <w:color w:val="0D0D0D" w:themeColor="text1" w:themeTint="F2"/>
          <w14:textFill>
            <w14:solidFill>
              <w14:schemeClr w14:val="tx1">
                <w14:lumMod w14:val="95000"/>
                <w14:lumOff w14:val="5000"/>
              </w14:schemeClr>
            </w14:solidFill>
          </w14:textFill>
        </w:rPr>
        <w:t>5.10 体检及职员活动</w:t>
      </w:r>
      <w:bookmarkEnd w:id="40"/>
    </w:p>
    <w:p>
      <w:pPr>
        <w:spacing w:line="500" w:lineRule="exact"/>
        <w:ind w:firstLine="480" w:firstLineChars="2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公司为保障职员的身心健康，每年将进行一次例行体检，并组织经常性的体育锻炼和娱乐活动。一般来说职员均有机会参与公司每年定期或不定期举行的各项活动，例如公司周年庆祝活动、嘉年华春节晚会、郊游等。</w:t>
      </w:r>
    </w:p>
    <w:p>
      <w:pPr>
        <w:spacing w:line="500" w:lineRule="exact"/>
        <w:ind w:firstLine="480" w:firstLineChars="2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pStyle w:val="3"/>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bookmarkStart w:id="41" w:name="_Toc324103520"/>
      <w:r>
        <w:rPr>
          <w:rFonts w:hint="eastAsia" w:ascii="SimHei" w:hAnsi="SimHei" w:eastAsia="黑体" w:cs="汉仪中圆简"/>
          <w:color w:val="0D0D0D" w:themeColor="text1" w:themeTint="F2"/>
          <w14:textFill>
            <w14:solidFill>
              <w14:schemeClr w14:val="tx1">
                <w14:lumMod w14:val="95000"/>
                <w14:lumOff w14:val="5000"/>
              </w14:schemeClr>
            </w14:solidFill>
          </w14:textFill>
        </w:rPr>
        <w:t>5.11 职员宿舍</w:t>
      </w:r>
      <w:bookmarkEnd w:id="41"/>
    </w:p>
    <w:p>
      <w:pPr>
        <w:spacing w:line="500" w:lineRule="exact"/>
        <w:ind w:firstLine="600" w:firstLineChars="2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公司购置的职员宿舍是公司的固定资产，职员可依据公司规定申请入住；任何入住公司宿舍的职员须与公司签订“住房契约”并按规定交纳租金。</w:t>
      </w:r>
    </w:p>
    <w:p>
      <w:pPr>
        <w:spacing w:line="500" w:lineRule="exact"/>
        <w:ind w:firstLine="600" w:firstLineChars="2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公司职员宿舍的分配，综合考虑岗位责任、工作年限、婚姻状况等因素。</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pStyle w:val="2"/>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bookmarkStart w:id="42" w:name="_Toc324103521"/>
      <w:r>
        <w:rPr>
          <w:rFonts w:hint="eastAsia" w:ascii="SimHei" w:hAnsi="SimHei" w:eastAsia="黑体" w:cs="汉仪中圆简"/>
          <w:color w:val="0D0D0D" w:themeColor="text1" w:themeTint="F2"/>
          <w14:textFill>
            <w14:solidFill>
              <w14:schemeClr w14:val="tx1">
                <w14:lumMod w14:val="95000"/>
                <w14:lumOff w14:val="5000"/>
              </w14:schemeClr>
            </w14:solidFill>
          </w14:textFill>
        </w:rPr>
        <w:t>第六章 培训、考核与发展</w:t>
      </w:r>
      <w:bookmarkEnd w:id="42"/>
    </w:p>
    <w:p>
      <w:pPr>
        <w:pStyle w:val="3"/>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bookmarkStart w:id="43" w:name="_Toc324103522"/>
      <w:r>
        <w:rPr>
          <w:rFonts w:hint="eastAsia" w:ascii="SimHei" w:hAnsi="SimHei" w:eastAsia="黑体" w:cs="汉仪中圆简"/>
          <w:color w:val="0D0D0D" w:themeColor="text1" w:themeTint="F2"/>
          <w14:textFill>
            <w14:solidFill>
              <w14:schemeClr w14:val="tx1">
                <w14:lumMod w14:val="95000"/>
                <w14:lumOff w14:val="5000"/>
              </w14:schemeClr>
            </w14:solidFill>
          </w14:textFill>
        </w:rPr>
        <w:t>6.1培训与发展</w:t>
      </w:r>
      <w:bookmarkEnd w:id="43"/>
    </w:p>
    <w:p>
      <w:pPr>
        <w:numPr>
          <w:ilvl w:val="2"/>
          <w:numId w:val="21"/>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公司管理层以为职员提供可持续发展的机会和空间为己任。在公司，职员勤奋的工作除可以获得薪金、享有福利以外，还可以得到公司适时提供的大量训练和发展机会。</w:t>
      </w:r>
    </w:p>
    <w:p>
      <w:pPr>
        <w:numPr>
          <w:ilvl w:val="2"/>
          <w:numId w:val="21"/>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在公司除获得正规培训以外，职员还将自觉或不自觉地得到其他收获：</w:t>
      </w:r>
    </w:p>
    <w:p>
      <w:pPr>
        <w:spacing w:line="500" w:lineRule="exact"/>
        <w:ind w:left="481" w:leftChars="229" w:firstLine="240" w:firstLineChars="1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职员将学到更为有用的专业技术知识；</w:t>
      </w:r>
    </w:p>
    <w:p>
      <w:pPr>
        <w:spacing w:line="500" w:lineRule="exact"/>
        <w:ind w:firstLine="720" w:firstLineChars="3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职员将学会如何管理、激励、培训其他人；</w:t>
      </w:r>
    </w:p>
    <w:p>
      <w:pPr>
        <w:spacing w:line="500" w:lineRule="exact"/>
        <w:ind w:firstLine="720" w:firstLineChars="3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职员将学到如何发挥团队精神；</w:t>
      </w:r>
    </w:p>
    <w:p>
      <w:pPr>
        <w:spacing w:line="500" w:lineRule="exact"/>
        <w:ind w:firstLine="720" w:firstLineChars="3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职员将学到怎样善用时间；</w:t>
      </w:r>
    </w:p>
    <w:p>
      <w:pPr>
        <w:spacing w:line="500" w:lineRule="exact"/>
        <w:ind w:firstLine="720" w:firstLineChars="3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职员的经验将是职员迈向更高职位的起点；</w:t>
      </w:r>
    </w:p>
    <w:p>
      <w:pPr>
        <w:spacing w:line="500" w:lineRule="exact"/>
        <w:ind w:firstLine="720" w:firstLineChars="3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职员在</w:t>
      </w:r>
      <w:r>
        <w:rPr>
          <w:rFonts w:hint="eastAsia" w:ascii="SimHei" w:hAnsi="SimHei" w:eastAsia="黑体" w:cs="汉仪中圆简"/>
          <w:color w:val="0D0D0D" w:themeColor="text1" w:themeTint="F2"/>
          <w:sz w:val="24"/>
          <w:u w:val="single"/>
          <w14:textFill>
            <w14:solidFill>
              <w14:schemeClr w14:val="tx1">
                <w14:lumMod w14:val="95000"/>
                <w14:lumOff w14:val="5000"/>
              </w14:schemeClr>
            </w14:solidFill>
          </w14:textFill>
        </w:rPr>
        <w:t xml:space="preserve">       </w:t>
      </w: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的经历将有助于职员从事其他相关工作；</w:t>
      </w:r>
    </w:p>
    <w:p>
      <w:pPr>
        <w:spacing w:line="500" w:lineRule="exact"/>
        <w:ind w:firstLine="720" w:firstLineChars="3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同时，职员还能交到很多新朋友；</w:t>
      </w:r>
    </w:p>
    <w:p>
      <w:pPr>
        <w:spacing w:line="500" w:lineRule="exact"/>
        <w:ind w:firstLine="720" w:firstLineChars="3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w:t>
      </w:r>
    </w:p>
    <w:p>
      <w:pPr>
        <w:numPr>
          <w:ilvl w:val="2"/>
          <w:numId w:val="21"/>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 xml:space="preserve">培训为公司完成经营目标、提高绩效、实现事业发展提供人力资源的保证。培训是职员胜任职责、提升自我、开发潜力、拓展职业的途径。 </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pStyle w:val="3"/>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bookmarkStart w:id="44" w:name="_Toc324103523"/>
      <w:r>
        <w:rPr>
          <w:rFonts w:hint="eastAsia" w:ascii="SimHei" w:hAnsi="SimHei" w:eastAsia="黑体" w:cs="汉仪中圆简"/>
          <w:color w:val="0D0D0D" w:themeColor="text1" w:themeTint="F2"/>
          <w14:textFill>
            <w14:solidFill>
              <w14:schemeClr w14:val="tx1">
                <w14:lumMod w14:val="95000"/>
                <w14:lumOff w14:val="5000"/>
              </w14:schemeClr>
            </w14:solidFill>
          </w14:textFill>
        </w:rPr>
        <w:t>6.2 培训体系</w:t>
      </w:r>
      <w:bookmarkEnd w:id="44"/>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6.2.1 培训的举办应由公司人力资源部统一安排、部署。（提示：若公司设有分公司，可设立二级培训体系，即由各分公司主办，针对实际需要开展业务培训和新职员入职培训，并组织本公司业务、管理骨干参加外部培训。）</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6.2.2在公司，每一位管理者都应当是教练、讲师。专业骨干和管理人员是开展培训的中坚力量，肩负着工作指导、培训推广的责任。同时，人力资源部还将整合国内外最优秀的培训资源，包括外部专家、学者、专门培训（教育）机构等。</w:t>
      </w:r>
    </w:p>
    <w:p>
      <w:pPr>
        <w:spacing w:line="360" w:lineRule="auto"/>
        <w:ind w:left="312" w:hanging="312" w:hangingChars="130"/>
        <w:jc w:val="lef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6.2.3 人力资源部采用“诊断式培训体系”实施培训工作。具体如下：</w:t>
      </w:r>
    </w:p>
    <w:p>
      <w:pPr>
        <w:spacing w:line="360" w:lineRule="auto"/>
        <w:ind w:firstLine="477" w:firstLineChars="199"/>
        <w:jc w:val="lef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（1）诊断分析：根据岗位要求、员工能力现状找出每位员工能力短板。具体可通过问卷调查、谈话、员工表现分析、能力素质模型分析等形式进行培训前的需求诊断分析。</w:t>
      </w:r>
    </w:p>
    <w:p>
      <w:pPr>
        <w:spacing w:line="360" w:lineRule="auto"/>
        <w:ind w:firstLine="477" w:firstLineChars="199"/>
        <w:jc w:val="lef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（2）制定方案：针对不同部门、不同岗位制定相应的培训方案，包括科学设计课程体系。方案制定过程中，要与相应受训者进行深入沟通，确保“因材施教”。</w:t>
      </w:r>
    </w:p>
    <w:p>
      <w:pPr>
        <w:spacing w:line="360" w:lineRule="auto"/>
        <w:ind w:firstLine="477" w:firstLineChars="199"/>
        <w:jc w:val="lef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（3）方案实施：人力资源部牵头，由各部门配合，按照时间进度、人员安排进行培训。培训过程中，应注重教学管理，掌握学员的学习情况、把关教学质量等。</w:t>
      </w:r>
    </w:p>
    <w:p>
      <w:pPr>
        <w:spacing w:line="360" w:lineRule="auto"/>
        <w:ind w:firstLine="477" w:firstLineChars="199"/>
        <w:jc w:val="lef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4）培训评估、反馈与改进：本环节非常重要，具体评估应该有书面、谈话、实践表现等形式，主要是为了反馈学习效果，实现学习与实践互动，为后续的培训计划及安排做好充分准备，使培训进入一个良性的循环系统，达到不断提升员工和组织能力的目的。</w:t>
      </w:r>
    </w:p>
    <w:p>
      <w:pPr>
        <w:spacing w:line="360" w:lineRule="auto"/>
        <w:jc w:val="lef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6.2.4 培训信息公布和查询：人力资源部门将定期公布培训信息，主要包括：年度培训服务概览、月度培训及研修计划、外部培训信息、周培训信息以及网络版《培训资讯》。职员可以登录到公司网站主页上查询或咨询所在公司人事专职人员。</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6.2.5 培训积分制度：职员参加各种培训并获得结业后，可以向人力资源部门申报积分，积分将是职员在公司参加培训的最全面记录。年度累计积分的多少是职员晋级或晋升的参考标准之一。不同类别的职员积分要求有所不同。具体的规定另行设计《公司培训积分管理制度》后者其它激励制度。（注：企业可根据自身需求设定不同的激励制度，包括培训激励的形式、内容，以上内容仅供参考。）</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pStyle w:val="3"/>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bookmarkStart w:id="45" w:name="_Toc324103524"/>
      <w:r>
        <w:rPr>
          <w:rFonts w:hint="eastAsia" w:ascii="SimHei" w:hAnsi="SimHei" w:eastAsia="黑体" w:cs="汉仪中圆简"/>
          <w:color w:val="0D0D0D" w:themeColor="text1" w:themeTint="F2"/>
          <w14:textFill>
            <w14:solidFill>
              <w14:schemeClr w14:val="tx1">
                <w14:lumMod w14:val="95000"/>
                <w14:lumOff w14:val="5000"/>
              </w14:schemeClr>
            </w14:solidFill>
          </w14:textFill>
        </w:rPr>
        <w:t>6.3 培训形式</w:t>
      </w:r>
      <w:bookmarkEnd w:id="45"/>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培训的形式主要包括：脱产培训、在职培训、自我启发。</w:t>
      </w:r>
    </w:p>
    <w:p>
      <w:pPr>
        <w:numPr>
          <w:ilvl w:val="2"/>
          <w:numId w:val="22"/>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脱产培训是就管理中共性的、有必要让职员理解和掌握的东西（如工作必须的技能、知识、公司理念等），对职员进行的集中脱产培训、研修。这种培训由专任讲师授课或主持。</w:t>
      </w:r>
    </w:p>
    <w:p>
      <w:pPr>
        <w:numPr>
          <w:ilvl w:val="2"/>
          <w:numId w:val="22"/>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在职培训是指在日常工作中对职员的培养训练。即通过制定工作计划、分配调整工作、听取汇报和意见、评价考核业绩、推进工作改善、帮助解决问题等途径对职员进行的指导。</w:t>
      </w:r>
    </w:p>
    <w:p>
      <w:pPr>
        <w:numPr>
          <w:ilvl w:val="2"/>
          <w:numId w:val="22"/>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自我启发是指职员自己加强学习，提高修养，不断开发和提高自身能力。为此职员必须要善用所有的学习资源，以获得进步和发展，其中“挑战性的工作角色”是最重要的培训过程。</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pStyle w:val="3"/>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bookmarkStart w:id="46" w:name="_Toc324103525"/>
      <w:r>
        <w:rPr>
          <w:rFonts w:hint="eastAsia" w:ascii="SimHei" w:hAnsi="SimHei" w:eastAsia="黑体" w:cs="汉仪中圆简"/>
          <w:color w:val="0D0D0D" w:themeColor="text1" w:themeTint="F2"/>
          <w14:textFill>
            <w14:solidFill>
              <w14:schemeClr w14:val="tx1">
                <w14:lumMod w14:val="95000"/>
                <w14:lumOff w14:val="5000"/>
              </w14:schemeClr>
            </w14:solidFill>
          </w14:textFill>
        </w:rPr>
        <w:t>6.4 培训种类</w:t>
      </w:r>
      <w:bookmarkEnd w:id="46"/>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培训种类主要有以下五种：</w:t>
      </w:r>
    </w:p>
    <w:p>
      <w:pPr>
        <w:numPr>
          <w:ilvl w:val="2"/>
          <w:numId w:val="23"/>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公司内部课程：作为公司职员，为进一步了解公司，适应岗位职责要求，职员可申请或被指定参加公司内部举办的各种培训课程，课程类别主要有：公司理念推广、自我开发、管理研修、专业技能训练等。</w:t>
      </w:r>
    </w:p>
    <w:p>
      <w:pPr>
        <w:numPr>
          <w:ilvl w:val="2"/>
          <w:numId w:val="23"/>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公司外部课程：作为表现突出的骨干人员，为开拓思维，触发灵感，进一步提高管理水平和业务能力，职员可申请或被选送到外部管理顾问公司等专业培训机构参加短期课程，包括各种外部教育机构、培训中心所举办的短期培训课程、交流会。具体规定可以查询《外部培训管理办法》。</w:t>
      </w:r>
    </w:p>
    <w:p>
      <w:pPr>
        <w:numPr>
          <w:ilvl w:val="2"/>
          <w:numId w:val="23"/>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双向交流：某集团）职员若是总部职员，为增强工作实感，有可能被指定到一线经营单位去学习锻炼1-6个月。职员若是一线骨干人员，也有可能被指定到总部或其他对口业务单位联合办公0.5-2个月，使职员有时间、精力来总结提炼职员丰富的实际操作经验，某集团范围内交流，某集团资源共享，同时进一步系统了解公司运作特点。</w:t>
      </w:r>
    </w:p>
    <w:p>
      <w:pPr>
        <w:numPr>
          <w:ilvl w:val="2"/>
          <w:numId w:val="23"/>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个人进修：公司除举办各种培训班提高职员的素质外，也鼓励职员到大专院校或专业培训机构进修学习（包括攻读学位、上岗培训、职称及其他资格证书考试、培训等）；形式有脱产进修和业余进修，其中脱产进修的申请条件要求在公司服务满三年以上。参加各种形式的学习后，职员的结业（毕业）证书及成绩单须报总部人力资源部备案，作为调配、选拔以及任免的参考依据。个人进修的审批程序及获批准后的有关待遇规定详见《个人进修管理规定》或者“公司人才培养计划”有关规定。</w:t>
      </w:r>
    </w:p>
    <w:p>
      <w:pPr>
        <w:numPr>
          <w:ilvl w:val="2"/>
          <w:numId w:val="23"/>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外出考察：为拓展视野、丰富学习经验，公司将组织管理人员、专业人士以及荣获嘉奖的职员到外地考察。考察单位包括境内外的优秀企业或机构。</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pStyle w:val="3"/>
        <w:numPr>
          <w:ilvl w:val="1"/>
          <w:numId w:val="23"/>
        </w:numPr>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t xml:space="preserve"> </w:t>
      </w:r>
      <w:bookmarkStart w:id="47" w:name="_Toc324103526"/>
      <w:r>
        <w:rPr>
          <w:rFonts w:hint="eastAsia" w:ascii="SimHei" w:hAnsi="SimHei" w:eastAsia="黑体" w:cs="汉仪中圆简"/>
          <w:color w:val="0D0D0D" w:themeColor="text1" w:themeTint="F2"/>
          <w14:textFill>
            <w14:solidFill>
              <w14:schemeClr w14:val="tx1">
                <w14:lumMod w14:val="95000"/>
                <w14:lumOff w14:val="5000"/>
              </w14:schemeClr>
            </w14:solidFill>
          </w14:textFill>
        </w:rPr>
        <w:t>绩效考核与评估</w:t>
      </w:r>
      <w:bookmarkEnd w:id="47"/>
    </w:p>
    <w:p>
      <w:pPr>
        <w:numPr>
          <w:ilvl w:val="2"/>
          <w:numId w:val="23"/>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为帮助职员总结个人工作得失，明确未来工作目标和工作要求，有针对性地改进和提高，公司将根据实际以分公司或者部门为单位按月度展开适度的考核；同时每年人力资源部将进行全面性的职员考核，通过职员与直接上司共同填写《年度考核评议书》，对职员的工作表现、能力等进行综合考核评估。考核结果将作为职员薪金调整和职务调整的必要性条件。</w:t>
      </w:r>
    </w:p>
    <w:p>
      <w:pPr>
        <w:numPr>
          <w:ilvl w:val="2"/>
          <w:numId w:val="23"/>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在月考核中成绩良好者当月岗位薪金可适当上浮；成绩欠佳者，则可适当下浮；凡年度考核成绩处于部门（单位）低下水平者，将丧失本年度加薪、晋升和评奖资格，同时必须在下次考核中有所改进；经岗位调整或培训，仍连续两次处于较低水平者，公司可能会与职员终止劳动合同；当年度考核成绩低下者，亦可能面临降职、降薪或终止劳动合同的处理。</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pStyle w:val="3"/>
        <w:numPr>
          <w:ilvl w:val="1"/>
          <w:numId w:val="23"/>
        </w:numPr>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bookmarkStart w:id="48" w:name="_Toc324103527"/>
      <w:r>
        <w:rPr>
          <w:rFonts w:hint="eastAsia" w:ascii="SimHei" w:hAnsi="SimHei" w:eastAsia="黑体" w:cs="汉仪中圆简"/>
          <w:color w:val="0D0D0D" w:themeColor="text1" w:themeTint="F2"/>
          <w14:textFill>
            <w14:solidFill>
              <w14:schemeClr w14:val="tx1">
                <w14:lumMod w14:val="95000"/>
                <w14:lumOff w14:val="5000"/>
              </w14:schemeClr>
            </w14:solidFill>
          </w14:textFill>
        </w:rPr>
        <w:t>内部调动</w:t>
      </w:r>
      <w:bookmarkEnd w:id="48"/>
    </w:p>
    <w:p>
      <w:pPr>
        <w:numPr>
          <w:ilvl w:val="2"/>
          <w:numId w:val="23"/>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公司有权根据职员的能力、工作表现和公司的实际需要，将职员调至公司任何部门（分公司）工作，这也有利于发挥职员的潜质。但必须事先获得有关部门领导及人力资源部的审批，并完备调离原单位手续，交接好工作。任何公司系统内私人协议调动都是公司不允许的，违者将作自动离职处理。</w:t>
      </w:r>
    </w:p>
    <w:p>
      <w:pPr>
        <w:numPr>
          <w:ilvl w:val="2"/>
          <w:numId w:val="23"/>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公司人力资源部将经常公布公司内部职位空缺信息，职员可报名或推荐外界人才，由人力资源部及相关部门负责具体协调工作。</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pStyle w:val="3"/>
        <w:numPr>
          <w:ilvl w:val="1"/>
          <w:numId w:val="23"/>
        </w:numPr>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bookmarkStart w:id="49" w:name="_Toc324103528"/>
      <w:r>
        <w:rPr>
          <w:rFonts w:hint="eastAsia" w:ascii="SimHei" w:hAnsi="SimHei" w:eastAsia="黑体" w:cs="汉仪中圆简"/>
          <w:color w:val="0D0D0D" w:themeColor="text1" w:themeTint="F2"/>
          <w14:textFill>
            <w14:solidFill>
              <w14:schemeClr w14:val="tx1">
                <w14:lumMod w14:val="95000"/>
                <w14:lumOff w14:val="5000"/>
              </w14:schemeClr>
            </w14:solidFill>
          </w14:textFill>
        </w:rPr>
        <w:t>晋升机制</w:t>
      </w:r>
      <w:bookmarkEnd w:id="49"/>
    </w:p>
    <w:p>
      <w:pPr>
        <w:numPr>
          <w:ilvl w:val="2"/>
          <w:numId w:val="23"/>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公司鼓励职员努力工作，在出现职位空缺的前提下，工作勤奋、表现出色、能力出众的职员将获得优先的晋升和发展机会；公司并在一定程度上执行竞争上岗制度。</w:t>
      </w:r>
    </w:p>
    <w:p>
      <w:pPr>
        <w:numPr>
          <w:ilvl w:val="2"/>
          <w:numId w:val="23"/>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如果符合下列条件，职员将有机会获得职务晋升，薪金亦会相应增加：</w:t>
      </w:r>
    </w:p>
    <w:p>
      <w:pPr>
        <w:numPr>
          <w:ilvl w:val="0"/>
          <w:numId w:val="24"/>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具备良好的职业道德；</w:t>
      </w:r>
    </w:p>
    <w:p>
      <w:pPr>
        <w:numPr>
          <w:ilvl w:val="0"/>
          <w:numId w:val="24"/>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工作绩效显著；</w:t>
      </w:r>
    </w:p>
    <w:p>
      <w:pPr>
        <w:numPr>
          <w:ilvl w:val="0"/>
          <w:numId w:val="24"/>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个人工作能力优秀；</w:t>
      </w:r>
    </w:p>
    <w:p>
      <w:pPr>
        <w:numPr>
          <w:ilvl w:val="0"/>
          <w:numId w:val="24"/>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年度考核成绩处于部门中上水平；</w:t>
      </w:r>
    </w:p>
    <w:p>
      <w:pPr>
        <w:numPr>
          <w:ilvl w:val="0"/>
          <w:numId w:val="24"/>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对有关职务工作内容充分了解，并体现出职务兴趣；</w:t>
      </w:r>
    </w:p>
    <w:p>
      <w:pPr>
        <w:numPr>
          <w:ilvl w:val="0"/>
          <w:numId w:val="24"/>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具备其它与职务要求相关的综合能力；</w:t>
      </w:r>
    </w:p>
    <w:p>
      <w:pPr>
        <w:numPr>
          <w:ilvl w:val="0"/>
          <w:numId w:val="24"/>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已参加过拟晋升职务须接受的系列培训，成绩合格；</w:t>
      </w:r>
    </w:p>
    <w:p>
      <w:pPr>
        <w:numPr>
          <w:ilvl w:val="0"/>
          <w:numId w:val="24"/>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达到拟晋升职务所规定的工作阅历要求。</w:t>
      </w:r>
    </w:p>
    <w:p>
      <w:pPr>
        <w:numPr>
          <w:ilvl w:val="2"/>
          <w:numId w:val="23"/>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公司不同职级顺序：</w:t>
      </w:r>
    </w:p>
    <w:p>
      <w:pPr>
        <w:numPr>
          <w:ilvl w:val="0"/>
          <w:numId w:val="25"/>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行政直线：职员---&gt;主管---&gt;经理---&gt;总经理---&gt;其他更高职位</w:t>
      </w:r>
    </w:p>
    <w:p>
      <w:pPr>
        <w:numPr>
          <w:ilvl w:val="0"/>
          <w:numId w:val="25"/>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行政支线：助理职、副职等非直线职位列入行政支线</w:t>
      </w:r>
    </w:p>
    <w:p>
      <w:pPr>
        <w:numPr>
          <w:ilvl w:val="0"/>
          <w:numId w:val="25"/>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生产直线：略</w:t>
      </w:r>
    </w:p>
    <w:p>
      <w:pPr>
        <w:numPr>
          <w:ilvl w:val="0"/>
          <w:numId w:val="25"/>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研发直线：略</w:t>
      </w:r>
    </w:p>
    <w:p>
      <w:pPr>
        <w:numPr>
          <w:ilvl w:val="0"/>
          <w:numId w:val="25"/>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w:t>
      </w:r>
    </w:p>
    <w:p>
      <w:pPr>
        <w:spacing w:line="500" w:lineRule="exact"/>
        <w:ind w:firstLine="420" w:firstLineChars="200"/>
        <w:rPr>
          <w:rFonts w:hint="eastAsia" w:ascii="汉仪中圆简" w:hAnsi="汉仪中圆简" w:eastAsia="汉仪中圆简" w:cs="汉仪中圆简"/>
          <w:i/>
          <w:color w:val="0D0D0D" w:themeColor="text1" w:themeTint="F2"/>
          <w:szCs w:val="21"/>
          <w:u w:val="single"/>
          <w14:textFill>
            <w14:solidFill>
              <w14:schemeClr w14:val="tx1">
                <w14:lumMod w14:val="95000"/>
                <w14:lumOff w14:val="5000"/>
              </w14:schemeClr>
            </w14:solidFill>
          </w14:textFill>
        </w:rPr>
      </w:pPr>
      <w:r>
        <w:rPr>
          <w:rFonts w:hint="eastAsia" w:ascii="SimHei" w:hAnsi="SimHei" w:eastAsia="黑体" w:cs="汉仪中圆简"/>
          <w:i/>
          <w:color w:val="0D0D0D" w:themeColor="text1" w:themeTint="F2"/>
          <w:szCs w:val="21"/>
          <w:u w:val="single"/>
          <w14:textFill>
            <w14:solidFill>
              <w14:schemeClr w14:val="tx1">
                <w14:lumMod w14:val="95000"/>
                <w14:lumOff w14:val="5000"/>
              </w14:schemeClr>
            </w14:solidFill>
          </w14:textFill>
        </w:rPr>
        <w:t>说明：企业可根据自身情况设计不同的晋升渠道，例如分别从管理、技术、技能不同层面设计员工的发展通道，尤其是生产型企业需要灵活设计不同的员工发展渠道，为员工提供展示平台，便于员工能够充分发挥自己的能力和特长。</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pStyle w:val="2"/>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bookmarkStart w:id="50" w:name="_Toc324103529"/>
      <w:r>
        <w:rPr>
          <w:rFonts w:hint="eastAsia" w:ascii="SimHei" w:hAnsi="SimHei" w:eastAsia="黑体" w:cs="汉仪中圆简"/>
          <w:color w:val="0D0D0D" w:themeColor="text1" w:themeTint="F2"/>
          <w14:textFill>
            <w14:solidFill>
              <w14:schemeClr w14:val="tx1">
                <w14:lumMod w14:val="95000"/>
                <w14:lumOff w14:val="5000"/>
              </w14:schemeClr>
            </w14:solidFill>
          </w14:textFill>
        </w:rPr>
        <w:t>第七章 劳动合同</w:t>
      </w:r>
      <w:bookmarkEnd w:id="50"/>
    </w:p>
    <w:p>
      <w:pPr>
        <w:spacing w:line="500" w:lineRule="exact"/>
        <w:ind w:firstLine="480" w:firstLineChars="2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为确立公司与职员的劳动关系，明确双方的权利与义务，公司实施全员劳动合同制管理。公司的全员劳动合同制管理以国家颁布的《劳动法》和各地方相关劳动法规为依据，本条例未提及事项均遵照上述各项法规执行。</w:t>
      </w:r>
    </w:p>
    <w:p>
      <w:pPr>
        <w:pStyle w:val="3"/>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bookmarkStart w:id="51" w:name="_Toc324103530"/>
      <w:r>
        <w:rPr>
          <w:rFonts w:hint="eastAsia" w:ascii="SimHei" w:hAnsi="SimHei" w:eastAsia="黑体" w:cs="汉仪中圆简"/>
          <w:color w:val="0D0D0D" w:themeColor="text1" w:themeTint="F2"/>
          <w14:textFill>
            <w14:solidFill>
              <w14:schemeClr w14:val="tx1">
                <w14:lumMod w14:val="95000"/>
                <w14:lumOff w14:val="5000"/>
              </w14:schemeClr>
            </w14:solidFill>
          </w14:textFill>
        </w:rPr>
        <w:t>7.1 适用范围</w:t>
      </w:r>
      <w:bookmarkEnd w:id="51"/>
    </w:p>
    <w:p>
      <w:pPr>
        <w:spacing w:line="500" w:lineRule="exact"/>
        <w:ind w:firstLine="480" w:firstLineChars="2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职员在公司期间，均需与具有法人资格的所在公司订立劳动合同，确立劳动关系。</w:t>
      </w:r>
    </w:p>
    <w:p>
      <w:pPr>
        <w:pStyle w:val="3"/>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bookmarkStart w:id="52" w:name="_Toc324103531"/>
      <w:r>
        <w:rPr>
          <w:rFonts w:hint="eastAsia" w:ascii="SimHei" w:hAnsi="SimHei" w:eastAsia="黑体" w:cs="汉仪中圆简"/>
          <w:color w:val="0D0D0D" w:themeColor="text1" w:themeTint="F2"/>
          <w14:textFill>
            <w14:solidFill>
              <w14:schemeClr w14:val="tx1">
                <w14:lumMod w14:val="95000"/>
                <w14:lumOff w14:val="5000"/>
              </w14:schemeClr>
            </w14:solidFill>
          </w14:textFill>
        </w:rPr>
        <w:t>7.2 合同期限</w:t>
      </w:r>
      <w:bookmarkEnd w:id="52"/>
    </w:p>
    <w:p>
      <w:pPr>
        <w:spacing w:line="500" w:lineRule="exact"/>
        <w:ind w:firstLine="480" w:firstLineChars="2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劳动合同的期限分为固定期限、无固定期限和以完成一定的工作为期限。在同一用人单位连续工作满十年以上，公司与职员双方同意续签劳动合同的，职员可以提出与公司订立无固定期限的劳动合同。</w:t>
      </w:r>
    </w:p>
    <w:p>
      <w:pPr>
        <w:pStyle w:val="3"/>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bookmarkStart w:id="53" w:name="_Toc324103532"/>
      <w:r>
        <w:rPr>
          <w:rFonts w:hint="eastAsia" w:ascii="SimHei" w:hAnsi="SimHei" w:eastAsia="黑体" w:cs="汉仪中圆简"/>
          <w:color w:val="0D0D0D" w:themeColor="text1" w:themeTint="F2"/>
          <w14:textFill>
            <w14:solidFill>
              <w14:schemeClr w14:val="tx1">
                <w14:lumMod w14:val="95000"/>
                <w14:lumOff w14:val="5000"/>
              </w14:schemeClr>
            </w14:solidFill>
          </w14:textFill>
        </w:rPr>
        <w:t>7.3合同签定、续订、变更和解除</w:t>
      </w:r>
      <w:bookmarkEnd w:id="53"/>
    </w:p>
    <w:p>
      <w:pPr>
        <w:numPr>
          <w:ilvl w:val="2"/>
          <w:numId w:val="26"/>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新入职的职员，公司将在职员入职后与其签定劳动合同。</w:t>
      </w:r>
    </w:p>
    <w:p>
      <w:pPr>
        <w:numPr>
          <w:ilvl w:val="2"/>
          <w:numId w:val="26"/>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对于有固定期限的劳动合同，公司与职员双方同意在劳动合同期满后续签劳动合同的，应在原合同期满前三十日内重新订立劳动合同。</w:t>
      </w:r>
    </w:p>
    <w:p>
      <w:pPr>
        <w:numPr>
          <w:ilvl w:val="2"/>
          <w:numId w:val="26"/>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公司与职员双方经协商同意，可以变更或者解除劳动合同。</w:t>
      </w:r>
    </w:p>
    <w:p>
      <w:pPr>
        <w:numPr>
          <w:ilvl w:val="2"/>
          <w:numId w:val="26"/>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职员有下列情形之一的，公司可以解除劳动合同，且可以不支付经济补偿：</w:t>
      </w:r>
    </w:p>
    <w:p>
      <w:pPr>
        <w:spacing w:line="500" w:lineRule="exact"/>
        <w:ind w:firstLine="600" w:firstLineChars="2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（1）在试用期内被证明不符合录用条件的；</w:t>
      </w:r>
    </w:p>
    <w:p>
      <w:pPr>
        <w:spacing w:line="500" w:lineRule="exact"/>
        <w:ind w:firstLine="600" w:firstLineChars="2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（2）严重违反劳动纪律或公司规章制度的；</w:t>
      </w:r>
    </w:p>
    <w:p>
      <w:pPr>
        <w:spacing w:line="500" w:lineRule="exact"/>
        <w:ind w:firstLine="600" w:firstLineChars="2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（3）严重失职、营私舞弊，对公司利益造成重大损害的；</w:t>
      </w:r>
    </w:p>
    <w:p>
      <w:pPr>
        <w:spacing w:line="500" w:lineRule="exact"/>
        <w:ind w:firstLine="600" w:firstLineChars="2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（4）被依法追究刑事责任的。</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7.3.5 有下列情形之一的，在征得人力资源部同意和征询职工委员会（职工委员会根据企业实际状况设立，国有企业相应的组织机构为工会）意见后，公司可以解除劳动合同，但应当提前三十日以书面形式通知职员本人：</w:t>
      </w:r>
    </w:p>
    <w:p>
      <w:pPr>
        <w:spacing w:line="500" w:lineRule="exact"/>
        <w:ind w:firstLine="600" w:firstLineChars="2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（1）职员患病或非因工负伤，医疗期满后不能从事原工作也不能从事由公司另行安排的工作的；</w:t>
      </w:r>
    </w:p>
    <w:p>
      <w:pPr>
        <w:spacing w:line="500" w:lineRule="exact"/>
        <w:ind w:firstLine="600" w:firstLineChars="2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（2）职员不能胜任工作，经过培训或者调整工作岗位，仍不能胜任工作的；</w:t>
      </w:r>
    </w:p>
    <w:p>
      <w:pPr>
        <w:spacing w:line="500" w:lineRule="exact"/>
        <w:ind w:firstLine="600" w:firstLineChars="2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（3）劳动合同订立所依据的客观情况发生重大变化，致使原劳动合同无法履行，经当事人协商不能就变更劳动合同达成一致协议的；</w:t>
      </w:r>
    </w:p>
    <w:p>
      <w:pPr>
        <w:spacing w:line="500" w:lineRule="exact"/>
        <w:ind w:firstLine="600" w:firstLineChars="2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（4）公司经营困难发生经济性裁员的；</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7.3.6 公司与职工委员会委员解除劳动合同必须经职工委员会同意。</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7.3.7 职员解除劳动合同，应当提前三十日以书面形式通知公司。如未能提前通知公司，给公司造成经济损失的，应根据国家有关劳动法规定承担违约责任。</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pStyle w:val="3"/>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bookmarkStart w:id="54" w:name="_Toc324103533"/>
      <w:r>
        <w:rPr>
          <w:rFonts w:hint="eastAsia" w:ascii="SimHei" w:hAnsi="SimHei" w:eastAsia="黑体" w:cs="汉仪中圆简"/>
          <w:color w:val="0D0D0D" w:themeColor="text1" w:themeTint="F2"/>
          <w14:textFill>
            <w14:solidFill>
              <w14:schemeClr w14:val="tx1">
                <w14:lumMod w14:val="95000"/>
                <w14:lumOff w14:val="5000"/>
              </w14:schemeClr>
            </w14:solidFill>
          </w14:textFill>
        </w:rPr>
        <w:t>7.4 完备调离手续</w:t>
      </w:r>
      <w:bookmarkEnd w:id="54"/>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7.4.1 双方终止或解除劳动合同，职员在离职前必须完备离职手续，未完备离职手续擅自离职，公司将按旷工处理。离职手续包括：</w:t>
      </w:r>
    </w:p>
    <w:p>
      <w:pPr>
        <w:spacing w:line="500" w:lineRule="exact"/>
        <w:ind w:firstLine="360" w:firstLineChars="1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（1）处理工作交接事宜；</w:t>
      </w:r>
    </w:p>
    <w:p>
      <w:pPr>
        <w:spacing w:line="500" w:lineRule="exact"/>
        <w:ind w:firstLine="360" w:firstLineChars="1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（2）按《调离手续完备表》要求办理离职手续；</w:t>
      </w:r>
    </w:p>
    <w:p>
      <w:pPr>
        <w:spacing w:line="500" w:lineRule="exact"/>
        <w:ind w:firstLine="360" w:firstLineChars="1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（3）交还所有公司资料、文件、办公用品、《员工手册》及其它公物；</w:t>
      </w:r>
    </w:p>
    <w:p>
      <w:pPr>
        <w:spacing w:line="500" w:lineRule="exact"/>
        <w:ind w:firstLine="360" w:firstLineChars="1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（4）退还公司宿舍及房内公物，并到人力资源部办理退房手续。由公司提出解除劳动合同的职员，临时确没有住房需租住公司住房的，必须与公司签定续租契约，租金按市价收取，租住时间不得超过一个月；</w:t>
      </w:r>
    </w:p>
    <w:p>
      <w:pPr>
        <w:spacing w:line="500" w:lineRule="exact"/>
        <w:ind w:firstLine="360" w:firstLineChars="1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（5）报销公司帐目，归还公司欠款；待所有离职手续完备后，领取离职当月实际工作天数薪金。</w:t>
      </w:r>
    </w:p>
    <w:p>
      <w:pPr>
        <w:spacing w:line="500" w:lineRule="exact"/>
        <w:ind w:firstLine="360" w:firstLineChars="1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（6）离职职员户口及人事档案关系在公司的，应在离职日将户口、档案及人事关系转离公司，不能马上转离的，需与公司签定《离职人员档案管理协议》。</w:t>
      </w:r>
    </w:p>
    <w:p>
      <w:pPr>
        <w:spacing w:line="500" w:lineRule="exact"/>
        <w:ind w:firstLine="360" w:firstLineChars="1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（7）职员违约或提出解除劳动合同时，职员应按合同规定，归还在劳动合同期限内的有关费用。</w:t>
      </w:r>
    </w:p>
    <w:p>
      <w:pPr>
        <w:spacing w:line="500" w:lineRule="exact"/>
        <w:ind w:firstLine="360" w:firstLineChars="1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（8）如与公司签定有其它合同（协议），按其它合同（协议）的约定办理。</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7.4.2 第一负责人或重要岗位管理人员离职，公司将安排离职审计。</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pStyle w:val="3"/>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bookmarkStart w:id="55" w:name="_Toc324103534"/>
      <w:r>
        <w:rPr>
          <w:rFonts w:hint="eastAsia" w:ascii="SimHei" w:hAnsi="SimHei" w:eastAsia="黑体" w:cs="汉仪中圆简"/>
          <w:color w:val="0D0D0D" w:themeColor="text1" w:themeTint="F2"/>
          <w14:textFill>
            <w14:solidFill>
              <w14:schemeClr w14:val="tx1">
                <w14:lumMod w14:val="95000"/>
                <w14:lumOff w14:val="5000"/>
              </w14:schemeClr>
            </w14:solidFill>
          </w14:textFill>
        </w:rPr>
        <w:t>7.5 离职面谈</w:t>
      </w:r>
      <w:bookmarkEnd w:id="55"/>
    </w:p>
    <w:p>
      <w:pPr>
        <w:spacing w:line="500" w:lineRule="exact"/>
        <w:ind w:firstLine="600" w:firstLineChars="2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离职前，公司可根据职员意愿安排总部人力资源部或职员上司进行离职面谈，听取职员意见。</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pStyle w:val="3"/>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bookmarkStart w:id="56" w:name="_Toc324103535"/>
      <w:r>
        <w:rPr>
          <w:rFonts w:hint="eastAsia" w:ascii="SimHei" w:hAnsi="SimHei" w:eastAsia="黑体" w:cs="汉仪中圆简"/>
          <w:color w:val="0D0D0D" w:themeColor="text1" w:themeTint="F2"/>
          <w14:textFill>
            <w14:solidFill>
              <w14:schemeClr w14:val="tx1">
                <w14:lumMod w14:val="95000"/>
                <w14:lumOff w14:val="5000"/>
              </w14:schemeClr>
            </w14:solidFill>
          </w14:textFill>
        </w:rPr>
        <w:t>7.6 纠纷处理</w:t>
      </w:r>
      <w:bookmarkEnd w:id="56"/>
    </w:p>
    <w:p>
      <w:pPr>
        <w:spacing w:line="500" w:lineRule="exact"/>
        <w:ind w:firstLine="720" w:firstLineChars="3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合同过程中的任何劳动纠纷，职员可通过申诉程序向上级负责人或责任机构（职工委员会、人力资源部、劳动仲裁调解委员会）申诉，公司不能解决时可向当地劳动局劳动仲裁机构申请仲裁。</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pStyle w:val="2"/>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bookmarkStart w:id="57" w:name="_Toc324103536"/>
      <w:r>
        <w:rPr>
          <w:rFonts w:hint="eastAsia" w:ascii="SimHei" w:hAnsi="SimHei" w:eastAsia="黑体" w:cs="汉仪中圆简"/>
          <w:color w:val="0D0D0D" w:themeColor="text1" w:themeTint="F2"/>
          <w14:textFill>
            <w14:solidFill>
              <w14:schemeClr w14:val="tx1">
                <w14:lumMod w14:val="95000"/>
                <w14:lumOff w14:val="5000"/>
              </w14:schemeClr>
            </w14:solidFill>
          </w14:textFill>
        </w:rPr>
        <w:t>第八章 员工关系与沟通</w:t>
      </w:r>
      <w:bookmarkEnd w:id="57"/>
    </w:p>
    <w:p>
      <w:pPr>
        <w:spacing w:line="500" w:lineRule="exact"/>
        <w:ind w:firstLine="480" w:firstLineChars="2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公司一贯提倡良好、融洽、简单的人际关系；同时提倡个人与公司及个人与个人之间的沟通。公司提倡坦诚的沟通与合作，并相信职员在共同工作中会建立真挚的友谊。</w:t>
      </w:r>
    </w:p>
    <w:p>
      <w:pPr>
        <w:pStyle w:val="3"/>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bookmarkStart w:id="58" w:name="_Toc324103537"/>
      <w:r>
        <w:rPr>
          <w:rFonts w:hint="eastAsia" w:ascii="SimHei" w:hAnsi="SimHei" w:eastAsia="黑体" w:cs="汉仪中圆简"/>
          <w:color w:val="0D0D0D" w:themeColor="text1" w:themeTint="F2"/>
          <w14:textFill>
            <w14:solidFill>
              <w14:schemeClr w14:val="tx1">
                <w14:lumMod w14:val="95000"/>
                <w14:lumOff w14:val="5000"/>
              </w14:schemeClr>
            </w14:solidFill>
          </w14:textFill>
        </w:rPr>
        <w:t>8.1沟通渠道</w:t>
      </w:r>
      <w:bookmarkEnd w:id="58"/>
    </w:p>
    <w:p>
      <w:pPr>
        <w:spacing w:line="500" w:lineRule="exact"/>
        <w:ind w:firstLine="480" w:firstLineChars="2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人力资源部门及职工委员会作为员工关系与沟通的主要责任机构，将为职员在工作满意度提升、劳动保障、职业心理辅导与申诉处理等方面提供帮助。同时各级管理人员同样负有相关责任义务。</w:t>
      </w:r>
    </w:p>
    <w:p>
      <w:pPr>
        <w:spacing w:line="500" w:lineRule="exact"/>
        <w:ind w:firstLine="480" w:firstLineChars="2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具体沟通渠道包括：上级经理、高层管理人员（例如总经理接待日）、员工关系专员、职工委员会、工作面谈（新职员转正、职员调薪或岗位变动、进行工作评估、职业发展规划以及职员提出辞职等）、工作讨论和会议、E-MAIL给任何人、网上论坛发表意见和建议、职员申诉程序、员工满意度调查、公司的信息发布渠道（网站、内刊、公告板、宣传栏等）。</w:t>
      </w:r>
    </w:p>
    <w:p>
      <w:pPr>
        <w:pStyle w:val="3"/>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bookmarkStart w:id="59" w:name="_Toc324103538"/>
      <w:r>
        <w:rPr>
          <w:rFonts w:hint="eastAsia" w:ascii="SimHei" w:hAnsi="SimHei" w:eastAsia="黑体" w:cs="汉仪中圆简"/>
          <w:color w:val="0D0D0D" w:themeColor="text1" w:themeTint="F2"/>
          <w14:textFill>
            <w14:solidFill>
              <w14:schemeClr w14:val="tx1">
                <w14:lumMod w14:val="95000"/>
                <w14:lumOff w14:val="5000"/>
              </w14:schemeClr>
            </w14:solidFill>
          </w14:textFill>
        </w:rPr>
        <w:t>8.2意见调查</w:t>
      </w:r>
      <w:bookmarkEnd w:id="59"/>
    </w:p>
    <w:p>
      <w:pPr>
        <w:pStyle w:val="9"/>
        <w:spacing w:before="0" w:beforeAutospacing="0" w:after="0" w:afterAutospacing="0" w:line="360" w:lineRule="auto"/>
        <w:ind w:firstLine="480" w:firstLineChars="200"/>
        <w:rPr>
          <w:rFonts w:hint="eastAsia" w:ascii="汉仪中圆简" w:hAnsi="汉仪中圆简" w:eastAsia="汉仪中圆简" w:cs="汉仪中圆简"/>
          <w:color w:val="0D0D0D" w:themeColor="text1" w:themeTint="F2"/>
          <w:kern w:val="2"/>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kern w:val="2"/>
          <w14:textFill>
            <w14:solidFill>
              <w14:schemeClr w14:val="tx1">
                <w14:lumMod w14:val="95000"/>
                <w14:lumOff w14:val="5000"/>
              </w14:schemeClr>
            </w14:solidFill>
          </w14:textFill>
        </w:rPr>
        <w:t>公司将通过定期的和不定期的书面或面谈式意见调查向员工征询对公司业务、管理等方面的意见，员工可完全凭自己的真实想法反馈而无须有任何顾虑。这些意见与建议将成为公司在经营管理决策过程中的考虑因素。公司虽不承诺员工的每一项想法均能实现，但公司会给员工以相应的答复。</w:t>
      </w:r>
      <w:r>
        <w:rPr>
          <w:rFonts w:hint="eastAsia" w:ascii="SimHei" w:hAnsi="SimHei" w:eastAsia="黑体" w:cs="汉仪中圆简"/>
          <w:color w:val="0D0D0D" w:themeColor="text1" w:themeTint="F2"/>
          <w:kern w:val="2"/>
          <w14:textFill>
            <w14:solidFill>
              <w14:schemeClr w14:val="tx1">
                <w14:lumMod w14:val="95000"/>
                <w14:lumOff w14:val="5000"/>
              </w14:schemeClr>
            </w14:solidFill>
          </w14:textFill>
        </w:rPr>
        <w:t>（提示：可建立系统的合理化建议制度）</w:t>
      </w:r>
    </w:p>
    <w:p>
      <w:pPr>
        <w:pStyle w:val="3"/>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bookmarkStart w:id="60" w:name="_Toc324103539"/>
      <w:r>
        <w:rPr>
          <w:rFonts w:hint="eastAsia" w:ascii="SimHei" w:hAnsi="SimHei" w:eastAsia="黑体" w:cs="汉仪中圆简"/>
          <w:color w:val="0D0D0D" w:themeColor="text1" w:themeTint="F2"/>
          <w14:textFill>
            <w14:solidFill>
              <w14:schemeClr w14:val="tx1">
                <w14:lumMod w14:val="95000"/>
                <w14:lumOff w14:val="5000"/>
              </w14:schemeClr>
            </w14:solidFill>
          </w14:textFill>
        </w:rPr>
        <w:t>8.3 信息沟通</w:t>
      </w:r>
      <w:bookmarkEnd w:id="60"/>
    </w:p>
    <w:p>
      <w:pPr>
        <w:spacing w:line="500" w:lineRule="exact"/>
        <w:ind w:firstLine="600" w:firstLineChars="2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为达到充分沟通的目的，公司定期和不定期地采用公司内部网、公告板、会议等渠道向员工通报公司近期的经营管理信息，所有这些信息不仅有助于员工对公司的进一步了解，同时对这些信息的分析与判断也是帮助员工个人成长非常好的手段。</w:t>
      </w:r>
    </w:p>
    <w:p>
      <w:pPr>
        <w:pStyle w:val="3"/>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bookmarkStart w:id="61" w:name="_Toc324103540"/>
      <w:r>
        <w:rPr>
          <w:rFonts w:hint="eastAsia" w:ascii="SimHei" w:hAnsi="SimHei" w:eastAsia="黑体" w:cs="汉仪中圆简"/>
          <w:color w:val="0D0D0D" w:themeColor="text1" w:themeTint="F2"/>
          <w14:textFill>
            <w14:solidFill>
              <w14:schemeClr w14:val="tx1">
                <w14:lumMod w14:val="95000"/>
                <w14:lumOff w14:val="5000"/>
              </w14:schemeClr>
            </w14:solidFill>
          </w14:textFill>
        </w:rPr>
        <w:t>8.4 申诉程序</w:t>
      </w:r>
      <w:bookmarkEnd w:id="61"/>
    </w:p>
    <w:p>
      <w:pPr>
        <w:spacing w:line="500" w:lineRule="exact"/>
        <w:ind w:firstLine="600" w:firstLineChars="2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当员工认为个人利益受到不应有的侵犯，或对公司的经营管理措施有不同意见，或发现有违反公司各项规定的行为时，可按申诉程序选择适当的申诉渠道向公司申诉。申述方式可选用面谈和书面两种形式；如选用书面方式，申述书必须具名，否则有关申述有可能难以得到解决。</w:t>
      </w:r>
    </w:p>
    <w:p>
      <w:pPr>
        <w:spacing w:line="500" w:lineRule="exact"/>
        <w:ind w:firstLine="600" w:firstLineChars="2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原则上，员工的各层上级管理人员、人力资源部、工会（职工委员会）甚至公司总经理均是申诉对象。公司鼓励员工向直接上级反映情况；当员工认为不方便通过直接上级申诉时，可向人力资源部、工会（职工委员会）进行申诉。从解决问题的角度考虑，公司不提倡任何事情都直接向公司总经理申诉，但当员工坚持认为有必要直接向公司总经理申诉时，仍可以通过电子邮件、公司网页总经理信箱以及其它方式直接向公司总经理申诉。</w:t>
      </w:r>
    </w:p>
    <w:p>
      <w:pPr>
        <w:spacing w:line="500" w:lineRule="exact"/>
        <w:ind w:firstLine="600" w:firstLineChars="2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各级责任人或责任部门在接到员工申诉后将在申诉事件涉及的相关当事人中进行调查，并根据调查结果尽快做出处理决定。处理决定将通过书面或电子邮件的形式通报给申诉者、人力资源部，员工如果对处理决定不满意仍可以继续向更高一级负责人、人力资源部、工会（职工委员会）申诉。</w:t>
      </w:r>
    </w:p>
    <w:p>
      <w:pPr>
        <w:spacing w:line="500" w:lineRule="exact"/>
        <w:ind w:firstLine="600" w:firstLineChars="2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除以上机构外，由工会（职工委员会）与人力资源部、法律事务成员组成的公司劳动仲裁调解委员会，负责受理员工在劳动纠纷方面的申诉。</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pStyle w:val="2"/>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bookmarkStart w:id="62" w:name="_Toc324103541"/>
      <w:r>
        <w:rPr>
          <w:rFonts w:hint="eastAsia" w:ascii="SimHei" w:hAnsi="SimHei" w:eastAsia="黑体" w:cs="汉仪中圆简"/>
          <w:color w:val="0D0D0D" w:themeColor="text1" w:themeTint="F2"/>
          <w14:textFill>
            <w14:solidFill>
              <w14:schemeClr w14:val="tx1">
                <w14:lumMod w14:val="95000"/>
                <w14:lumOff w14:val="5000"/>
              </w14:schemeClr>
            </w14:solidFill>
          </w14:textFill>
        </w:rPr>
        <w:t>第九章 职工委员会</w:t>
      </w:r>
      <w:bookmarkEnd w:id="62"/>
    </w:p>
    <w:p>
      <w:pPr>
        <w:spacing w:line="500" w:lineRule="exact"/>
        <w:ind w:firstLine="515" w:firstLineChars="245"/>
        <w:rPr>
          <w:rFonts w:hint="eastAsia" w:ascii="汉仪中圆简" w:hAnsi="汉仪中圆简" w:eastAsia="汉仪中圆简" w:cs="汉仪中圆简"/>
          <w:b/>
          <w:color w:val="0D0D0D" w:themeColor="text1" w:themeTint="F2"/>
          <w:szCs w:val="21"/>
          <w14:textFill>
            <w14:solidFill>
              <w14:schemeClr w14:val="tx1">
                <w14:lumMod w14:val="95000"/>
                <w14:lumOff w14:val="5000"/>
              </w14:schemeClr>
            </w14:solidFill>
          </w14:textFill>
        </w:rPr>
      </w:pPr>
      <w:r>
        <w:rPr>
          <w:rFonts w:hint="eastAsia" w:ascii="SimHei" w:hAnsi="SimHei" w:eastAsia="黑体" w:cs="汉仪中圆简"/>
          <w:b/>
          <w:color w:val="0D0D0D" w:themeColor="text1" w:themeTint="F2"/>
          <w:szCs w:val="21"/>
          <w14:textFill>
            <w14:solidFill>
              <w14:schemeClr w14:val="tx1">
                <w14:lumMod w14:val="95000"/>
                <w14:lumOff w14:val="5000"/>
              </w14:schemeClr>
            </w14:solidFill>
          </w14:textFill>
        </w:rPr>
        <w:t>注：该机构根据企业实际情况而设立，类似于国有企业中的工会组织，某集团。以下内容仅供参考。</w:t>
      </w:r>
    </w:p>
    <w:p>
      <w:pPr>
        <w:spacing w:line="500" w:lineRule="exact"/>
        <w:ind w:firstLine="480" w:firstLineChars="2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职工委员会是代表全体职员的利益并为之服务的机构。职工委员会的委员分布在公司各部门和各分公司，由职员投票选举产生。</w:t>
      </w:r>
    </w:p>
    <w:p>
      <w:pPr>
        <w:spacing w:line="500" w:lineRule="exact"/>
        <w:ind w:firstLine="480" w:firstLineChars="2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职工委员会由主席一名，执行委员、委员若干名组成，均为兼职；设专员和秘书各一名，负责日常工作。专员办公室设在公司总部。</w:t>
      </w:r>
    </w:p>
    <w:p>
      <w:pPr>
        <w:spacing w:line="500" w:lineRule="exact"/>
        <w:ind w:firstLine="480" w:firstLineChars="2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职工委员会的基本职能是：参与、沟通、监督。包括：</w:t>
      </w:r>
    </w:p>
    <w:p>
      <w:pPr>
        <w:spacing w:line="500" w:lineRule="exact"/>
        <w:ind w:firstLine="480" w:firstLineChars="2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（1）参与决定职员福利基金、住房公积金等的使用；</w:t>
      </w:r>
    </w:p>
    <w:p>
      <w:pPr>
        <w:spacing w:line="500" w:lineRule="exact"/>
        <w:ind w:firstLine="480" w:firstLineChars="2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（2）参与决定企业职员集体股以及职员集资成立的专项基金的运作和分配方案；</w:t>
      </w:r>
    </w:p>
    <w:p>
      <w:pPr>
        <w:spacing w:line="500" w:lineRule="exact"/>
        <w:ind w:firstLine="480" w:firstLineChars="2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（3）参与公司住房制度改革、职员文化建设及培训方案的制订；</w:t>
      </w:r>
    </w:p>
    <w:p>
      <w:pPr>
        <w:spacing w:line="500" w:lineRule="exact"/>
        <w:ind w:firstLine="480" w:firstLineChars="2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（4）参与职员薪金、奖金分配方案、劳动用工制度、职员持股计划及劳保福利待遇的制定并监督实施过程；</w:t>
      </w:r>
    </w:p>
    <w:p>
      <w:pPr>
        <w:spacing w:line="500" w:lineRule="exact"/>
        <w:ind w:firstLine="480" w:firstLineChars="2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（5）维护职员的合法权益、监督职员医疗保险、待业保险以及养老保险方案的实施；</w:t>
      </w:r>
    </w:p>
    <w:p>
      <w:pPr>
        <w:spacing w:line="500" w:lineRule="exact"/>
        <w:ind w:firstLine="480" w:firstLineChars="2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（6）充分反映职员意见，接受职员为维护自身利益而提出的投诉，并与管理层交涉；</w:t>
      </w:r>
    </w:p>
    <w:p>
      <w:pPr>
        <w:spacing w:line="500" w:lineRule="exact"/>
        <w:ind w:firstLine="480" w:firstLineChars="2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（7）对侵犯公司利益和职员合法权益的管理人员提出弹劾；</w:t>
      </w:r>
    </w:p>
    <w:p>
      <w:pPr>
        <w:spacing w:line="500" w:lineRule="exact"/>
        <w:ind w:firstLine="480" w:firstLineChars="2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某集团内部的文化、娱乐、体育活动。</w:t>
      </w:r>
    </w:p>
    <w:p>
      <w:pPr>
        <w:spacing w:line="500" w:lineRule="exact"/>
        <w:ind w:firstLine="480" w:firstLineChars="2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（9）管理员工自发成立的各类组织（包括公益组织）。</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 xml:space="preserve"> </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pStyle w:val="2"/>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bookmarkStart w:id="63" w:name="_Toc324103542"/>
      <w:r>
        <w:rPr>
          <w:rFonts w:hint="eastAsia" w:ascii="SimHei" w:hAnsi="SimHei" w:eastAsia="黑体" w:cs="汉仪中圆简"/>
          <w:color w:val="0D0D0D" w:themeColor="text1" w:themeTint="F2"/>
          <w14:textFill>
            <w14:solidFill>
              <w14:schemeClr w14:val="tx1">
                <w14:lumMod w14:val="95000"/>
                <w14:lumOff w14:val="5000"/>
              </w14:schemeClr>
            </w14:solidFill>
          </w14:textFill>
        </w:rPr>
        <w:t>第十章 其它</w:t>
      </w:r>
      <w:bookmarkEnd w:id="63"/>
    </w:p>
    <w:p>
      <w:pPr>
        <w:pStyle w:val="3"/>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bookmarkStart w:id="64" w:name="_Toc324103543"/>
      <w:r>
        <w:rPr>
          <w:rFonts w:hint="eastAsia" w:ascii="SimHei" w:hAnsi="SimHei" w:eastAsia="黑体" w:cs="汉仪中圆简"/>
          <w:color w:val="0D0D0D" w:themeColor="text1" w:themeTint="F2"/>
          <w14:textFill>
            <w14:solidFill>
              <w14:schemeClr w14:val="tx1">
                <w14:lumMod w14:val="95000"/>
                <w14:lumOff w14:val="5000"/>
              </w14:schemeClr>
            </w14:solidFill>
          </w14:textFill>
        </w:rPr>
        <w:t>10.1 职员劳动安全</w:t>
      </w:r>
      <w:bookmarkEnd w:id="64"/>
    </w:p>
    <w:p>
      <w:pPr>
        <w:spacing w:line="500" w:lineRule="exact"/>
        <w:rPr>
          <w:rFonts w:hint="eastAsia" w:ascii="汉仪中圆简" w:hAnsi="汉仪中圆简" w:eastAsia="汉仪中圆简" w:cs="汉仪中圆简"/>
          <w:b/>
          <w:color w:val="0D0D0D" w:themeColor="text1" w:themeTint="F2"/>
          <w:szCs w:val="21"/>
          <w14:textFill>
            <w14:solidFill>
              <w14:schemeClr w14:val="tx1">
                <w14:lumMod w14:val="95000"/>
                <w14:lumOff w14:val="5000"/>
              </w14:schemeClr>
            </w14:solidFill>
          </w14:textFill>
        </w:rPr>
      </w:pPr>
      <w:r>
        <w:rPr>
          <w:rFonts w:hint="eastAsia" w:ascii="SimHei" w:hAnsi="SimHei" w:eastAsia="黑体" w:cs="汉仪中圆简"/>
          <w:b/>
          <w:color w:val="0D0D0D" w:themeColor="text1" w:themeTint="F2"/>
          <w:szCs w:val="21"/>
          <w14:textFill>
            <w14:solidFill>
              <w14:schemeClr w14:val="tx1">
                <w14:lumMod w14:val="95000"/>
                <w14:lumOff w14:val="5000"/>
              </w14:schemeClr>
            </w14:solidFill>
          </w14:textFill>
        </w:rPr>
        <w:t>注：部分企业应该有配套的安全管理制度，例如生产安全、施工安全等。</w:t>
      </w:r>
    </w:p>
    <w:p>
      <w:pPr>
        <w:numPr>
          <w:ilvl w:val="2"/>
          <w:numId w:val="27"/>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公司遵守有关法律法规，为员工提供安全的工作环境。</w:t>
      </w:r>
    </w:p>
    <w:p>
      <w:pPr>
        <w:numPr>
          <w:ilvl w:val="2"/>
          <w:numId w:val="27"/>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员工工作期间应遵守劳动纪律，认真执行安全生产规章制度和操作规程，服从管理，正确佩戴和使用劳动防护用品，阻止他人违章作业。</w:t>
      </w:r>
    </w:p>
    <w:p>
      <w:pPr>
        <w:numPr>
          <w:ilvl w:val="2"/>
          <w:numId w:val="27"/>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员工需要学习必要的急救知识，接受必要的安全生产教育和培训，掌握本职工作所需的安全生产知识，提高安全生产技能，增强事故预防和应急处理能力，对安全生产工作提出合理化建议。</w:t>
      </w:r>
    </w:p>
    <w:p>
      <w:pPr>
        <w:numPr>
          <w:ilvl w:val="2"/>
          <w:numId w:val="27"/>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员工有权拒绝接受上司的违章指挥和强令冒险作业，但应及时向更上一级管理者反映。</w:t>
      </w:r>
    </w:p>
    <w:p>
      <w:pPr>
        <w:numPr>
          <w:ilvl w:val="2"/>
          <w:numId w:val="27"/>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如发现直接危及人身安全的紧急情况时，员工有权停止工作或者在采取可能的应急措施后撤离工作场所，但需在停止工作或安全撤离后立即向直接上司汇报。</w:t>
      </w:r>
    </w:p>
    <w:p>
      <w:pPr>
        <w:numPr>
          <w:ilvl w:val="2"/>
          <w:numId w:val="27"/>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公司不主张员工以牺牲个人健康为代价承担超出个人能力之外的工作。</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pStyle w:val="3"/>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bookmarkStart w:id="65" w:name="_Toc324103544"/>
      <w:r>
        <w:rPr>
          <w:rFonts w:hint="eastAsia" w:ascii="SimHei" w:hAnsi="SimHei" w:eastAsia="黑体" w:cs="汉仪中圆简"/>
          <w:color w:val="0D0D0D" w:themeColor="text1" w:themeTint="F2"/>
          <w14:textFill>
            <w14:solidFill>
              <w14:schemeClr w14:val="tx1">
                <w14:lumMod w14:val="95000"/>
                <w14:lumOff w14:val="5000"/>
              </w14:schemeClr>
            </w14:solidFill>
          </w14:textFill>
        </w:rPr>
        <w:t>10.2安全与防灾措施</w:t>
      </w:r>
      <w:bookmarkEnd w:id="65"/>
    </w:p>
    <w:p>
      <w:pPr>
        <w:spacing w:line="500" w:lineRule="exact"/>
        <w:ind w:firstLine="360" w:firstLineChars="15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公司根据当地实际情况及政府有关规定，参照制定应对台风、暴雨、地震、高温、暴风雪等安全措施。（详细内容略，可重点突出公司必须预防或者当地经常出现的天气灾害所需要的安全措施及规定）</w:t>
      </w:r>
    </w:p>
    <w:p>
      <w:pPr>
        <w:spacing w:line="500" w:lineRule="exact"/>
        <w:ind w:firstLine="465"/>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例如防火：</w:t>
      </w:r>
    </w:p>
    <w:p>
      <w:pPr>
        <w:numPr>
          <w:ilvl w:val="0"/>
          <w:numId w:val="28"/>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公司内严禁吸烟，严禁带入并存放易燃易爆物品。</w:t>
      </w:r>
    </w:p>
    <w:p>
      <w:pPr>
        <w:numPr>
          <w:ilvl w:val="0"/>
          <w:numId w:val="28"/>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公司内的电器和供配电设备，应由有关技术人员安装、维修，其他人员一律不得随意改动。电子设备接入电源板时不得超过电源板和供电线路额定负荷，电源板周围不得有易燃物品。</w:t>
      </w:r>
    </w:p>
    <w:p>
      <w:pPr>
        <w:spacing w:line="500" w:lineRule="exact"/>
        <w:ind w:left="525"/>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pStyle w:val="3"/>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bookmarkStart w:id="66" w:name="_Toc324103545"/>
      <w:r>
        <w:rPr>
          <w:rFonts w:hint="eastAsia" w:ascii="SimHei" w:hAnsi="SimHei" w:eastAsia="黑体" w:cs="汉仪中圆简"/>
          <w:color w:val="0D0D0D" w:themeColor="text1" w:themeTint="F2"/>
          <w14:textFill>
            <w14:solidFill>
              <w14:schemeClr w14:val="tx1">
                <w14:lumMod w14:val="95000"/>
                <w14:lumOff w14:val="5000"/>
              </w14:schemeClr>
            </w14:solidFill>
          </w14:textFill>
        </w:rPr>
        <w:t>10.3 保护知识产权政策</w:t>
      </w:r>
      <w:bookmarkEnd w:id="66"/>
      <w:r>
        <w:rPr>
          <w:rFonts w:hint="eastAsia" w:ascii="SimHei" w:hAnsi="SimHei" w:eastAsia="黑体" w:cs="汉仪中圆简"/>
          <w:color w:val="0D0D0D" w:themeColor="text1" w:themeTint="F2"/>
          <w14:textFill>
            <w14:solidFill>
              <w14:schemeClr w14:val="tx1">
                <w14:lumMod w14:val="95000"/>
                <w14:lumOff w14:val="5000"/>
              </w14:schemeClr>
            </w14:solidFill>
          </w14:textFill>
        </w:rPr>
        <w:t xml:space="preserve"> </w:t>
      </w:r>
    </w:p>
    <w:p>
      <w:pPr>
        <w:spacing w:line="500" w:lineRule="exact"/>
        <w:ind w:firstLine="480" w:firstLineChars="200"/>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 xml:space="preserve">职员必须遵守关于保护知识产权的各项政策及规定。 </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pStyle w:val="3"/>
        <w:numPr>
          <w:ilvl w:val="1"/>
          <w:numId w:val="29"/>
        </w:numPr>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14:textFill>
            <w14:solidFill>
              <w14:schemeClr w14:val="tx1">
                <w14:lumMod w14:val="95000"/>
                <w14:lumOff w14:val="5000"/>
              </w14:schemeClr>
            </w14:solidFill>
          </w14:textFill>
        </w:rPr>
        <w:t xml:space="preserve"> </w:t>
      </w:r>
      <w:bookmarkStart w:id="67" w:name="_Toc324103546"/>
      <w:r>
        <w:rPr>
          <w:rFonts w:hint="eastAsia" w:ascii="SimHei" w:hAnsi="SimHei" w:eastAsia="黑体" w:cs="汉仪中圆简"/>
          <w:color w:val="0D0D0D" w:themeColor="text1" w:themeTint="F2"/>
          <w14:textFill>
            <w14:solidFill>
              <w14:schemeClr w14:val="tx1">
                <w14:lumMod w14:val="95000"/>
                <w14:lumOff w14:val="5000"/>
              </w14:schemeClr>
            </w14:solidFill>
          </w14:textFill>
        </w:rPr>
        <w:t>权利保障</w:t>
      </w:r>
      <w:bookmarkEnd w:id="67"/>
    </w:p>
    <w:p>
      <w:pPr>
        <w:numPr>
          <w:ilvl w:val="2"/>
          <w:numId w:val="29"/>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员工享有法律规定和公司制度赋予的权利，公司对这些权利予以尊重和保障。</w:t>
      </w:r>
    </w:p>
    <w:p>
      <w:pPr>
        <w:numPr>
          <w:ilvl w:val="2"/>
          <w:numId w:val="29"/>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对于明显违反《员工手册》的指令，职员有权拒绝执行并有越级上报的责任和权力。</w:t>
      </w:r>
    </w:p>
    <w:p>
      <w:pPr>
        <w:numPr>
          <w:ilvl w:val="2"/>
          <w:numId w:val="29"/>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对违反人事管理制度，使职员自身利益受到侵犯的行为，职员有权向公司职工委员会提出申诉以得到公正待遇。</w:t>
      </w:r>
    </w:p>
    <w:p>
      <w:p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p>
    <w:p>
      <w:pPr>
        <w:pStyle w:val="3"/>
        <w:numPr>
          <w:ilvl w:val="1"/>
          <w:numId w:val="29"/>
        </w:numPr>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bookmarkStart w:id="68" w:name="_Toc324103547"/>
      <w:r>
        <w:rPr>
          <w:rFonts w:hint="eastAsia" w:ascii="SimHei" w:hAnsi="SimHei" w:eastAsia="黑体" w:cs="汉仪中圆简"/>
          <w:color w:val="0D0D0D" w:themeColor="text1" w:themeTint="F2"/>
          <w14:textFill>
            <w14:solidFill>
              <w14:schemeClr w14:val="tx1">
                <w14:lumMod w14:val="95000"/>
                <w14:lumOff w14:val="5000"/>
              </w14:schemeClr>
            </w14:solidFill>
          </w14:textFill>
        </w:rPr>
        <w:t>批准、修改与解释</w:t>
      </w:r>
      <w:bookmarkEnd w:id="68"/>
    </w:p>
    <w:p>
      <w:pPr>
        <w:numPr>
          <w:ilvl w:val="2"/>
          <w:numId w:val="29"/>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本手册内容经职工委员会（工会）讨论通过，并经公司高层办公会议批准实施。</w:t>
      </w:r>
    </w:p>
    <w:p>
      <w:pPr>
        <w:numPr>
          <w:ilvl w:val="2"/>
          <w:numId w:val="29"/>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本手册同时以文本版和电子网络版形式与职员见面，两者具有同等效力。职员可通过个人专用或公司公用电脑查阅公司网页上的《员工手册》相关内容。</w:t>
      </w:r>
    </w:p>
    <w:p>
      <w:pPr>
        <w:numPr>
          <w:ilvl w:val="2"/>
          <w:numId w:val="29"/>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本手册视实施情况，经职工委员会（工会）及公司高层办公会议批准后，可以修改。</w:t>
      </w:r>
    </w:p>
    <w:p>
      <w:pPr>
        <w:numPr>
          <w:ilvl w:val="2"/>
          <w:numId w:val="29"/>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本手册未提及事宜，按公司及当地政府有关政策或者相关法律规定执行。</w:t>
      </w:r>
    </w:p>
    <w:p>
      <w:pPr>
        <w:numPr>
          <w:ilvl w:val="2"/>
          <w:numId w:val="29"/>
        </w:numPr>
        <w:spacing w:line="500" w:lineRule="exact"/>
        <w:rPr>
          <w:rFonts w:hint="eastAsia" w:ascii="汉仪中圆简" w:hAnsi="汉仪中圆简" w:eastAsia="汉仪中圆简" w:cs="汉仪中圆简"/>
          <w:color w:val="0D0D0D" w:themeColor="text1" w:themeTint="F2"/>
          <w:sz w:val="24"/>
          <w14:textFill>
            <w14:solidFill>
              <w14:schemeClr w14:val="tx1">
                <w14:lumMod w14:val="95000"/>
                <w14:lumOff w14:val="5000"/>
              </w14:schemeClr>
            </w14:solidFill>
          </w14:textFill>
        </w:rPr>
        <w:sectPr>
          <w:footerReference r:id="rId5" w:type="first"/>
          <w:headerReference r:id="rId3" w:type="default"/>
          <w:footerReference r:id="rId4" w:type="default"/>
          <w:pgSz w:w="11906" w:h="16838"/>
          <w:pgMar w:top="1440" w:right="1701" w:bottom="1021" w:left="1701" w:header="567" w:footer="992" w:gutter="0"/>
          <w:pgNumType w:fmt="decimal"/>
          <w:cols w:space="720" w:num="1"/>
          <w:titlePg/>
          <w:docGrid w:type="lines" w:linePitch="312" w:charSpace="0"/>
        </w:sectPr>
      </w:pPr>
      <w:r>
        <w:rPr>
          <w:rFonts w:hint="eastAsia" w:ascii="SimHei" w:hAnsi="SimHei" w:eastAsia="黑体" w:cs="汉仪中圆简"/>
          <w:color w:val="0D0D0D" w:themeColor="text1" w:themeTint="F2"/>
          <w:sz w:val="24"/>
          <w14:textFill>
            <w14:solidFill>
              <w14:schemeClr w14:val="tx1">
                <w14:lumMod w14:val="95000"/>
                <w14:lumOff w14:val="5000"/>
              </w14:schemeClr>
            </w14:solidFill>
          </w14:textFill>
        </w:rPr>
        <w:t>本手册的解释权归公司人力资源部，如有不明事项，请向人力资源部咨询。</w:t>
      </w:r>
    </w:p>
    <w:p>
      <w:pPr>
        <w:rPr>
          <w:rFonts w:hint="eastAsia" w:ascii="汉仪中圆简" w:hAnsi="汉仪中圆简" w:eastAsia="汉仪中圆简" w:cs="汉仪中圆简"/>
          <w:color w:val="0D0D0D" w:themeColor="text1" w:themeTint="F2"/>
          <w14:textFill>
            <w14:solidFill>
              <w14:schemeClr w14:val="tx1">
                <w14:lumMod w14:val="95000"/>
                <w14:lumOff w14:val="5000"/>
              </w14:schemeClr>
            </w14:solidFill>
          </w14:textFill>
        </w:rPr>
      </w:pPr>
      <w:r>
        <w:rPr>
          <w:rFonts w:ascii="SimHei" w:hAnsi="SimHei" w:eastAsia="黑体"/>
          <w:sz w:val="21"/>
        </w:rPr>
      </w:r>
    </w:p>
    <w:sectPr>
      <w:headerReference r:id="rId6" w:type="first"/>
      <w:pgSz w:w="11906" w:h="16838"/>
      <w:pgMar w:top="1440" w:right="1701" w:bottom="1021" w:left="1701" w:header="567"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552FA275-911D-4BF3-A2A6-D946F4254BBB}"/>
  </w:font>
  <w:font w:name="Arial">
    <w:panose1 w:val="020B0604020202020204"/>
    <w:charset w:val="01"/>
    <w:family w:val="swiss"/>
    <w:pitch w:val="default"/>
    <w:sig w:usb0="E0002EFF" w:usb1="C000785B" w:usb2="00000009" w:usb3="00000000" w:csb0="400001FF" w:csb1="FFFF0000"/>
    <w:embedRegular r:id="rId2" w:fontKey="{0F9D9598-1AF4-4D30-B4AA-23AE9EE20870}"/>
  </w:font>
  <w:font w:name="黑体">
    <w:panose1 w:val="02010609060101010101"/>
    <w:charset w:val="86"/>
    <w:family w:val="auto"/>
    <w:pitch w:val="default"/>
    <w:sig w:usb0="800002BF" w:usb1="38CF7CFA" w:usb2="00000016" w:usb3="00000000" w:csb0="00040001" w:csb1="00000000"/>
    <w:embedRegular r:id="rId3" w:fontKey="{F883082A-18E9-4E51-BFFC-F41952C660DD}"/>
  </w:font>
  <w:font w:name="Courier New">
    <w:panose1 w:val="02070309020205020404"/>
    <w:charset w:val="01"/>
    <w:family w:val="modern"/>
    <w:pitch w:val="default"/>
    <w:sig w:usb0="E0002EFF" w:usb1="C0007843" w:usb2="00000009" w:usb3="00000000" w:csb0="400001FF" w:csb1="FFFF0000"/>
    <w:embedRegular r:id="rId4" w:fontKey="{8B480782-DCBA-49BC-8995-F86DFA752FF3}"/>
  </w:font>
  <w:font w:name="Symbol">
    <w:panose1 w:val="05050102010706020507"/>
    <w:charset w:val="02"/>
    <w:family w:val="roman"/>
    <w:pitch w:val="default"/>
    <w:sig w:usb0="00000000" w:usb1="00000000" w:usb2="00000000" w:usb3="00000000" w:csb0="80000000" w:csb1="00000000"/>
    <w:embedRegular r:id="rId5" w:fontKey="{34A81DA1-53F5-4E3B-9E66-445046D3149F}"/>
  </w:font>
  <w:font w:name="Calibri">
    <w:panose1 w:val="020F0502020204030204"/>
    <w:charset w:val="00"/>
    <w:family w:val="swiss"/>
    <w:pitch w:val="default"/>
    <w:sig w:usb0="E4002EFF" w:usb1="C000247B" w:usb2="00000009" w:usb3="00000000" w:csb0="200001FF" w:csb1="00000000"/>
    <w:embedRegular r:id="rId6" w:fontKey="{5BF5C99C-A103-48C1-931A-BC29C4FF38F6}"/>
  </w:font>
  <w:font w:name="Cambria">
    <w:panose1 w:val="02040503050406030204"/>
    <w:charset w:val="00"/>
    <w:family w:val="roman"/>
    <w:pitch w:val="default"/>
    <w:sig w:usb0="E00006FF" w:usb1="420024FF" w:usb2="02000000" w:usb3="00000000" w:csb0="2000019F" w:csb1="00000000"/>
    <w:embedRegular r:id="rId7" w:fontKey="{126FF1EE-F30D-4275-90F4-BF4C5304A2B3}"/>
  </w:font>
  <w:font w:name="微软雅黑">
    <w:panose1 w:val="020B0503020204020204"/>
    <w:charset w:val="86"/>
    <w:family w:val="swiss"/>
    <w:pitch w:val="default"/>
    <w:sig w:usb0="80000287" w:usb1="2ACF3C50" w:usb2="00000016" w:usb3="00000000" w:csb0="0004001F" w:csb1="00000000"/>
    <w:embedRegular r:id="rId8" w:fontKey="{2E98B476-A443-498E-89C7-2354A53E4595}"/>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汉仪中圆简">
    <w:panose1 w:val="02010609000101010101"/>
    <w:charset w:val="86"/>
    <w:family w:val="auto"/>
    <w:pitch w:val="default"/>
    <w:sig w:usb0="00000001" w:usb1="080E0800" w:usb2="00000002" w:usb3="00000000" w:csb0="00040000" w:csb1="00000000"/>
    <w:embedRegular r:id="rId9" w:fontKey="{3FB4E658-58BE-4740-89B2-0B186C0F0B10}"/>
  </w:font>
  <w:font w:name="汉仪君黑-55W">
    <w:panose1 w:val="00020600040101010101"/>
    <w:charset w:val="86"/>
    <w:family w:val="auto"/>
    <w:pitch w:val="default"/>
    <w:sig w:usb0="A00002BF" w:usb1="0ACF7CFA" w:usb2="00000016" w:usb3="00000000" w:csb0="0004009F" w:csb1="00000000"/>
  </w:font>
  <w:font w:name="新宋体">
    <w:panose1 w:val="02010609030101010101"/>
    <w:charset w:val="86"/>
    <w:family w:val="auto"/>
    <w:pitch w:val="default"/>
    <w:sig w:usb0="00000203" w:usb1="288F0000" w:usb2="00000006" w:usb3="00000000" w:csb0="00040001" w:csb1="00000000"/>
  </w:font>
  <w:font w:name="汉仪正圆-95W">
    <w:panose1 w:val="00020600040101010101"/>
    <w:charset w:val="86"/>
    <w:family w:val="auto"/>
    <w:pitch w:val="default"/>
    <w:sig w:usb0="A00002BF" w:usb1="0ACF7CFA" w:usb2="00000016" w:usb3="00000000" w:csb0="0004009F" w:csb1="00000000"/>
  </w:font>
  <w:font w:name="汉仪大黑简">
    <w:panose1 w:val="02010609000101010101"/>
    <w:charset w:val="86"/>
    <w:family w:val="auto"/>
    <w:pitch w:val="default"/>
    <w:sig w:usb0="00000001" w:usb1="080E0800" w:usb2="00000002" w:usb3="00000000" w:csb0="00040000" w:csb1="00000000"/>
  </w:font>
  <w:font w:name="汉仪雅酷黑 65W">
    <w:panose1 w:val="020B0604020202020204"/>
    <w:charset w:val="86"/>
    <w:family w:val="auto"/>
    <w:pitch w:val="default"/>
    <w:sig w:usb0="A00002FF" w:usb1="28C17CFA" w:usb2="00000016" w:usb3="00000000" w:csb0="2004000F" w:csb1="00000000"/>
  </w:font>
  <w:font w:name="Wingdings">
    <w:panose1 w:val="05000000000000000000"/>
    <w:charset w:val="00"/>
    <w:family w:val="auto"/>
    <w:pitch w:val="default"/>
    <w:sig w:usb0="00000000" w:usb1="00000000" w:usb2="00000000" w:usb3="00000000" w:csb0="80000000" w:csb1="00000000"/>
    <w:embedRegular r:id="rId10" w:fontKey="{C39C9095-D999-427D-BBEF-585658F8BD4A}"/>
  </w:font>
  <w:font w:name="Calibri Light">
    <w:panose1 w:val="020F0302020204030204"/>
    <w:charset w:val="00"/>
    <w:family w:val="auto"/>
    <w:pitch w:val="default"/>
    <w:sig w:usb0="E4002EFF" w:usb1="C000247B" w:usb2="00000009" w:usb3="00000000" w:csb0="200001FF" w:csb1="00000000"/>
    <w:embedRegular r:id="rId11" w:fontKey="{3BB825BD-7B0C-41DF-8CCB-0CC564F69A66}"/>
  </w:font>
  <w:font w:name="华文细黑">
    <w:panose1 w:val="02010600040101010101"/>
    <w:charset w:val="86"/>
    <w:family w:val="auto"/>
    <w:pitch w:val="default"/>
    <w:sig w:usb0="00000287" w:usb1="080F0000" w:usb2="00000000" w:usb3="00000000" w:csb0="0004009F" w:csb1="DFD70000"/>
  </w:font>
  <w:font w:name="汉仪中宋简">
    <w:panose1 w:val="02010609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both"/>
      <w:rPr>
        <w:rFonts w:hint="eastAsia"/>
        <w:color w:val="333333"/>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J0wnyN0CAAAkBgAADgAAAAAAAAABACAAAAAfAQAAZHJzL2Uyb0RvYy54bWxQSwUG&#10;AAAAAAYABgBZAQAAbgY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CvwKVW3AIAACQGAAAOAAAAAAAAAAEAIAAAAB8BAABkcnMvZTJvRG9jLnhtbFBLBQYA&#10;AAAABgAGAFkBAABtBg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rFonts w:hint="eastAsia" w:ascii="黑体" w:hAnsi="黑体" w:eastAsia="黑体" w:cs="宋体"/>
        <w:bCs/>
        <w:kern w:val="0"/>
        <w:sz w:val="36"/>
        <w:szCs w:val="3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FBF137"/>
    <w:multiLevelType w:val="singleLevel"/>
    <w:tmpl w:val="EDFBF137"/>
    <w:lvl w:ilvl="0" w:tentative="0">
      <w:start w:val="3"/>
      <w:numFmt w:val="decimal"/>
      <w:suff w:val="nothing"/>
      <w:lvlText w:val="%1、"/>
      <w:lvlJc w:val="left"/>
    </w:lvl>
  </w:abstractNum>
  <w:abstractNum w:abstractNumId="1">
    <w:nsid w:val="FAC7EE2C"/>
    <w:multiLevelType w:val="multilevel"/>
    <w:tmpl w:val="FAC7EE2C"/>
    <w:lvl w:ilvl="0" w:tentative="0">
      <w:start w:val="4"/>
      <w:numFmt w:val="decimal"/>
      <w:lvlText w:val="%1"/>
      <w:lvlJc w:val="left"/>
      <w:pPr>
        <w:ind w:left="585" w:hanging="585"/>
      </w:pPr>
      <w:rPr>
        <w:rFonts w:hint="default"/>
      </w:rPr>
    </w:lvl>
    <w:lvl w:ilvl="1" w:tentative="0">
      <w:start w:val="11"/>
      <w:numFmt w:val="decimal"/>
      <w:lvlText w:val="%1.%2"/>
      <w:lvlJc w:val="left"/>
      <w:pPr>
        <w:ind w:left="585" w:hanging="585"/>
      </w:pPr>
      <w:rPr>
        <w:rFonts w:hint="default"/>
      </w:rPr>
    </w:lvl>
    <w:lvl w:ilvl="2" w:tentative="0">
      <w:start w:val="1"/>
      <w:numFmt w:val="decimal"/>
      <w:lvlText w:val="%1.%2.%3"/>
      <w:lvlJc w:val="left"/>
      <w:pPr>
        <w:ind w:left="720" w:hanging="720"/>
      </w:pPr>
      <w:rPr>
        <w:rFonts w:hint="default" w:ascii="汉仪中圆简" w:hAnsi="汉仪中圆简" w:eastAsia="汉仪中圆简" w:cs="汉仪中圆简"/>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2">
    <w:nsid w:val="0B126189"/>
    <w:multiLevelType w:val="multilevel"/>
    <w:tmpl w:val="0B126189"/>
    <w:lvl w:ilvl="0" w:tentative="0">
      <w:start w:val="6"/>
      <w:numFmt w:val="decimal"/>
      <w:lvlText w:val="%1"/>
      <w:lvlJc w:val="left"/>
      <w:pPr>
        <w:ind w:left="480" w:hanging="480"/>
      </w:pPr>
      <w:rPr>
        <w:rFonts w:hint="default"/>
      </w:rPr>
    </w:lvl>
    <w:lvl w:ilvl="1" w:tentative="0">
      <w:start w:val="3"/>
      <w:numFmt w:val="decimal"/>
      <w:lvlText w:val="%1.%2"/>
      <w:lvlJc w:val="left"/>
      <w:pPr>
        <w:ind w:left="480" w:hanging="480"/>
      </w:pPr>
      <w:rPr>
        <w:rFonts w:hint="default"/>
      </w:rPr>
    </w:lvl>
    <w:lvl w:ilvl="2" w:tentative="0">
      <w:start w:val="1"/>
      <w:numFmt w:val="decimal"/>
      <w:lvlText w:val="%1.%2.%3"/>
      <w:lvlJc w:val="left"/>
      <w:pPr>
        <w:ind w:left="720" w:hanging="720"/>
      </w:pPr>
      <w:rPr>
        <w:rFonts w:hint="default" w:ascii="汉仪中圆简" w:hAnsi="汉仪中圆简" w:eastAsia="汉仪中圆简" w:cs="汉仪中圆简"/>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3">
    <w:nsid w:val="0F237149"/>
    <w:multiLevelType w:val="multilevel"/>
    <w:tmpl w:val="0F237149"/>
    <w:lvl w:ilvl="0" w:tentative="0">
      <w:start w:val="4"/>
      <w:numFmt w:val="decimal"/>
      <w:lvlText w:val="%1"/>
      <w:lvlJc w:val="left"/>
      <w:pPr>
        <w:ind w:left="600" w:hanging="600"/>
      </w:pPr>
      <w:rPr>
        <w:rFonts w:hint="default"/>
      </w:rPr>
    </w:lvl>
    <w:lvl w:ilvl="1" w:tentative="0">
      <w:start w:val="12"/>
      <w:numFmt w:val="decimal"/>
      <w:lvlText w:val="%1.%2"/>
      <w:lvlJc w:val="left"/>
      <w:pPr>
        <w:ind w:left="600" w:hanging="600"/>
      </w:pPr>
      <w:rPr>
        <w:rFonts w:hint="default"/>
      </w:rPr>
    </w:lvl>
    <w:lvl w:ilvl="2" w:tentative="0">
      <w:start w:val="2"/>
      <w:numFmt w:val="decimal"/>
      <w:lvlText w:val="%1.%2.%3"/>
      <w:lvlJc w:val="left"/>
      <w:pPr>
        <w:ind w:left="720" w:hanging="720"/>
      </w:pPr>
      <w:rPr>
        <w:rFonts w:hint="default" w:ascii="汉仪中圆简" w:hAnsi="汉仪中圆简" w:eastAsia="汉仪中圆简" w:cs="汉仪中圆简"/>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4">
    <w:nsid w:val="1EFA1823"/>
    <w:multiLevelType w:val="multilevel"/>
    <w:tmpl w:val="1EFA1823"/>
    <w:lvl w:ilvl="0" w:tentative="0">
      <w:start w:val="5"/>
      <w:numFmt w:val="decimal"/>
      <w:lvlText w:val="%1"/>
      <w:lvlJc w:val="left"/>
      <w:pPr>
        <w:ind w:left="450" w:hanging="450"/>
      </w:pPr>
      <w:rPr>
        <w:rFonts w:hint="default"/>
      </w:rPr>
    </w:lvl>
    <w:lvl w:ilvl="1" w:tentative="0">
      <w:start w:val="2"/>
      <w:numFmt w:val="decimal"/>
      <w:lvlText w:val="%1.%2"/>
      <w:lvlJc w:val="left"/>
      <w:pPr>
        <w:ind w:left="450" w:hanging="450"/>
      </w:pPr>
      <w:rPr>
        <w:rFonts w:hint="default" w:ascii="汉仪中圆简" w:hAnsi="汉仪中圆简" w:eastAsia="汉仪中圆简" w:cs="汉仪中圆简"/>
      </w:rPr>
    </w:lvl>
    <w:lvl w:ilvl="2" w:tentative="0">
      <w:start w:val="1"/>
      <w:numFmt w:val="decimal"/>
      <w:lvlText w:val="%1.%2.%3"/>
      <w:lvlJc w:val="left"/>
      <w:pPr>
        <w:ind w:left="720" w:hanging="720"/>
      </w:pPr>
      <w:rPr>
        <w:rFonts w:hint="default" w:ascii="汉仪中圆简" w:hAnsi="汉仪中圆简" w:eastAsia="汉仪中圆简" w:cs="汉仪中圆简"/>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5">
    <w:nsid w:val="1F3A2865"/>
    <w:multiLevelType w:val="multilevel"/>
    <w:tmpl w:val="1F3A2865"/>
    <w:lvl w:ilvl="0" w:tentative="0">
      <w:start w:val="1"/>
      <w:numFmt w:val="lowerLetter"/>
      <w:lvlText w:val="%1)"/>
      <w:lvlJc w:val="left"/>
      <w:pPr>
        <w:ind w:left="420" w:hanging="420"/>
      </w:pPr>
      <w:rPr>
        <w:rFonts w:hint="default" w:ascii="汉仪中圆简" w:hAnsi="汉仪中圆简" w:eastAsia="汉仪中圆简" w:cs="汉仪中圆简"/>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8172B5F"/>
    <w:multiLevelType w:val="multilevel"/>
    <w:tmpl w:val="28172B5F"/>
    <w:lvl w:ilvl="0" w:tentative="0">
      <w:start w:val="10"/>
      <w:numFmt w:val="decimal"/>
      <w:lvlText w:val="%1"/>
      <w:lvlJc w:val="left"/>
      <w:pPr>
        <w:ind w:left="600" w:hanging="600"/>
      </w:pPr>
      <w:rPr>
        <w:rFonts w:hint="default"/>
      </w:rPr>
    </w:lvl>
    <w:lvl w:ilvl="1" w:tentative="0">
      <w:start w:val="1"/>
      <w:numFmt w:val="decimal"/>
      <w:lvlText w:val="%1.%2"/>
      <w:lvlJc w:val="left"/>
      <w:pPr>
        <w:ind w:left="600" w:hanging="600"/>
      </w:pPr>
      <w:rPr>
        <w:rFonts w:hint="default"/>
      </w:rPr>
    </w:lvl>
    <w:lvl w:ilvl="2" w:tentative="0">
      <w:start w:val="1"/>
      <w:numFmt w:val="decimal"/>
      <w:lvlText w:val="%1.%2.%3"/>
      <w:lvlJc w:val="left"/>
      <w:pPr>
        <w:ind w:left="720" w:hanging="720"/>
      </w:pPr>
      <w:rPr>
        <w:rFonts w:hint="default" w:ascii="汉仪中圆简" w:hAnsi="汉仪中圆简" w:eastAsia="汉仪中圆简" w:cs="汉仪中圆简"/>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7">
    <w:nsid w:val="29FB4B1B"/>
    <w:multiLevelType w:val="multilevel"/>
    <w:tmpl w:val="29FB4B1B"/>
    <w:lvl w:ilvl="0" w:tentative="0">
      <w:start w:val="7"/>
      <w:numFmt w:val="decimal"/>
      <w:lvlText w:val="%1"/>
      <w:lvlJc w:val="left"/>
      <w:pPr>
        <w:ind w:left="480" w:hanging="480"/>
      </w:pPr>
      <w:rPr>
        <w:rFonts w:hint="default"/>
      </w:rPr>
    </w:lvl>
    <w:lvl w:ilvl="1" w:tentative="0">
      <w:start w:val="3"/>
      <w:numFmt w:val="decimal"/>
      <w:lvlText w:val="%1.%2"/>
      <w:lvlJc w:val="left"/>
      <w:pPr>
        <w:ind w:left="480" w:hanging="480"/>
      </w:pPr>
      <w:rPr>
        <w:rFonts w:hint="default"/>
      </w:rPr>
    </w:lvl>
    <w:lvl w:ilvl="2" w:tentative="0">
      <w:start w:val="1"/>
      <w:numFmt w:val="decimal"/>
      <w:lvlText w:val="%1.%2.%3"/>
      <w:lvlJc w:val="left"/>
      <w:pPr>
        <w:ind w:left="720" w:hanging="720"/>
      </w:pPr>
      <w:rPr>
        <w:rFonts w:hint="default" w:ascii="汉仪中圆简" w:hAnsi="汉仪中圆简" w:eastAsia="汉仪中圆简" w:cs="汉仪中圆简"/>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8">
    <w:nsid w:val="2BBA2ED9"/>
    <w:multiLevelType w:val="multilevel"/>
    <w:tmpl w:val="2BBA2ED9"/>
    <w:lvl w:ilvl="0" w:tentative="0">
      <w:start w:val="3"/>
      <w:numFmt w:val="decimal"/>
      <w:lvlText w:val="%1"/>
      <w:lvlJc w:val="left"/>
      <w:pPr>
        <w:ind w:left="480" w:hanging="480"/>
      </w:pPr>
      <w:rPr>
        <w:rFonts w:hint="default"/>
      </w:rPr>
    </w:lvl>
    <w:lvl w:ilvl="1" w:tentative="0">
      <w:start w:val="1"/>
      <w:numFmt w:val="decimal"/>
      <w:lvlText w:val="%1.%2"/>
      <w:lvlJc w:val="left"/>
      <w:pPr>
        <w:ind w:left="480" w:hanging="48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9">
    <w:nsid w:val="35BD4341"/>
    <w:multiLevelType w:val="multilevel"/>
    <w:tmpl w:val="35BD4341"/>
    <w:lvl w:ilvl="0" w:tentative="0">
      <w:start w:val="4"/>
      <w:numFmt w:val="decimal"/>
      <w:lvlText w:val="%1"/>
      <w:lvlJc w:val="left"/>
      <w:pPr>
        <w:ind w:left="450" w:hanging="450"/>
      </w:pPr>
      <w:rPr>
        <w:rFonts w:hint="default"/>
      </w:rPr>
    </w:lvl>
    <w:lvl w:ilvl="1" w:tentative="0">
      <w:start w:val="8"/>
      <w:numFmt w:val="decimal"/>
      <w:lvlText w:val="%1.%2"/>
      <w:lvlJc w:val="left"/>
      <w:pPr>
        <w:ind w:left="720" w:hanging="720"/>
      </w:pPr>
      <w:rPr>
        <w:rFonts w:hint="default" w:ascii="汉仪中圆简" w:hAnsi="汉仪中圆简" w:eastAsia="汉仪中圆简" w:cs="汉仪中圆简"/>
      </w:rPr>
    </w:lvl>
    <w:lvl w:ilvl="2" w:tentative="0">
      <w:start w:val="1"/>
      <w:numFmt w:val="decimal"/>
      <w:lvlText w:val="%1.%2.%3"/>
      <w:lvlJc w:val="left"/>
      <w:pPr>
        <w:ind w:left="720" w:hanging="720"/>
      </w:pPr>
      <w:rPr>
        <w:rFonts w:hint="default" w:ascii="汉仪中圆简" w:hAnsi="汉仪中圆简" w:eastAsia="汉仪中圆简" w:cs="汉仪中圆简"/>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440" w:hanging="1440"/>
      </w:pPr>
      <w:rPr>
        <w:rFonts w:hint="default"/>
      </w:rPr>
    </w:lvl>
    <w:lvl w:ilvl="5" w:tentative="0">
      <w:start w:val="1"/>
      <w:numFmt w:val="decimal"/>
      <w:lvlText w:val="%1.%2.%3.%4.%5.%6"/>
      <w:lvlJc w:val="left"/>
      <w:pPr>
        <w:ind w:left="1800" w:hanging="180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2160" w:hanging="2160"/>
      </w:pPr>
      <w:rPr>
        <w:rFonts w:hint="default"/>
      </w:rPr>
    </w:lvl>
    <w:lvl w:ilvl="8" w:tentative="0">
      <w:start w:val="1"/>
      <w:numFmt w:val="decimal"/>
      <w:lvlText w:val="%1.%2.%3.%4.%5.%6.%7.%8.%9"/>
      <w:lvlJc w:val="left"/>
      <w:pPr>
        <w:ind w:left="2520" w:hanging="2520"/>
      </w:pPr>
      <w:rPr>
        <w:rFonts w:hint="default"/>
      </w:rPr>
    </w:lvl>
  </w:abstractNum>
  <w:abstractNum w:abstractNumId="10">
    <w:nsid w:val="36F91DC4"/>
    <w:multiLevelType w:val="multilevel"/>
    <w:tmpl w:val="36F91DC4"/>
    <w:lvl w:ilvl="0" w:tentative="0">
      <w:start w:val="4"/>
      <w:numFmt w:val="decimal"/>
      <w:lvlText w:val="%1"/>
      <w:lvlJc w:val="left"/>
      <w:pPr>
        <w:ind w:left="450" w:hanging="450"/>
      </w:pPr>
      <w:rPr>
        <w:rFonts w:hint="default"/>
      </w:rPr>
    </w:lvl>
    <w:lvl w:ilvl="1" w:tentative="0">
      <w:start w:val="1"/>
      <w:numFmt w:val="decimal"/>
      <w:lvlText w:val="%1.%2"/>
      <w:lvlJc w:val="left"/>
      <w:pPr>
        <w:ind w:left="450" w:hanging="450"/>
      </w:pPr>
      <w:rPr>
        <w:rFonts w:hint="default" w:ascii="汉仪中圆简" w:hAnsi="汉仪中圆简" w:eastAsia="汉仪中圆简" w:cs="汉仪中圆简"/>
      </w:rPr>
    </w:lvl>
    <w:lvl w:ilvl="2" w:tentative="0">
      <w:start w:val="1"/>
      <w:numFmt w:val="decimal"/>
      <w:lvlText w:val="%1.%2.%3"/>
      <w:lvlJc w:val="left"/>
      <w:pPr>
        <w:ind w:left="720" w:hanging="720"/>
      </w:pPr>
      <w:rPr>
        <w:rFonts w:hint="default" w:ascii="汉仪中圆简" w:hAnsi="汉仪中圆简" w:eastAsia="汉仪中圆简" w:cs="汉仪中圆简"/>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11">
    <w:nsid w:val="42950F98"/>
    <w:multiLevelType w:val="multilevel"/>
    <w:tmpl w:val="42950F98"/>
    <w:lvl w:ilvl="0" w:tentative="0">
      <w:start w:val="1"/>
      <w:numFmt w:val="decimal"/>
      <w:lvlText w:val="（%1）"/>
      <w:lvlJc w:val="left"/>
      <w:pPr>
        <w:ind w:left="1320" w:hanging="720"/>
      </w:pPr>
      <w:rPr>
        <w:rFonts w:hint="default" w:ascii="汉仪中圆简" w:hAnsi="汉仪中圆简" w:eastAsia="汉仪中圆简" w:cs="汉仪中圆简"/>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12">
    <w:nsid w:val="43AD7862"/>
    <w:multiLevelType w:val="multilevel"/>
    <w:tmpl w:val="43AD7862"/>
    <w:lvl w:ilvl="0" w:tentative="0">
      <w:start w:val="1"/>
      <w:numFmt w:val="decimal"/>
      <w:lvlText w:val="（%1）"/>
      <w:lvlJc w:val="left"/>
      <w:pPr>
        <w:ind w:left="1440" w:hanging="720"/>
      </w:pPr>
      <w:rPr>
        <w:rFonts w:hint="default" w:ascii="汉仪中圆简" w:hAnsi="汉仪中圆简" w:eastAsia="汉仪中圆简" w:cs="汉仪中圆简"/>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13">
    <w:nsid w:val="45407520"/>
    <w:multiLevelType w:val="multilevel"/>
    <w:tmpl w:val="45407520"/>
    <w:lvl w:ilvl="0" w:tentative="0">
      <w:start w:val="1"/>
      <w:numFmt w:val="japaneseCounting"/>
      <w:lvlText w:val="第%1章"/>
      <w:lvlJc w:val="left"/>
      <w:pPr>
        <w:ind w:left="1650" w:hanging="1440"/>
      </w:pPr>
      <w:rPr>
        <w:rFonts w:hint="default"/>
      </w:rPr>
    </w:lvl>
    <w:lvl w:ilvl="1" w:tentative="0">
      <w:start w:val="1"/>
      <w:numFmt w:val="lowerLetter"/>
      <w:lvlText w:val="%2)"/>
      <w:lvlJc w:val="left"/>
      <w:pPr>
        <w:ind w:left="1050" w:hanging="420"/>
      </w:pPr>
    </w:lvl>
    <w:lvl w:ilvl="2" w:tentative="0">
      <w:start w:val="1"/>
      <w:numFmt w:val="lowerRoman"/>
      <w:lvlText w:val="%3."/>
      <w:lvlJc w:val="right"/>
      <w:pPr>
        <w:ind w:left="1470" w:hanging="420"/>
      </w:pPr>
    </w:lvl>
    <w:lvl w:ilvl="3" w:tentative="0">
      <w:start w:val="1"/>
      <w:numFmt w:val="decimal"/>
      <w:lvlText w:val="%4."/>
      <w:lvlJc w:val="left"/>
      <w:pPr>
        <w:ind w:left="1890" w:hanging="420"/>
      </w:pPr>
    </w:lvl>
    <w:lvl w:ilvl="4" w:tentative="0">
      <w:start w:val="1"/>
      <w:numFmt w:val="lowerLetter"/>
      <w:lvlText w:val="%5)"/>
      <w:lvlJc w:val="left"/>
      <w:pPr>
        <w:ind w:left="2310" w:hanging="420"/>
      </w:pPr>
    </w:lvl>
    <w:lvl w:ilvl="5" w:tentative="0">
      <w:start w:val="1"/>
      <w:numFmt w:val="lowerRoman"/>
      <w:lvlText w:val="%6."/>
      <w:lvlJc w:val="right"/>
      <w:pPr>
        <w:ind w:left="2730" w:hanging="420"/>
      </w:pPr>
    </w:lvl>
    <w:lvl w:ilvl="6" w:tentative="0">
      <w:start w:val="1"/>
      <w:numFmt w:val="decimal"/>
      <w:lvlText w:val="%7."/>
      <w:lvlJc w:val="left"/>
      <w:pPr>
        <w:ind w:left="3150" w:hanging="420"/>
      </w:pPr>
    </w:lvl>
    <w:lvl w:ilvl="7" w:tentative="0">
      <w:start w:val="1"/>
      <w:numFmt w:val="lowerLetter"/>
      <w:lvlText w:val="%8)"/>
      <w:lvlJc w:val="left"/>
      <w:pPr>
        <w:ind w:left="3570" w:hanging="420"/>
      </w:pPr>
    </w:lvl>
    <w:lvl w:ilvl="8" w:tentative="0">
      <w:start w:val="1"/>
      <w:numFmt w:val="lowerRoman"/>
      <w:lvlText w:val="%9."/>
      <w:lvlJc w:val="right"/>
      <w:pPr>
        <w:ind w:left="3990" w:hanging="420"/>
      </w:pPr>
    </w:lvl>
  </w:abstractNum>
  <w:abstractNum w:abstractNumId="14">
    <w:nsid w:val="471D6568"/>
    <w:multiLevelType w:val="multilevel"/>
    <w:tmpl w:val="471D6568"/>
    <w:lvl w:ilvl="0" w:tentative="0">
      <w:start w:val="4"/>
      <w:numFmt w:val="decimal"/>
      <w:lvlText w:val="%1"/>
      <w:lvlJc w:val="left"/>
      <w:pPr>
        <w:ind w:left="600" w:hanging="600"/>
      </w:pPr>
      <w:rPr>
        <w:rFonts w:hint="default"/>
      </w:rPr>
    </w:lvl>
    <w:lvl w:ilvl="1" w:tentative="0">
      <w:start w:val="10"/>
      <w:numFmt w:val="decimal"/>
      <w:lvlText w:val="%1.%2"/>
      <w:lvlJc w:val="left"/>
      <w:pPr>
        <w:ind w:left="720" w:hanging="720"/>
      </w:pPr>
      <w:rPr>
        <w:rFonts w:hint="default" w:ascii="汉仪中圆简" w:hAnsi="汉仪中圆简" w:eastAsia="汉仪中圆简" w:cs="汉仪中圆简"/>
      </w:rPr>
    </w:lvl>
    <w:lvl w:ilvl="2" w:tentative="0">
      <w:start w:val="4"/>
      <w:numFmt w:val="decimal"/>
      <w:lvlText w:val="%1.%2.%3"/>
      <w:lvlJc w:val="left"/>
      <w:pPr>
        <w:ind w:left="720" w:hanging="720"/>
      </w:pPr>
      <w:rPr>
        <w:rFonts w:hint="default" w:ascii="汉仪中圆简" w:hAnsi="汉仪中圆简" w:eastAsia="汉仪中圆简" w:cs="汉仪中圆简"/>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440" w:hanging="1440"/>
      </w:pPr>
      <w:rPr>
        <w:rFonts w:hint="default"/>
      </w:rPr>
    </w:lvl>
    <w:lvl w:ilvl="5" w:tentative="0">
      <w:start w:val="1"/>
      <w:numFmt w:val="decimal"/>
      <w:lvlText w:val="%1.%2.%3.%4.%5.%6"/>
      <w:lvlJc w:val="left"/>
      <w:pPr>
        <w:ind w:left="1800" w:hanging="180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2160" w:hanging="2160"/>
      </w:pPr>
      <w:rPr>
        <w:rFonts w:hint="default"/>
      </w:rPr>
    </w:lvl>
    <w:lvl w:ilvl="8" w:tentative="0">
      <w:start w:val="1"/>
      <w:numFmt w:val="decimal"/>
      <w:lvlText w:val="%1.%2.%3.%4.%5.%6.%7.%8.%9"/>
      <w:lvlJc w:val="left"/>
      <w:pPr>
        <w:ind w:left="2520" w:hanging="2520"/>
      </w:pPr>
      <w:rPr>
        <w:rFonts w:hint="default"/>
      </w:rPr>
    </w:lvl>
  </w:abstractNum>
  <w:abstractNum w:abstractNumId="15">
    <w:nsid w:val="4CDD125D"/>
    <w:multiLevelType w:val="multilevel"/>
    <w:tmpl w:val="4CDD125D"/>
    <w:lvl w:ilvl="0" w:tentative="0">
      <w:start w:val="1"/>
      <w:numFmt w:val="lowerLetter"/>
      <w:lvlText w:val="%1)"/>
      <w:lvlJc w:val="left"/>
      <w:pPr>
        <w:ind w:left="420" w:hanging="420"/>
      </w:pPr>
      <w:rPr>
        <w:rFonts w:hint="default" w:ascii="汉仪中圆简" w:hAnsi="汉仪中圆简" w:eastAsia="汉仪中圆简" w:cs="汉仪中圆简"/>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4F3B49C8"/>
    <w:multiLevelType w:val="multilevel"/>
    <w:tmpl w:val="4F3B49C8"/>
    <w:lvl w:ilvl="0" w:tentative="0">
      <w:start w:val="6"/>
      <w:numFmt w:val="decimal"/>
      <w:lvlText w:val="%1"/>
      <w:lvlJc w:val="left"/>
      <w:pPr>
        <w:ind w:left="480" w:hanging="480"/>
      </w:pPr>
      <w:rPr>
        <w:rFonts w:hint="default"/>
      </w:rPr>
    </w:lvl>
    <w:lvl w:ilvl="1" w:tentative="0">
      <w:start w:val="4"/>
      <w:numFmt w:val="decimal"/>
      <w:lvlText w:val="%1.%2"/>
      <w:lvlJc w:val="left"/>
      <w:pPr>
        <w:ind w:left="480" w:hanging="480"/>
      </w:pPr>
      <w:rPr>
        <w:rFonts w:hint="default" w:ascii="汉仪中圆简" w:hAnsi="汉仪中圆简" w:eastAsia="汉仪中圆简" w:cs="汉仪中圆简"/>
      </w:rPr>
    </w:lvl>
    <w:lvl w:ilvl="2" w:tentative="0">
      <w:start w:val="1"/>
      <w:numFmt w:val="decimal"/>
      <w:lvlText w:val="%1.%2.%3"/>
      <w:lvlJc w:val="left"/>
      <w:pPr>
        <w:ind w:left="720" w:hanging="720"/>
      </w:pPr>
      <w:rPr>
        <w:rFonts w:hint="default" w:ascii="汉仪中圆简" w:hAnsi="汉仪中圆简" w:eastAsia="汉仪中圆简" w:cs="汉仪中圆简"/>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17">
    <w:nsid w:val="552B143B"/>
    <w:multiLevelType w:val="multilevel"/>
    <w:tmpl w:val="552B143B"/>
    <w:lvl w:ilvl="0" w:tentative="0">
      <w:start w:val="4"/>
      <w:numFmt w:val="decimal"/>
      <w:lvlText w:val="%1"/>
      <w:lvlJc w:val="left"/>
      <w:pPr>
        <w:ind w:left="480" w:hanging="480"/>
      </w:pPr>
      <w:rPr>
        <w:rFonts w:hint="default"/>
      </w:rPr>
    </w:lvl>
    <w:lvl w:ilvl="1" w:tentative="0">
      <w:start w:val="3"/>
      <w:numFmt w:val="decimal"/>
      <w:lvlText w:val="%1.%2"/>
      <w:lvlJc w:val="left"/>
      <w:pPr>
        <w:ind w:left="480" w:hanging="480"/>
      </w:pPr>
      <w:rPr>
        <w:rFonts w:hint="default"/>
      </w:rPr>
    </w:lvl>
    <w:lvl w:ilvl="2" w:tentative="0">
      <w:start w:val="1"/>
      <w:numFmt w:val="decimal"/>
      <w:lvlText w:val="%1.%2.%3"/>
      <w:lvlJc w:val="left"/>
      <w:pPr>
        <w:ind w:left="720" w:hanging="720"/>
      </w:pPr>
      <w:rPr>
        <w:rFonts w:hint="default" w:ascii="汉仪中圆简" w:hAnsi="汉仪中圆简" w:eastAsia="汉仪中圆简" w:cs="汉仪中圆简"/>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18">
    <w:nsid w:val="5B9B0FFD"/>
    <w:multiLevelType w:val="multilevel"/>
    <w:tmpl w:val="5B9B0FFD"/>
    <w:lvl w:ilvl="0" w:tentative="0">
      <w:start w:val="4"/>
      <w:numFmt w:val="decimal"/>
      <w:lvlText w:val="%1"/>
      <w:lvlJc w:val="left"/>
      <w:pPr>
        <w:ind w:left="480" w:hanging="480"/>
      </w:pPr>
      <w:rPr>
        <w:rFonts w:hint="default"/>
      </w:rPr>
    </w:lvl>
    <w:lvl w:ilvl="1" w:tentative="0">
      <w:start w:val="9"/>
      <w:numFmt w:val="decimal"/>
      <w:lvlText w:val="%1.%2"/>
      <w:lvlJc w:val="left"/>
      <w:pPr>
        <w:ind w:left="480" w:hanging="480"/>
      </w:pPr>
      <w:rPr>
        <w:rFonts w:hint="default"/>
      </w:rPr>
    </w:lvl>
    <w:lvl w:ilvl="2" w:tentative="0">
      <w:start w:val="8"/>
      <w:numFmt w:val="decimal"/>
      <w:lvlText w:val="%1.%2.%3"/>
      <w:lvlJc w:val="left"/>
      <w:pPr>
        <w:ind w:left="720" w:hanging="720"/>
      </w:pPr>
      <w:rPr>
        <w:rFonts w:hint="default" w:ascii="汉仪中圆简" w:hAnsi="汉仪中圆简" w:eastAsia="汉仪中圆简" w:cs="汉仪中圆简"/>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19">
    <w:nsid w:val="5ED42AC9"/>
    <w:multiLevelType w:val="multilevel"/>
    <w:tmpl w:val="5ED42AC9"/>
    <w:lvl w:ilvl="0" w:tentative="0">
      <w:start w:val="3"/>
      <w:numFmt w:val="decimal"/>
      <w:lvlText w:val="%1"/>
      <w:lvlJc w:val="left"/>
      <w:pPr>
        <w:ind w:left="480" w:hanging="480"/>
      </w:pPr>
      <w:rPr>
        <w:rFonts w:hint="default"/>
      </w:rPr>
    </w:lvl>
    <w:lvl w:ilvl="1" w:tentative="0">
      <w:start w:val="2"/>
      <w:numFmt w:val="decimal"/>
      <w:lvlText w:val="%1.%2"/>
      <w:lvlJc w:val="left"/>
      <w:pPr>
        <w:ind w:left="480" w:hanging="480"/>
      </w:pPr>
      <w:rPr>
        <w:rFonts w:hint="default" w:ascii="汉仪中圆简" w:hAnsi="汉仪中圆简" w:eastAsia="汉仪中圆简" w:cs="汉仪中圆简"/>
      </w:rPr>
    </w:lvl>
    <w:lvl w:ilvl="2" w:tentative="0">
      <w:start w:val="1"/>
      <w:numFmt w:val="decimal"/>
      <w:lvlText w:val="%1.%2.%3"/>
      <w:lvlJc w:val="left"/>
      <w:pPr>
        <w:ind w:left="720" w:hanging="720"/>
      </w:pPr>
      <w:rPr>
        <w:rFonts w:hint="default" w:ascii="汉仪中圆简" w:hAnsi="汉仪中圆简" w:eastAsia="汉仪中圆简" w:cs="汉仪中圆简"/>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20">
    <w:nsid w:val="5F324D4D"/>
    <w:multiLevelType w:val="multilevel"/>
    <w:tmpl w:val="5F324D4D"/>
    <w:lvl w:ilvl="0" w:tentative="0">
      <w:start w:val="1"/>
      <w:numFmt w:val="decimal"/>
      <w:lvlText w:val="%1)"/>
      <w:lvlJc w:val="left"/>
      <w:pPr>
        <w:ind w:left="420" w:hanging="420"/>
      </w:pPr>
      <w:rPr>
        <w:rFonts w:hint="default" w:ascii="汉仪中圆简" w:hAnsi="汉仪中圆简" w:eastAsia="汉仪中圆简" w:cs="汉仪中圆简"/>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6178035A"/>
    <w:multiLevelType w:val="multilevel"/>
    <w:tmpl w:val="6178035A"/>
    <w:lvl w:ilvl="0" w:tentative="0">
      <w:start w:val="4"/>
      <w:numFmt w:val="decimal"/>
      <w:lvlText w:val="%1"/>
      <w:lvlJc w:val="left"/>
      <w:pPr>
        <w:ind w:left="660" w:hanging="660"/>
      </w:pPr>
      <w:rPr>
        <w:rFonts w:hint="default"/>
      </w:rPr>
    </w:lvl>
    <w:lvl w:ilvl="1" w:tentative="0">
      <w:start w:val="2"/>
      <w:numFmt w:val="decimal"/>
      <w:lvlText w:val="%1.%2"/>
      <w:lvlJc w:val="left"/>
      <w:pPr>
        <w:ind w:left="660" w:hanging="660"/>
      </w:pPr>
      <w:rPr>
        <w:rFonts w:hint="default"/>
      </w:rPr>
    </w:lvl>
    <w:lvl w:ilvl="2" w:tentative="0">
      <w:start w:val="2"/>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22">
    <w:nsid w:val="65803147"/>
    <w:multiLevelType w:val="multilevel"/>
    <w:tmpl w:val="65803147"/>
    <w:lvl w:ilvl="0" w:tentative="0">
      <w:start w:val="1"/>
      <w:numFmt w:val="decimal"/>
      <w:lvlText w:val="（%1）"/>
      <w:lvlJc w:val="left"/>
      <w:pPr>
        <w:ind w:left="2025" w:hanging="1305"/>
      </w:pPr>
      <w:rPr>
        <w:rFonts w:hint="default" w:ascii="汉仪中圆简" w:hAnsi="汉仪中圆简" w:eastAsia="汉仪中圆简" w:cs="汉仪中圆简"/>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23">
    <w:nsid w:val="66424902"/>
    <w:multiLevelType w:val="multilevel"/>
    <w:tmpl w:val="66424902"/>
    <w:lvl w:ilvl="0" w:tentative="0">
      <w:start w:val="6"/>
      <w:numFmt w:val="decimal"/>
      <w:lvlText w:val="%1"/>
      <w:lvlJc w:val="left"/>
      <w:pPr>
        <w:ind w:left="480" w:hanging="480"/>
      </w:pPr>
      <w:rPr>
        <w:rFonts w:hint="default"/>
      </w:rPr>
    </w:lvl>
    <w:lvl w:ilvl="1" w:tentative="0">
      <w:start w:val="1"/>
      <w:numFmt w:val="decimal"/>
      <w:lvlText w:val="%1.%2"/>
      <w:lvlJc w:val="left"/>
      <w:pPr>
        <w:ind w:left="480" w:hanging="480"/>
      </w:pPr>
      <w:rPr>
        <w:rFonts w:hint="default"/>
      </w:rPr>
    </w:lvl>
    <w:lvl w:ilvl="2" w:tentative="0">
      <w:start w:val="1"/>
      <w:numFmt w:val="decimal"/>
      <w:lvlText w:val="%1.%2.%3"/>
      <w:lvlJc w:val="left"/>
      <w:pPr>
        <w:ind w:left="720" w:hanging="720"/>
      </w:pPr>
      <w:rPr>
        <w:rFonts w:hint="default" w:ascii="汉仪中圆简" w:hAnsi="汉仪中圆简" w:eastAsia="汉仪中圆简" w:cs="汉仪中圆简"/>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24">
    <w:nsid w:val="691D5197"/>
    <w:multiLevelType w:val="multilevel"/>
    <w:tmpl w:val="691D5197"/>
    <w:lvl w:ilvl="0" w:tentative="0">
      <w:start w:val="1"/>
      <w:numFmt w:val="decimal"/>
      <w:lvlText w:val="（%1）"/>
      <w:lvlJc w:val="left"/>
      <w:pPr>
        <w:ind w:left="1438" w:hanging="720"/>
      </w:pPr>
      <w:rPr>
        <w:rFonts w:hint="default" w:ascii="汉仪中圆简" w:hAnsi="汉仪中圆简" w:eastAsia="汉仪中圆简" w:cs="汉仪中圆简"/>
      </w:rPr>
    </w:lvl>
    <w:lvl w:ilvl="1" w:tentative="0">
      <w:start w:val="1"/>
      <w:numFmt w:val="lowerLetter"/>
      <w:lvlText w:val="%2)"/>
      <w:lvlJc w:val="left"/>
      <w:pPr>
        <w:ind w:left="1558" w:hanging="420"/>
      </w:pPr>
    </w:lvl>
    <w:lvl w:ilvl="2" w:tentative="0">
      <w:start w:val="1"/>
      <w:numFmt w:val="lowerRoman"/>
      <w:lvlText w:val="%3."/>
      <w:lvlJc w:val="right"/>
      <w:pPr>
        <w:ind w:left="1978" w:hanging="420"/>
      </w:pPr>
    </w:lvl>
    <w:lvl w:ilvl="3" w:tentative="0">
      <w:start w:val="1"/>
      <w:numFmt w:val="decimal"/>
      <w:lvlText w:val="%4."/>
      <w:lvlJc w:val="left"/>
      <w:pPr>
        <w:ind w:left="2398" w:hanging="420"/>
      </w:pPr>
    </w:lvl>
    <w:lvl w:ilvl="4" w:tentative="0">
      <w:start w:val="1"/>
      <w:numFmt w:val="lowerLetter"/>
      <w:lvlText w:val="%5)"/>
      <w:lvlJc w:val="left"/>
      <w:pPr>
        <w:ind w:left="2818" w:hanging="420"/>
      </w:pPr>
    </w:lvl>
    <w:lvl w:ilvl="5" w:tentative="0">
      <w:start w:val="1"/>
      <w:numFmt w:val="lowerRoman"/>
      <w:lvlText w:val="%6."/>
      <w:lvlJc w:val="right"/>
      <w:pPr>
        <w:ind w:left="3238" w:hanging="420"/>
      </w:pPr>
    </w:lvl>
    <w:lvl w:ilvl="6" w:tentative="0">
      <w:start w:val="1"/>
      <w:numFmt w:val="decimal"/>
      <w:lvlText w:val="%7."/>
      <w:lvlJc w:val="left"/>
      <w:pPr>
        <w:ind w:left="3658" w:hanging="420"/>
      </w:pPr>
    </w:lvl>
    <w:lvl w:ilvl="7" w:tentative="0">
      <w:start w:val="1"/>
      <w:numFmt w:val="lowerLetter"/>
      <w:lvlText w:val="%8)"/>
      <w:lvlJc w:val="left"/>
      <w:pPr>
        <w:ind w:left="4078" w:hanging="420"/>
      </w:pPr>
    </w:lvl>
    <w:lvl w:ilvl="8" w:tentative="0">
      <w:start w:val="1"/>
      <w:numFmt w:val="lowerRoman"/>
      <w:lvlText w:val="%9."/>
      <w:lvlJc w:val="right"/>
      <w:pPr>
        <w:ind w:left="4498" w:hanging="420"/>
      </w:pPr>
    </w:lvl>
  </w:abstractNum>
  <w:abstractNum w:abstractNumId="25">
    <w:nsid w:val="6B47479A"/>
    <w:multiLevelType w:val="multilevel"/>
    <w:tmpl w:val="6B47479A"/>
    <w:lvl w:ilvl="0" w:tentative="0">
      <w:start w:val="1"/>
      <w:numFmt w:val="decimal"/>
      <w:lvlText w:val="（%1）"/>
      <w:lvlJc w:val="left"/>
      <w:pPr>
        <w:ind w:left="1245" w:hanging="720"/>
      </w:pPr>
      <w:rPr>
        <w:rFonts w:hint="default" w:ascii="汉仪中圆简" w:hAnsi="汉仪中圆简" w:eastAsia="汉仪中圆简" w:cs="汉仪中圆简"/>
      </w:rPr>
    </w:lvl>
    <w:lvl w:ilvl="1" w:tentative="0">
      <w:start w:val="1"/>
      <w:numFmt w:val="lowerLetter"/>
      <w:lvlText w:val="%2)"/>
      <w:lvlJc w:val="left"/>
      <w:pPr>
        <w:ind w:left="1365" w:hanging="420"/>
      </w:pPr>
    </w:lvl>
    <w:lvl w:ilvl="2" w:tentative="0">
      <w:start w:val="1"/>
      <w:numFmt w:val="lowerRoman"/>
      <w:lvlText w:val="%3."/>
      <w:lvlJc w:val="right"/>
      <w:pPr>
        <w:ind w:left="1785" w:hanging="420"/>
      </w:pPr>
    </w:lvl>
    <w:lvl w:ilvl="3" w:tentative="0">
      <w:start w:val="1"/>
      <w:numFmt w:val="decimal"/>
      <w:lvlText w:val="%4."/>
      <w:lvlJc w:val="left"/>
      <w:pPr>
        <w:ind w:left="2205" w:hanging="420"/>
      </w:pPr>
    </w:lvl>
    <w:lvl w:ilvl="4" w:tentative="0">
      <w:start w:val="1"/>
      <w:numFmt w:val="lowerLetter"/>
      <w:lvlText w:val="%5)"/>
      <w:lvlJc w:val="left"/>
      <w:pPr>
        <w:ind w:left="2625" w:hanging="420"/>
      </w:pPr>
    </w:lvl>
    <w:lvl w:ilvl="5" w:tentative="0">
      <w:start w:val="1"/>
      <w:numFmt w:val="lowerRoman"/>
      <w:lvlText w:val="%6."/>
      <w:lvlJc w:val="right"/>
      <w:pPr>
        <w:ind w:left="3045" w:hanging="420"/>
      </w:pPr>
    </w:lvl>
    <w:lvl w:ilvl="6" w:tentative="0">
      <w:start w:val="1"/>
      <w:numFmt w:val="decimal"/>
      <w:lvlText w:val="%7."/>
      <w:lvlJc w:val="left"/>
      <w:pPr>
        <w:ind w:left="3465" w:hanging="420"/>
      </w:pPr>
    </w:lvl>
    <w:lvl w:ilvl="7" w:tentative="0">
      <w:start w:val="1"/>
      <w:numFmt w:val="lowerLetter"/>
      <w:lvlText w:val="%8)"/>
      <w:lvlJc w:val="left"/>
      <w:pPr>
        <w:ind w:left="3885" w:hanging="420"/>
      </w:pPr>
    </w:lvl>
    <w:lvl w:ilvl="8" w:tentative="0">
      <w:start w:val="1"/>
      <w:numFmt w:val="lowerRoman"/>
      <w:lvlText w:val="%9."/>
      <w:lvlJc w:val="right"/>
      <w:pPr>
        <w:ind w:left="4305" w:hanging="420"/>
      </w:pPr>
    </w:lvl>
  </w:abstractNum>
  <w:abstractNum w:abstractNumId="26">
    <w:nsid w:val="6F5015C3"/>
    <w:multiLevelType w:val="multilevel"/>
    <w:tmpl w:val="6F5015C3"/>
    <w:lvl w:ilvl="0" w:tentative="0">
      <w:start w:val="1"/>
      <w:numFmt w:val="decimal"/>
      <w:lvlText w:val="（%1）"/>
      <w:lvlJc w:val="left"/>
      <w:pPr>
        <w:ind w:left="1320" w:hanging="720"/>
      </w:pPr>
      <w:rPr>
        <w:rFonts w:hint="default" w:ascii="汉仪中圆简" w:hAnsi="汉仪中圆简" w:eastAsia="汉仪中圆简" w:cs="汉仪中圆简"/>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27">
    <w:nsid w:val="74455E13"/>
    <w:multiLevelType w:val="multilevel"/>
    <w:tmpl w:val="74455E13"/>
    <w:lvl w:ilvl="0" w:tentative="0">
      <w:start w:val="1"/>
      <w:numFmt w:val="lowerLetter"/>
      <w:lvlText w:val="%1)"/>
      <w:lvlJc w:val="left"/>
      <w:pPr>
        <w:ind w:left="420" w:hanging="420"/>
      </w:pPr>
      <w:rPr>
        <w:rFonts w:hint="default" w:ascii="汉仪中圆简" w:hAnsi="汉仪中圆简" w:eastAsia="汉仪中圆简" w:cs="汉仪中圆简"/>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79DE7D7B"/>
    <w:multiLevelType w:val="multilevel"/>
    <w:tmpl w:val="79DE7D7B"/>
    <w:lvl w:ilvl="0" w:tentative="0">
      <w:start w:val="10"/>
      <w:numFmt w:val="decimal"/>
      <w:lvlText w:val="%1"/>
      <w:lvlJc w:val="left"/>
      <w:pPr>
        <w:ind w:left="630" w:hanging="630"/>
      </w:pPr>
      <w:rPr>
        <w:rFonts w:hint="default"/>
      </w:rPr>
    </w:lvl>
    <w:lvl w:ilvl="1" w:tentative="0">
      <w:start w:val="4"/>
      <w:numFmt w:val="decimal"/>
      <w:lvlText w:val="%1.%2"/>
      <w:lvlJc w:val="left"/>
      <w:pPr>
        <w:ind w:left="630" w:hanging="630"/>
      </w:pPr>
      <w:rPr>
        <w:rFonts w:hint="default" w:ascii="汉仪中圆简" w:hAnsi="汉仪中圆简" w:eastAsia="汉仪中圆简" w:cs="汉仪中圆简"/>
      </w:rPr>
    </w:lvl>
    <w:lvl w:ilvl="2" w:tentative="0">
      <w:start w:val="1"/>
      <w:numFmt w:val="decimal"/>
      <w:lvlText w:val="%1.%2.%3"/>
      <w:lvlJc w:val="left"/>
      <w:pPr>
        <w:ind w:left="720" w:hanging="720"/>
      </w:pPr>
      <w:rPr>
        <w:rFonts w:hint="default" w:ascii="汉仪中圆简" w:hAnsi="汉仪中圆简" w:eastAsia="汉仪中圆简" w:cs="汉仪中圆简"/>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29">
    <w:nsid w:val="7B8B4A89"/>
    <w:multiLevelType w:val="multilevel"/>
    <w:tmpl w:val="7B8B4A89"/>
    <w:lvl w:ilvl="0" w:tentative="0">
      <w:start w:val="5"/>
      <w:numFmt w:val="decimal"/>
      <w:lvlText w:val="%1"/>
      <w:lvlJc w:val="left"/>
      <w:pPr>
        <w:ind w:left="480" w:hanging="480"/>
      </w:pPr>
      <w:rPr>
        <w:rFonts w:hint="default"/>
      </w:rPr>
    </w:lvl>
    <w:lvl w:ilvl="1" w:tentative="0">
      <w:start w:val="5"/>
      <w:numFmt w:val="decimal"/>
      <w:lvlText w:val="%1.%2"/>
      <w:lvlJc w:val="left"/>
      <w:pPr>
        <w:ind w:left="480" w:hanging="480"/>
      </w:pPr>
      <w:rPr>
        <w:rFonts w:hint="default" w:ascii="汉仪中圆简" w:hAnsi="汉仪中圆简" w:eastAsia="汉仪中圆简" w:cs="汉仪中圆简"/>
      </w:rPr>
    </w:lvl>
    <w:lvl w:ilvl="2" w:tentative="0">
      <w:start w:val="1"/>
      <w:numFmt w:val="decimal"/>
      <w:lvlText w:val="%1.%2.%3"/>
      <w:lvlJc w:val="left"/>
      <w:pPr>
        <w:ind w:left="720" w:hanging="720"/>
      </w:pPr>
      <w:rPr>
        <w:rFonts w:hint="default" w:ascii="汉仪中圆简" w:hAnsi="汉仪中圆简" w:eastAsia="汉仪中圆简" w:cs="汉仪中圆简"/>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num w:numId="1">
    <w:abstractNumId w:val="13"/>
  </w:num>
  <w:num w:numId="2">
    <w:abstractNumId w:val="8"/>
  </w:num>
  <w:num w:numId="3">
    <w:abstractNumId w:val="19"/>
  </w:num>
  <w:num w:numId="4">
    <w:abstractNumId w:val="20"/>
  </w:num>
  <w:num w:numId="5">
    <w:abstractNumId w:val="10"/>
  </w:num>
  <w:num w:numId="6">
    <w:abstractNumId w:val="21"/>
  </w:num>
  <w:num w:numId="7">
    <w:abstractNumId w:val="17"/>
  </w:num>
  <w:num w:numId="8">
    <w:abstractNumId w:val="9"/>
  </w:num>
  <w:num w:numId="9">
    <w:abstractNumId w:val="18"/>
  </w:num>
  <w:num w:numId="10">
    <w:abstractNumId w:val="12"/>
  </w:num>
  <w:num w:numId="11">
    <w:abstractNumId w:val="24"/>
  </w:num>
  <w:num w:numId="12">
    <w:abstractNumId w:val="14"/>
  </w:num>
  <w:num w:numId="13">
    <w:abstractNumId w:val="1"/>
  </w:num>
  <w:num w:numId="14">
    <w:abstractNumId w:val="15"/>
  </w:num>
  <w:num w:numId="15">
    <w:abstractNumId w:val="3"/>
  </w:num>
  <w:num w:numId="16">
    <w:abstractNumId w:val="5"/>
  </w:num>
  <w:num w:numId="17">
    <w:abstractNumId w:val="27"/>
  </w:num>
  <w:num w:numId="18">
    <w:abstractNumId w:val="4"/>
  </w:num>
  <w:num w:numId="19">
    <w:abstractNumId w:val="29"/>
  </w:num>
  <w:num w:numId="20">
    <w:abstractNumId w:val="22"/>
  </w:num>
  <w:num w:numId="21">
    <w:abstractNumId w:val="23"/>
  </w:num>
  <w:num w:numId="22">
    <w:abstractNumId w:val="2"/>
  </w:num>
  <w:num w:numId="23">
    <w:abstractNumId w:val="16"/>
  </w:num>
  <w:num w:numId="24">
    <w:abstractNumId w:val="11"/>
  </w:num>
  <w:num w:numId="25">
    <w:abstractNumId w:val="26"/>
  </w:num>
  <w:num w:numId="26">
    <w:abstractNumId w:val="7"/>
  </w:num>
  <w:num w:numId="27">
    <w:abstractNumId w:val="6"/>
  </w:num>
  <w:num w:numId="28">
    <w:abstractNumId w:val="25"/>
  </w:num>
  <w:num w:numId="29">
    <w:abstractNumId w:val="28"/>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M5NWY3OGY4MmFkMDVhYzJmYzJiZDQxZTBhZTU4YTMifQ=="/>
  </w:docVars>
  <w:rsids>
    <w:rsidRoot w:val="47173A95"/>
    <w:rsid w:val="47173A95"/>
    <w:rsid w:val="62625F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4"/>
    <w:qFormat/>
    <w:uiPriority w:val="0"/>
    <w:pPr>
      <w:keepNext/>
      <w:keepLines/>
      <w:spacing w:before="260" w:after="260" w:line="416" w:lineRule="auto"/>
      <w:outlineLvl w:val="1"/>
    </w:pPr>
    <w:rPr>
      <w:rFonts w:ascii="Arial" w:hAnsi="Arial" w:eastAsia="黑体"/>
      <w:b/>
      <w:bCs/>
      <w:sz w:val="32"/>
      <w:szCs w:val="32"/>
    </w:rPr>
  </w:style>
  <w:style w:type="character" w:default="1" w:styleId="11">
    <w:name w:val="Default Paragraph Font"/>
    <w:semiHidden/>
    <w:qFormat/>
    <w:uiPriority w:val="0"/>
  </w:style>
  <w:style w:type="table" w:default="1" w:styleId="10">
    <w:name w:val="Normal Table"/>
    <w:semiHidden/>
    <w:uiPriority w:val="0"/>
    <w:tblPr>
      <w:tblCellMar>
        <w:top w:w="0" w:type="dxa"/>
        <w:left w:w="108" w:type="dxa"/>
        <w:bottom w:w="0" w:type="dxa"/>
        <w:right w:w="108" w:type="dxa"/>
      </w:tblCellMar>
    </w:tblPr>
  </w:style>
  <w:style w:type="paragraph" w:styleId="4">
    <w:name w:val="toc 3"/>
    <w:basedOn w:val="1"/>
    <w:next w:val="1"/>
    <w:unhideWhenUsed/>
    <w:qFormat/>
    <w:uiPriority w:val="39"/>
    <w:pPr>
      <w:widowControl/>
      <w:spacing w:after="100" w:line="276" w:lineRule="auto"/>
      <w:ind w:left="440"/>
      <w:jc w:val="left"/>
    </w:pPr>
    <w:rPr>
      <w:rFonts w:ascii="Calibri" w:hAnsi="Calibri" w:eastAsia="宋体" w:cs="Times New Roman"/>
      <w:kern w:val="0"/>
      <w:sz w:val="22"/>
      <w:szCs w:val="22"/>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unhideWhenUsed/>
    <w:qFormat/>
    <w:uiPriority w:val="39"/>
    <w:pPr>
      <w:widowControl/>
      <w:spacing w:after="100" w:line="276" w:lineRule="auto"/>
      <w:jc w:val="left"/>
    </w:pPr>
    <w:rPr>
      <w:rFonts w:ascii="Calibri" w:hAnsi="Calibri" w:eastAsia="宋体" w:cs="Times New Roman"/>
      <w:kern w:val="0"/>
      <w:sz w:val="22"/>
      <w:szCs w:val="22"/>
    </w:rPr>
  </w:style>
  <w:style w:type="paragraph" w:styleId="8">
    <w:name w:val="toc 2"/>
    <w:basedOn w:val="1"/>
    <w:next w:val="1"/>
    <w:unhideWhenUsed/>
    <w:qFormat/>
    <w:uiPriority w:val="39"/>
    <w:pPr>
      <w:widowControl/>
      <w:spacing w:after="100" w:line="276" w:lineRule="auto"/>
      <w:ind w:left="220"/>
      <w:jc w:val="left"/>
    </w:pPr>
    <w:rPr>
      <w:rFonts w:ascii="Calibri" w:hAnsi="Calibri" w:eastAsia="宋体" w:cs="Times New Roman"/>
      <w:kern w:val="0"/>
      <w:sz w:val="22"/>
      <w:szCs w:val="22"/>
    </w:rPr>
  </w:style>
  <w:style w:type="paragraph" w:styleId="9">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2">
    <w:name w:val="Hyperlink"/>
    <w:qFormat/>
    <w:uiPriority w:val="99"/>
    <w:rPr>
      <w:color w:val="0000FF"/>
      <w:u w:val="single"/>
    </w:rPr>
  </w:style>
  <w:style w:type="paragraph" w:customStyle="1" w:styleId="13">
    <w:name w:val="_Style 4"/>
    <w:basedOn w:val="2"/>
    <w:next w:val="1"/>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character" w:customStyle="1" w:styleId="14">
    <w:name w:val="标题 2 字符"/>
    <w:link w:val="3"/>
    <w:qFormat/>
    <w:uiPriority w:val="0"/>
    <w:rPr>
      <w:rFonts w:ascii="Arial" w:hAnsi="Arial" w:eastAsia="黑体"/>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42</Pages>
  <Words>20425</Words>
  <Characters>21202</Characters>
  <Lines>0</Lines>
  <Paragraphs>0</Paragraphs>
  <TotalTime>4</TotalTime>
  <ScaleCrop>false</ScaleCrop>
  <LinksUpToDate>false</LinksUpToDate>
  <CharactersWithSpaces>23025</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2022-06-30T08:17:00Z</dcterms:created>
  <dc:creator>杨燕秀</dc:creator>
  <cp:lastModifiedBy>杨燕秀</cp:lastModifiedBy>
  <dcterms:modified xsi:type="dcterms:W3CDTF">2022-06-30T08:48:36Z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F7295B264BF04477973FDB9E42D3EC89</vt:lpwstr>
  </property>
  <property fmtid="{D5CDD505-2E9C-101B-9397-08002B2CF9AE}" pid="4" name="KSOTemplateUUID">
    <vt:lpwstr>v1.0_mb_qxR/zFumbzOVN3REQL5/9g==</vt:lpwstr>
  </property>
</Properties>
</file>