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80" w:before="312" w:after="312"/>
        <w:ind w:right="28" w:hanging="0"/>
        <w:jc w:val="center"/>
        <w:rPr>
          <w:rFonts w:ascii="SimHei" w:hAnsi="SimHei" w:eastAsia="黑体" w:cs="SimHei"/>
          <w:b/>
          <w:b/>
          <w:bCs/>
          <w:sz w:val="44"/>
          <w:szCs w:val="4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">
                <wp:simplePos x="0" y="0"/>
                <wp:positionH relativeFrom="column">
                  <wp:posOffset>133350</wp:posOffset>
                </wp:positionH>
                <wp:positionV relativeFrom="paragraph">
                  <wp:posOffset>40640</wp:posOffset>
                </wp:positionV>
                <wp:extent cx="5534660" cy="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5pt,3.2pt" to="446.2pt,3.2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eastAsia="黑体" w:cs="SimHei"/>
          <w:b/>
          <w:bCs/>
          <w:sz w:val="44"/>
          <w:szCs w:val="44"/>
        </w:rPr>
        <w:t>关于</w:t>
      </w:r>
      <w:r>
        <w:rPr>
          <w:rFonts w:ascii="SimHei" w:hAnsi="SimHei" w:eastAsia="黑体" w:cs="SimHei"/>
          <w:b/>
          <w:bCs/>
          <w:sz w:val="44"/>
          <w:szCs w:val="44"/>
        </w:rPr>
        <w:t>2016</w:t>
      </w:r>
      <w:r>
        <w:rPr>
          <w:rFonts w:ascii="SimHei" w:hAnsi="SimHei" w:eastAsia="黑体" w:cs="SimHei"/>
          <w:b/>
          <w:bCs/>
          <w:sz w:val="44"/>
          <w:szCs w:val="44"/>
        </w:rPr>
        <w:t>年年终奖金发放的通知</w:t>
      </w:r>
    </w:p>
    <w:p>
      <w:pPr>
        <w:pStyle w:val="Normal"/>
        <w:numPr>
          <w:ilvl w:val="0"/>
          <w:numId w:val="0"/>
        </w:numPr>
        <w:spacing w:lineRule="auto" w:line="360"/>
        <w:ind w:right="28" w:hanging="0"/>
        <w:outlineLvl w:val="0"/>
        <w:rPr/>
      </w:pPr>
      <w:r>
        <w:rPr>
          <w:rFonts w:ascii="SimHei" w:hAnsi="SimHei" w:eastAsia="黑体" w:cs="SimHei"/>
          <w:b/>
          <w:bCs/>
          <w:sz w:val="28"/>
        </w:rPr>
        <w:t>各单位：</w:t>
      </w:r>
      <w:r>
        <w:rPr>
          <w:rFonts w:ascii="SimHei" w:hAnsi="SimHei" w:eastAsia="黑体" w:cs="SimHei"/>
          <w:sz w:val="28"/>
        </w:rPr>
        <w:t xml:space="preserve">      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2016</w:t>
      </w:r>
      <w:r>
        <w:rPr>
          <w:rFonts w:ascii="SimHei" w:hAnsi="SimHei" w:eastAsia="黑体" w:cs="SimHei"/>
          <w:sz w:val="28"/>
        </w:rPr>
        <w:t>年，在公司领导的正确带领下，在全体员工的共同努力下，一年的辛勤换来了共同的成果，为激励广大员工工作热情，同时以人性化管理建立和谐的粤新文化，从而提升劳动效率和质量，现拟计划发放</w:t>
      </w:r>
      <w:r>
        <w:rPr>
          <w:rFonts w:ascii="SimHei" w:hAnsi="SimHei" w:eastAsia="黑体" w:cs="SimHei"/>
          <w:sz w:val="28"/>
        </w:rPr>
        <w:t>2016</w:t>
      </w:r>
      <w:r>
        <w:rPr>
          <w:rFonts w:ascii="SimHei" w:hAnsi="SimHei" w:eastAsia="黑体" w:cs="SimHei"/>
          <w:sz w:val="28"/>
        </w:rPr>
        <w:t>年年终奖金，具体如下：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一、奖金发放范围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1</w:t>
      </w:r>
      <w:r>
        <w:rPr>
          <w:rFonts w:ascii="SimHei" w:hAnsi="SimHei" w:eastAsia="黑体" w:cs="SimHei"/>
          <w:sz w:val="28"/>
        </w:rPr>
        <w:t>、公司高层、部门负责人及所有科室人员（不包括编外人员）；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2</w:t>
      </w:r>
      <w:r>
        <w:rPr>
          <w:rFonts w:ascii="SimHei" w:hAnsi="SimHei" w:eastAsia="黑体" w:cs="SimHei"/>
          <w:sz w:val="28"/>
        </w:rPr>
        <w:t>、各车间非承包单位；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3</w:t>
      </w:r>
      <w:r>
        <w:rPr>
          <w:rFonts w:ascii="SimHei" w:hAnsi="SimHei" w:eastAsia="黑体" w:cs="SimHei"/>
          <w:sz w:val="28"/>
        </w:rPr>
        <w:t>、各承包单位。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二、奖金发放原则（非承包单位）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1</w:t>
      </w:r>
      <w:r>
        <w:rPr>
          <w:rFonts w:ascii="SimHei" w:hAnsi="SimHei" w:eastAsia="黑体" w:cs="SimHei"/>
          <w:sz w:val="28"/>
        </w:rPr>
        <w:t>、奖金发放按各部门工作性质划分为三类（不具备评价绩效作用）：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甲等：</w:t>
      </w:r>
      <w:r>
        <w:rPr>
          <w:rFonts w:ascii="SimHei" w:hAnsi="SimHei" w:eastAsia="黑体" w:cs="SimHei"/>
          <w:sz w:val="28"/>
        </w:rPr>
        <w:t>1400</w:t>
      </w:r>
      <w:r>
        <w:rPr>
          <w:rFonts w:ascii="SimHei" w:hAnsi="SimHei" w:eastAsia="黑体" w:cs="SimHei"/>
          <w:sz w:val="28"/>
        </w:rPr>
        <w:t>元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乙等：</w:t>
      </w:r>
      <w:r>
        <w:rPr>
          <w:rFonts w:ascii="SimHei" w:hAnsi="SimHei" w:eastAsia="黑体" w:cs="SimHei"/>
          <w:sz w:val="28"/>
        </w:rPr>
        <w:t>1200</w:t>
      </w:r>
      <w:r>
        <w:rPr>
          <w:rFonts w:ascii="SimHei" w:hAnsi="SimHei" w:eastAsia="黑体" w:cs="SimHei"/>
          <w:sz w:val="28"/>
        </w:rPr>
        <w:t>元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丙等：</w:t>
      </w:r>
      <w:r>
        <w:rPr>
          <w:rFonts w:ascii="SimHei" w:hAnsi="SimHei" w:eastAsia="黑体" w:cs="SimHei"/>
          <w:sz w:val="28"/>
        </w:rPr>
        <w:t>1000</w:t>
      </w:r>
      <w:r>
        <w:rPr>
          <w:rFonts w:ascii="SimHei" w:hAnsi="SimHei" w:eastAsia="黑体" w:cs="SimHei"/>
          <w:sz w:val="28"/>
        </w:rPr>
        <w:t>元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2</w:t>
      </w:r>
      <w:r>
        <w:rPr>
          <w:rFonts w:ascii="SimHei" w:hAnsi="SimHei" w:eastAsia="黑体" w:cs="SimHei"/>
          <w:sz w:val="28"/>
        </w:rPr>
        <w:t>、发放奖金的目的是为了激励员工，各部门在分配奖金时应根据员工一年来的工作绩效、工作态度和工作技能等因素，来考虑员工奖金的分配；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/>
      </w:pPr>
      <w:r>
        <w:rPr>
          <w:rFonts w:ascii="SimHei" w:hAnsi="SimHei" w:eastAsia="黑体" w:cs="SimHei"/>
          <w:sz w:val="28"/>
        </w:rPr>
        <w:t>3</w:t>
      </w:r>
      <w:r>
        <w:rPr>
          <w:rFonts w:ascii="SimHei" w:hAnsi="SimHei" w:eastAsia="黑体" w:cs="SimHei"/>
          <w:sz w:val="28"/>
        </w:rPr>
        <w:t>、</w:t>
      </w:r>
      <w:r>
        <w:rPr>
          <w:rFonts w:ascii="SimHei" w:hAnsi="SimHei" w:eastAsia="黑体" w:cs="SimHei"/>
          <w:sz w:val="28"/>
        </w:rPr>
        <w:t>2016</w:t>
      </w:r>
      <w:r>
        <w:rPr>
          <w:rFonts w:ascii="SimHei" w:hAnsi="SimHei" w:eastAsia="黑体" w:cs="SimHei"/>
          <w:sz w:val="28"/>
        </w:rPr>
        <w:t>年年终奖金同</w:t>
      </w:r>
      <w:r>
        <w:rPr>
          <w:rFonts w:ascii="SimHei" w:hAnsi="SimHei" w:eastAsia="黑体" w:cs="SimHei"/>
          <w:sz w:val="28"/>
        </w:rPr>
        <w:t>1</w:t>
      </w:r>
      <w:r>
        <w:rPr>
          <w:rFonts w:ascii="SimHei" w:hAnsi="SimHei" w:eastAsia="黑体" w:cs="SimHei"/>
          <w:sz w:val="28"/>
        </w:rPr>
        <w:t>月份工资一同发放。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三、奖金分配说明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1</w:t>
      </w:r>
      <w:r>
        <w:rPr>
          <w:rFonts w:ascii="SimHei" w:hAnsi="SimHei" w:eastAsia="黑体" w:cs="SimHei"/>
          <w:sz w:val="28"/>
        </w:rPr>
        <w:t>、入职半年以上（不含半年）按</w:t>
      </w:r>
      <w:r>
        <w:rPr>
          <w:rFonts w:ascii="SimHei" w:hAnsi="SimHei" w:eastAsia="黑体" w:cs="SimHei"/>
          <w:sz w:val="28"/>
        </w:rPr>
        <w:t>1</w:t>
      </w:r>
      <w:r>
        <w:rPr>
          <w:rFonts w:ascii="SimHei" w:hAnsi="SimHei" w:eastAsia="黑体" w:cs="SimHei"/>
          <w:sz w:val="28"/>
        </w:rPr>
        <w:t>年计算；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2</w:t>
      </w:r>
      <w:r>
        <w:rPr>
          <w:rFonts w:ascii="SimHei" w:hAnsi="SimHei" w:eastAsia="黑体" w:cs="SimHei"/>
          <w:sz w:val="28"/>
        </w:rPr>
        <w:t>、入职三个月至半年（含半年）按半年计算；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3</w:t>
      </w:r>
      <w:r>
        <w:rPr>
          <w:rFonts w:ascii="SimHei" w:hAnsi="SimHei" w:eastAsia="黑体" w:cs="SimHei"/>
          <w:sz w:val="28"/>
        </w:rPr>
        <w:t>、入职不满三个月按实际出勤计算；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6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4</w:t>
      </w:r>
      <w:r>
        <w:rPr>
          <w:rFonts w:ascii="SimHei" w:hAnsi="SimHei" w:eastAsia="黑体" w:cs="SimHei"/>
          <w:sz w:val="28"/>
        </w:rPr>
        <w:t>、《非承包单位奖金分配一览表》</w:t>
      </w:r>
    </w:p>
    <w:tbl>
      <w:tblPr>
        <w:tblW w:w="920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7"/>
      </w:tblGrid>
      <w:tr>
        <w:trPr>
          <w:trHeight w:val="1213" w:hRule="atLeast"/>
        </w:trPr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说明：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right="28" w:firstLine="57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四、承包单位奖金分配原则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7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1</w:t>
      </w:r>
      <w:r>
        <w:rPr>
          <w:rFonts w:ascii="SimHei" w:hAnsi="SimHei" w:eastAsia="黑体" w:cs="SimHei"/>
          <w:sz w:val="28"/>
        </w:rPr>
        <w:t>、根据年终承包费的结余多少制订；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7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2</w:t>
      </w:r>
      <w:r>
        <w:rPr>
          <w:rFonts w:ascii="SimHei" w:hAnsi="SimHei" w:eastAsia="黑体" w:cs="SimHei"/>
          <w:sz w:val="28"/>
        </w:rPr>
        <w:t>、参照非承包单位的奖金金额，结余多的一般不超过非承包单位的二倍，余额可以在下一年滚动使用；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7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3</w:t>
      </w:r>
      <w:r>
        <w:rPr>
          <w:rFonts w:ascii="SimHei" w:hAnsi="SimHei" w:eastAsia="黑体" w:cs="SimHei"/>
          <w:sz w:val="28"/>
        </w:rPr>
        <w:t>、结算完须呈报集团审批后方可执行。</w:t>
      </w:r>
    </w:p>
    <w:p>
      <w:pPr>
        <w:pStyle w:val="Normal"/>
        <w:numPr>
          <w:ilvl w:val="0"/>
          <w:numId w:val="0"/>
        </w:numPr>
        <w:spacing w:lineRule="auto" w:line="360"/>
        <w:ind w:right="28" w:firstLine="570"/>
        <w:outlineLvl w:val="0"/>
        <w:rPr>
          <w:rFonts w:ascii="SimHei" w:hAnsi="SimHei" w:eastAsia="黑体" w:cs="SimHei"/>
          <w:sz w:val="28"/>
        </w:rPr>
      </w:pPr>
      <w:r>
        <w:rPr>
          <w:rFonts w:ascii="SimHei" w:hAnsi="SimHei" w:eastAsia="黑体" w:cs="SimHei"/>
          <w:sz w:val="28"/>
        </w:rPr>
        <w:t>五、请各部门在</w:t>
      </w:r>
      <w:r>
        <w:rPr>
          <w:rFonts w:ascii="SimHei" w:hAnsi="SimHei" w:eastAsia="黑体" w:cs="SimHei"/>
          <w:sz w:val="28"/>
          <w:szCs w:val="28"/>
        </w:rPr>
        <w:t>接到通知后，尽快完成奖金分配工作，于</w:t>
      </w:r>
      <w:r>
        <w:rPr>
          <w:rFonts w:ascii="SimHei" w:hAnsi="SimHei" w:eastAsia="黑体" w:cs="SimHei"/>
          <w:sz w:val="28"/>
          <w:szCs w:val="28"/>
        </w:rPr>
        <w:t>X</w:t>
      </w:r>
      <w:r>
        <w:rPr>
          <w:rFonts w:ascii="SimHei" w:hAnsi="SimHei" w:eastAsia="黑体" w:cs="SimHei"/>
          <w:sz w:val="28"/>
          <w:szCs w:val="28"/>
        </w:rPr>
        <w:t>月</w:t>
      </w:r>
      <w:r>
        <w:rPr>
          <w:rFonts w:ascii="SimHei" w:hAnsi="SimHei" w:eastAsia="黑体" w:cs="SimHei"/>
          <w:sz w:val="28"/>
          <w:szCs w:val="28"/>
        </w:rPr>
        <w:t>X</w:t>
      </w:r>
      <w:r>
        <w:rPr>
          <w:rFonts w:ascii="SimHei" w:hAnsi="SimHei" w:eastAsia="黑体" w:cs="SimHei"/>
          <w:sz w:val="28"/>
          <w:szCs w:val="28"/>
        </w:rPr>
        <w:t>日之前将《部门年终奖金分配表》交人力资源部。</w:t>
      </w:r>
    </w:p>
    <w:p>
      <w:pPr>
        <w:pStyle w:val="Normal"/>
        <w:numPr>
          <w:ilvl w:val="0"/>
          <w:numId w:val="0"/>
        </w:numPr>
        <w:spacing w:lineRule="auto" w:line="360"/>
        <w:ind w:right="28" w:hanging="0"/>
        <w:outlineLvl w:val="0"/>
        <w:rPr>
          <w:rFonts w:ascii="SimHei" w:hAnsi="SimHei" w:eastAsia="黑体" w:cs="SimHei"/>
          <w:sz w:val="28"/>
          <w:szCs w:val="21"/>
        </w:rPr>
      </w:pPr>
      <w:r>
        <w:rPr>
          <w:rFonts w:ascii="SimHei" w:hAnsi="SimHei" w:eastAsia="黑体" w:cs="SimHei"/>
          <w:sz w:val="28"/>
          <w:szCs w:val="21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 xml:space="preserve">    </w:t>
      </w:r>
      <w:r>
        <w:rPr>
          <w:rFonts w:ascii="SimHei" w:hAnsi="SimHei" w:eastAsia="黑体" w:cs="SimHei"/>
          <w:sz w:val="28"/>
          <w:szCs w:val="28"/>
        </w:rPr>
        <w:t>特此通知！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ind w:firstLine="4620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4620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449"/>
        <w:rPr>
          <w:rFonts w:ascii="SimHei" w:hAnsi="SimHei" w:eastAsia="黑体" w:cs="SimHei"/>
          <w:b/>
          <w:b/>
          <w:bCs/>
          <w:color w:val="000000"/>
          <w:sz w:val="28"/>
          <w:szCs w:val="28"/>
        </w:rPr>
      </w:pPr>
      <w:r>
        <w:rPr>
          <w:rFonts w:ascii="SimHei" w:hAnsi="SimHei" w:eastAsia="黑体" w:cs="SimHei"/>
          <w:b/>
          <w:bCs/>
          <w:color w:val="000000"/>
          <w:sz w:val="28"/>
          <w:szCs w:val="28"/>
        </w:rPr>
      </w:r>
    </w:p>
    <w:p>
      <w:pPr>
        <w:pStyle w:val="Normal"/>
        <w:ind w:left="4725" w:hanging="0"/>
        <w:jc w:val="center"/>
        <w:rPr/>
      </w:pPr>
      <w:r>
        <w:rPr>
          <w:rFonts w:ascii="SimHei" w:hAnsi="SimHei" w:eastAsia="黑体" w:cs="SimHei"/>
          <w:b/>
          <w:bCs/>
          <w:sz w:val="28"/>
          <w:szCs w:val="28"/>
        </w:rPr>
        <w:t>人力资源部</w:t>
      </w:r>
    </w:p>
    <w:p>
      <w:pPr>
        <w:pStyle w:val="Style11"/>
        <w:spacing w:lineRule="auto" w:line="360"/>
        <w:ind w:left="4725" w:hanging="0"/>
        <w:jc w:val="center"/>
        <w:rPr/>
      </w:pPr>
      <w:r>
        <w:rPr>
          <w:rFonts w:ascii="SimHei" w:hAnsi="SimHei" w:eastAsia="黑体" w:cs="SimHei"/>
          <w:b/>
          <w:bCs/>
          <w:sz w:val="28"/>
          <w:szCs w:val="28"/>
        </w:rPr>
        <w:t xml:space="preserve"> </w:t>
      </w:r>
      <w:r>
        <w:rPr>
          <w:rFonts w:ascii="SimHei" w:hAnsi="SimHei" w:eastAsia="黑体" w:cs="SimHei"/>
          <w:b/>
          <w:bCs/>
          <w:sz w:val="28"/>
          <w:szCs w:val="28"/>
        </w:rPr>
        <w:t>年  月  日</w:t>
      </w:r>
    </w:p>
    <w:p>
      <w:pPr>
        <w:pStyle w:val="Normal"/>
        <w:spacing w:lineRule="auto" w:line="360"/>
        <w:ind w:firstLine="105"/>
        <w:rPr>
          <w:rFonts w:ascii="SimHei" w:hAnsi="SimHei" w:eastAsia="黑体" w:cs="SimHei"/>
          <w:sz w:val="28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">
                <wp:simplePos x="0" y="0"/>
                <wp:positionH relativeFrom="column">
                  <wp:posOffset>66675</wp:posOffset>
                </wp:positionH>
                <wp:positionV relativeFrom="paragraph">
                  <wp:posOffset>635</wp:posOffset>
                </wp:positionV>
                <wp:extent cx="5487035" cy="6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25pt,0pt" to="437.2pt,0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eastAsia="黑体" w:cs="SimHei"/>
          <w:sz w:val="28"/>
        </w:rPr>
        <w:t>发：各单位</w:t>
      </w:r>
    </w:p>
    <w:p>
      <w:pPr>
        <w:pStyle w:val="Normal"/>
        <w:spacing w:lineRule="auto" w:line="360"/>
        <w:ind w:right="28" w:firstLine="100"/>
        <w:rPr>
          <w:rFonts w:ascii="SimHei" w:hAnsi="SimHei" w:eastAsia="黑体" w:cs="SimHei"/>
          <w:sz w:val="28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">
                <wp:simplePos x="0" y="0"/>
                <wp:positionH relativeFrom="column">
                  <wp:posOffset>66675</wp:posOffset>
                </wp:positionH>
                <wp:positionV relativeFrom="paragraph">
                  <wp:posOffset>635</wp:posOffset>
                </wp:positionV>
                <wp:extent cx="5487035" cy="6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25pt,0pt" to="437.2pt,0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eastAsia="黑体" w:cs="SimHei"/>
          <w:sz w:val="28"/>
        </w:rPr>
        <w:t>报：总经理、高层领导班子</w:t>
      </w:r>
    </w:p>
    <w:p>
      <w:pPr>
        <w:pStyle w:val="Normal"/>
        <w:spacing w:lineRule="auto" w:line="360"/>
        <w:ind w:right="28" w:firstLine="140"/>
        <w:rPr/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">
                <wp:simplePos x="0" y="0"/>
                <wp:positionH relativeFrom="column">
                  <wp:posOffset>66675</wp:posOffset>
                </wp:positionH>
                <wp:positionV relativeFrom="paragraph">
                  <wp:posOffset>635</wp:posOffset>
                </wp:positionV>
                <wp:extent cx="5487035" cy="6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25pt,0pt" to="437.2pt,0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6">
                <wp:simplePos x="0" y="0"/>
                <wp:positionH relativeFrom="column">
                  <wp:posOffset>66675</wp:posOffset>
                </wp:positionH>
                <wp:positionV relativeFrom="paragraph">
                  <wp:posOffset>345440</wp:posOffset>
                </wp:positionV>
                <wp:extent cx="5487035" cy="63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25pt,27.2pt" to="437.2pt,27.2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eastAsia="黑体" w:cs="SimHei"/>
          <w:sz w:val="28"/>
        </w:rPr>
        <w:t xml:space="preserve">呈：董事会、集团总经理 </w:t>
      </w:r>
    </w:p>
    <w:sectPr>
      <w:footerReference w:type="default" r:id="rId2"/>
      <w:type w:val="nextPage"/>
      <w:pgSz w:w="11906" w:h="16838"/>
      <w:pgMar w:left="1418" w:right="1418" w:header="0" w:top="1361" w:footer="851" w:bottom="1134" w:gutter="0"/>
      <w:pgNumType w:fmt="decimal"/>
      <w:formProt w:val="false"/>
      <w:textDirection w:val="lrTb"/>
      <w:docGrid w:type="linesAndChar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rStyle w:val="PageNumber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85"/>
        </w:tabs>
        <w:ind w:left="0" w:firstLine="425"/>
      </w:pPr>
      <w:rPr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color w:val="auto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936"/>
        </w:tabs>
        <w:ind w:left="936" w:hanging="369"/>
      </w:pPr>
      <w:rPr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</w:abstractNum>
  <w:abstractNum w:abstractNumId="4">
    <w:lvl w:ilvl="0">
      <w:start w:val="1"/>
      <w:numFmt w:val="decimal"/>
      <w:suff w:val="space"/>
      <w:lvlText w:val="A%1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1">
      <w:start w:val="1"/>
      <w:numFmt w:val="decimal"/>
      <w:suff w:val="space"/>
      <w:lvlText w:val="A%1.%2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2">
      <w:start w:val="1"/>
      <w:numFmt w:val="decimal"/>
      <w:suff w:val="space"/>
      <w:lvlText w:val="A%1.%2.%3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3">
      <w:start w:val="1"/>
      <w:numFmt w:val="decimal"/>
      <w:suff w:val="space"/>
      <w:lvlText w:val="A%1.%2.%3.%4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4">
      <w:start w:val="1"/>
      <w:numFmt w:val="decimal"/>
      <w:suff w:val="space"/>
      <w:lvlText w:val="A%1.%2.%3.%4.%5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  <w:ind w:left="0" w:hanging="0"/>
      </w:pPr>
      <w:rPr>
        <w:rFonts w:ascii="SimHei" w:hAnsi="SimHei" w:eastAsia="黑体" w:cs="SimHei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000000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0" w:hanging="0"/>
      </w:pPr>
      <w:rPr>
        <w:rFonts w:ascii="SimHei" w:hAnsi="SimHei" w:eastAsia="黑体" w:cs="SimHei"/>
      </w:rPr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36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1"/>
        <w:sz w:val="21"/>
        <w:spacing w:val="0"/>
        <w:i w:val="false"/>
        <w:shadow w:val="false"/>
        <w:u w:val="none"/>
        <w:b w:val="false"/>
        <w:kern w:val="2"/>
        <w:w w:val="100"/>
        <w:vanish w:val="false"/>
        <w:rFonts w:ascii="SimHei" w:hAnsi="SimHei" w:eastAsia="黑体" w:cs="SimHei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Style10"/>
    <w:next w:val="TextBody"/>
    <w:qFormat/>
    <w:pPr>
      <w:numPr>
        <w:ilvl w:val="1"/>
        <w:numId w:val="1"/>
      </w:numPr>
      <w:outlineLvl w:val="1"/>
    </w:pPr>
    <w:rPr>
      <w:sz w:val="21"/>
    </w:rPr>
  </w:style>
  <w:style w:type="paragraph" w:styleId="Heading6">
    <w:name w:val="Heading 6"/>
    <w:basedOn w:val="Normal"/>
    <w:next w:val="TextBody"/>
    <w:qFormat/>
    <w:pPr>
      <w:spacing w:lineRule="auto" w:line="300"/>
      <w:jc w:val="center"/>
      <w:outlineLvl w:val="5"/>
    </w:pPr>
    <w:rPr>
      <w:rFonts w:ascii="SimHei" w:hAnsi="SimHei" w:eastAsia="黑体" w:cs="SimHei"/>
      <w:kern w:val="0"/>
      <w:sz w:val="15"/>
      <w:szCs w:val="20"/>
      <w:lang w:val="en-US" w:eastAsia="en-US"/>
    </w:rPr>
  </w:style>
  <w:style w:type="paragraph" w:styleId="Heading8">
    <w:name w:val="Heading 8"/>
    <w:basedOn w:val="Style10"/>
    <w:next w:val="TextBody"/>
    <w:qFormat/>
    <w:pPr>
      <w:numPr>
        <w:ilvl w:val="0"/>
        <w:numId w:val="2"/>
      </w:numPr>
      <w:outlineLvl w:val="7"/>
    </w:pPr>
    <w:rPr>
      <w:sz w:val="21"/>
    </w:rPr>
  </w:style>
  <w:style w:type="paragraph" w:styleId="Heading9">
    <w:name w:val="Heading 9"/>
    <w:basedOn w:val="Normal"/>
    <w:next w:val="TextBody"/>
    <w:qFormat/>
    <w:pPr>
      <w:spacing w:lineRule="auto" w:line="300"/>
      <w:ind w:firstLine="425"/>
      <w:jc w:val="left"/>
      <w:outlineLvl w:val="8"/>
    </w:pPr>
    <w:rPr>
      <w:kern w:val="0"/>
      <w:szCs w:val="20"/>
    </w:rPr>
  </w:style>
  <w:style w:type="character" w:styleId="WW8Num1z0">
    <w:name w:val="WW8Num1z0"/>
    <w:qFormat/>
    <w:rPr>
      <w:b w:val="false"/>
      <w:i w:val="false"/>
      <w:strike w:val="false"/>
      <w:dstrike w:val="false"/>
      <w:outline w:val="false"/>
      <w:shadow w:val="false"/>
      <w:vanish w:val="false"/>
      <w:color w:val="auto"/>
      <w:spacing w:val="0"/>
      <w:w w:val="100"/>
      <w:kern w:val="2"/>
      <w:position w:val="0"/>
      <w:sz w:val="21"/>
      <w:sz w:val="21"/>
      <w:u w:val="none"/>
      <w:vertAlign w:val="baseline"/>
    </w:rPr>
  </w:style>
  <w:style w:type="character" w:styleId="WW8Num2z0">
    <w:name w:val="WW8Num2z0"/>
    <w:qFormat/>
    <w:rPr>
      <w:rFonts w:ascii="SimHei" w:hAnsi="SimHei" w:eastAsia="黑体" w:cs="SimHei"/>
      <w:b w:val="false"/>
      <w:i w:val="false"/>
      <w:strike w:val="false"/>
      <w:dstrike w:val="false"/>
      <w:outline w:val="false"/>
      <w:shadow w:val="false"/>
      <w:vanish w:val="false"/>
      <w:color w:val="000000"/>
      <w:spacing w:val="0"/>
      <w:w w:val="100"/>
      <w:kern w:val="2"/>
      <w:position w:val="0"/>
      <w:sz w:val="21"/>
      <w:sz w:val="21"/>
      <w:u w:val="none"/>
      <w:vertAlign w:val="baseli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imHei" w:hAnsi="SimHei" w:eastAsia="黑体" w:cs="SimHei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kern w:val="2"/>
      <w:position w:val="0"/>
      <w:sz w:val="21"/>
      <w:sz w:val="21"/>
      <w:u w:val="none"/>
      <w:vertAlign w:val="baseline"/>
    </w:rPr>
  </w:style>
  <w:style w:type="character" w:styleId="WW8Num3z6">
    <w:name w:val="WW8Num3z6"/>
    <w:qFormat/>
    <w:rPr>
      <w:rFonts w:ascii="SimHei" w:hAnsi="SimHei" w:eastAsia="黑体" w:cs="SimHei"/>
    </w:rPr>
  </w:style>
  <w:style w:type="character" w:styleId="WW8Num3z7">
    <w:name w:val="WW8Num3z7"/>
    <w:qFormat/>
    <w:rPr>
      <w:rFonts w:ascii="SimHei" w:hAnsi="SimHei" w:eastAsia="黑体" w:cs="SimHei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kern w:val="2"/>
      <w:position w:val="0"/>
      <w:sz w:val="24"/>
      <w:sz w:val="24"/>
      <w:u w:val="none"/>
      <w:vertAlign w:val="baseline"/>
    </w:rPr>
  </w:style>
  <w:style w:type="character" w:styleId="WW8Num4z0">
    <w:name w:val="WW8Num4z0"/>
    <w:qFormat/>
    <w:rPr>
      <w:b/>
    </w:rPr>
  </w:style>
  <w:style w:type="character" w:styleId="WW8Num5z0">
    <w:name w:val="WW8Num5z0"/>
    <w:qFormat/>
    <w:rPr>
      <w:rFonts w:ascii="SimHei" w:hAnsi="SimHei" w:eastAsia="黑体" w:cs="SimHei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color w:val="auto"/>
      <w:spacing w:val="0"/>
      <w:w w:val="100"/>
      <w:kern w:val="2"/>
      <w:position w:val="0"/>
      <w:sz w:val="21"/>
      <w:sz w:val="21"/>
      <w:u w:val="none"/>
      <w:vertAlign w:val="baseline"/>
    </w:rPr>
  </w:style>
  <w:style w:type="character" w:styleId="WW8Num5z3">
    <w:name w:val="WW8Num5z3"/>
    <w:qFormat/>
    <w:rPr/>
  </w:style>
  <w:style w:type="character" w:styleId="Style9">
    <w:name w:val="默认段落字体"/>
    <w:qFormat/>
    <w:rPr/>
  </w:style>
  <w:style w:type="character" w:styleId="PageNumber">
    <w:name w:val="Page Number"/>
    <w:basedOn w:val="Style9"/>
    <w:rPr/>
  </w:style>
  <w:style w:type="character" w:styleId="Char">
    <w:name w:val="页眉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/>
    <w:rPr>
      <w:sz w:val="18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0">
    <w:name w:val="基准行距"/>
    <w:qFormat/>
    <w:pPr>
      <w:widowControl w:val="false"/>
      <w:bidi w:val="0"/>
      <w:spacing w:lineRule="auto" w:line="300"/>
    </w:pPr>
    <w:rPr>
      <w:rFonts w:ascii="SimHei" w:hAnsi="SimHei" w:eastAsia="黑体" w:cs="SimHei"/>
      <w:color w:val="auto"/>
      <w:sz w:val="20"/>
      <w:szCs w:val="20"/>
      <w:lang w:val="en-US" w:eastAsia="en-US" w:bidi="ar-SA"/>
    </w:rPr>
  </w:style>
  <w:style w:type="paragraph" w:styleId="Style11">
    <w:name w:val="日期"/>
    <w:basedOn w:val="Normal"/>
    <w:next w:val="Normal"/>
    <w:qFormat/>
    <w:pPr>
      <w:spacing w:lineRule="auto" w:line="300"/>
      <w:ind w:firstLine="425"/>
      <w:jc w:val="left"/>
    </w:pPr>
    <w:rPr>
      <w:szCs w:val="20"/>
    </w:rPr>
  </w:style>
  <w:style w:type="paragraph" w:styleId="1">
    <w:name w:val="附录标题1"/>
    <w:basedOn w:val="Heading1"/>
    <w:next w:val="Normal"/>
    <w:qFormat/>
    <w:pPr>
      <w:keepNext w:val="false"/>
      <w:keepLines w:val="false"/>
      <w:numPr>
        <w:ilvl w:val="0"/>
        <w:numId w:val="4"/>
      </w:numPr>
      <w:spacing w:lineRule="auto" w:line="480" w:before="0" w:after="0"/>
      <w:jc w:val="left"/>
    </w:pPr>
    <w:rPr>
      <w:rFonts w:ascii="SimHei" w:hAnsi="SimHei" w:eastAsia="黑体" w:cs="SimHei"/>
      <w:b w:val="false"/>
      <w:bCs w:val="false"/>
      <w:kern w:val="2"/>
      <w:sz w:val="21"/>
      <w:szCs w:val="20"/>
      <w:lang w:val="en-US" w:eastAsia="en-US"/>
    </w:rPr>
  </w:style>
  <w:style w:type="paragraph" w:styleId="TextBodyIndent">
    <w:name w:val="Body Text Indent"/>
    <w:basedOn w:val="Normal"/>
    <w:pPr>
      <w:tabs>
        <w:tab w:val="clear" w:pos="420"/>
        <w:tab w:val="left" w:pos="1800" w:leader="none"/>
      </w:tabs>
      <w:spacing w:lineRule="exact" w:line="480"/>
      <w:ind w:firstLine="560"/>
    </w:pPr>
    <w:rPr>
      <w:rFonts w:ascii="SimHei" w:hAnsi="SimHei" w:eastAsia="黑体" w:cs="SimHei"/>
      <w:sz w:val="28"/>
    </w:rPr>
  </w:style>
  <w:style w:type="paragraph" w:styleId="Style12">
    <w:name w:val="正文标题"/>
    <w:next w:val="Normal"/>
    <w:qFormat/>
    <w:pPr>
      <w:widowControl/>
      <w:numPr>
        <w:ilvl w:val="0"/>
        <w:numId w:val="5"/>
      </w:numPr>
      <w:bidi w:val="0"/>
      <w:spacing w:lineRule="auto" w:line="480" w:before="40" w:after="0"/>
    </w:pPr>
    <w:rPr>
      <w:rFonts w:ascii="SimHei" w:hAnsi="SimHei" w:eastAsia="黑体" w:cs="SimHei"/>
      <w:color w:val="auto"/>
      <w:sz w:val="21"/>
      <w:szCs w:val="20"/>
      <w:lang w:val="en-US" w:eastAsia="en-US" w:bidi="ar-SA"/>
    </w:rPr>
  </w:style>
  <w:style w:type="paragraph" w:styleId="Style13">
    <w:name w:val="正文小项目"/>
    <w:basedOn w:val="Style10"/>
    <w:qFormat/>
    <w:pPr>
      <w:numPr>
        <w:ilvl w:val="0"/>
        <w:numId w:val="3"/>
      </w:numPr>
    </w:pPr>
    <w:rPr>
      <w:sz w:val="21"/>
    </w:rPr>
  </w:style>
  <w:style w:type="paragraph" w:styleId="Style14">
    <w:name w:val="正文页眉"/>
    <w:qFormat/>
    <w:pPr>
      <w:widowControl/>
      <w:bidi w:val="0"/>
      <w:jc w:val="center"/>
    </w:pPr>
    <w:rPr>
      <w:rFonts w:ascii="SimHei" w:hAnsi="SimHei" w:eastAsia="黑体" w:cs="SimHei"/>
      <w:color w:val="auto"/>
      <w:sz w:val="21"/>
      <w:szCs w:val="20"/>
      <w:lang w:val="en-US" w:eastAsia="en-US" w:bidi="ar-SA"/>
    </w:rPr>
  </w:style>
  <w:style w:type="paragraph" w:styleId="Style15">
    <w:name w:val="正文页码"/>
    <w:qFormat/>
    <w:pPr>
      <w:widowControl/>
      <w:bidi w:val="0"/>
      <w:ind w:left="170" w:hanging="0"/>
      <w:jc w:val="center"/>
    </w:pPr>
    <w:rPr>
      <w:rFonts w:ascii="SimHei" w:hAnsi="SimHei" w:eastAsia="黑体" w:cs="SimHei"/>
      <w:color w:val="auto"/>
      <w:sz w:val="18"/>
      <w:szCs w:val="20"/>
      <w:lang w:val="en-US" w:eastAsia="en-US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300"/>
      <w:ind w:firstLine="425"/>
      <w:jc w:val="left"/>
    </w:pPr>
    <w:rPr>
      <w:sz w:val="18"/>
      <w:szCs w:val="20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2011-01-11T09:36:00Z</dcterms:created>
  <dc:creator>yjl</dc:creator>
  <dc:description/>
  <cp:keywords> </cp:keywords>
  <dc:language>en-US</dc:language>
  <cp:lastModifiedBy>Client</cp:lastModifiedBy>
  <cp:lastPrinted>2009-07-27T17:23:00Z</cp:lastPrinted>
  <dcterms:modified xsi:type="dcterms:W3CDTF">2016-11-15T10:09:00Z</dcterms:modified>
  <cp:revision>4</cp:revision>
  <dc:subject/>
  <dc:title>附件1：</dc:title>
</cp:coreProperties>
</file>