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spacing w:lineRule="atLeast" w:line="360"/>
        <w:jc w:val="center"/>
        <w:rPr>
          <w:rFonts w:ascii="SimHei" w:hAnsi="SimHei" w:eastAsia="黑体" w:cs="SimHei"/>
          <w:color w:val="C00000"/>
          <w:spacing w:val="8"/>
          <w:sz w:val="48"/>
        </w:rPr>
      </w:pPr>
      <w:r>
        <w:rPr>
          <w:rFonts w:ascii="SimHei" w:hAnsi="SimHei" w:eastAsia="黑体" w:cs="SimHei"/>
          <w:color w:val="C00000"/>
          <w:spacing w:val="8"/>
          <w:sz w:val="48"/>
        </w:rPr>
        <w:t>一份非常完善的年终奖分配方案</w:t>
      </w:r>
    </w:p>
    <w:p>
      <w:pPr>
        <w:pStyle w:val="Normal"/>
        <w:rPr>
          <w:rFonts w:ascii="SimHei" w:hAnsi="SimHei" w:eastAsia="黑体" w:cs="SimHei"/>
          <w:color w:val="C00000"/>
          <w:spacing w:val="8"/>
          <w:sz w:val="22"/>
        </w:rPr>
      </w:pPr>
      <w:r>
        <w:rPr>
          <w:rFonts w:ascii="SimHei" w:hAnsi="SimHei" w:eastAsia="黑体" w:cs="SimHei"/>
          <w:color w:val="C00000"/>
          <w:spacing w:val="8"/>
          <w:sz w:val="22"/>
        </w:rPr>
      </w:r>
    </w:p>
    <w:p>
      <w:pPr>
        <w:pStyle w:val="Normal"/>
        <w:rPr>
          <w:sz w:val="22"/>
        </w:rPr>
      </w:pPr>
      <w:r>
        <w:rPr>
          <w:sz w:val="22"/>
        </w:rPr>
      </w:r>
    </w:p>
    <w:p>
      <w:pPr>
        <w:pStyle w:val="Heading2"/>
        <w:spacing w:lineRule="atLeast" w:line="360"/>
        <w:rPr>
          <w:rFonts w:ascii="SimHei" w:hAnsi="SimHei" w:eastAsia="黑体" w:cs="SimHei"/>
          <w:color w:val="000000"/>
          <w:spacing w:val="8"/>
          <w:sz w:val="40"/>
        </w:rPr>
      </w:pPr>
      <w:r>
        <w:rPr>
          <w:rFonts w:ascii="SimHei" w:hAnsi="SimHei" w:eastAsia="黑体" w:cs="SimHei"/>
          <w:color w:val="000000"/>
          <w:spacing w:val="8"/>
          <w:sz w:val="40"/>
        </w:rPr>
        <w:t>年终奖来由</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奖金对于员工来说是一种物质奖励。如果员工的绩效优良，工作成绩突出，为企业的发展做出了贡献，就应该给予奖励，一来是对员工努力的承认；二来激励员工继续努力工作，实现更佳的工作表现。 </w:t>
      </w:r>
    </w:p>
    <w:p>
      <w:pPr>
        <w:pStyle w:val="Heading2"/>
        <w:spacing w:lineRule="atLeast" w:line="360"/>
        <w:rPr>
          <w:rFonts w:ascii="SimHei" w:hAnsi="SimHei" w:eastAsia="黑体" w:cs="SimHei"/>
          <w:color w:val="000000"/>
          <w:spacing w:val="8"/>
          <w:sz w:val="40"/>
        </w:rPr>
      </w:pPr>
      <w:bookmarkStart w:id="0" w:name="3"/>
      <w:bookmarkEnd w:id="0"/>
      <w:r>
        <w:rPr>
          <w:rFonts w:ascii="SimHei" w:hAnsi="SimHei" w:eastAsia="黑体" w:cs="SimHei"/>
          <w:color w:val="000000"/>
          <w:spacing w:val="8"/>
          <w:sz w:val="40"/>
        </w:rPr>
        <w:t>年终奖形式</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年终奖在不同的单位有不同的发放形式，除了一般意义上的“红包”外，有的是股票分红，有的是“双薪”，有的是提成，有的是奖金上不封顶，有的还包括了旅游奖励、物质奖励等。 </w:t>
      </w:r>
    </w:p>
    <w:p>
      <w:pPr>
        <w:pStyle w:val="Heading2"/>
        <w:spacing w:lineRule="atLeast" w:line="360"/>
        <w:rPr>
          <w:rFonts w:ascii="SimHei" w:hAnsi="SimHei" w:eastAsia="黑体" w:cs="SimHei"/>
          <w:color w:val="000000"/>
          <w:spacing w:val="8"/>
          <w:sz w:val="40"/>
        </w:rPr>
      </w:pPr>
      <w:bookmarkStart w:id="1" w:name="4"/>
      <w:bookmarkEnd w:id="1"/>
      <w:r>
        <w:rPr>
          <w:rFonts w:ascii="SimHei" w:hAnsi="SimHei" w:eastAsia="黑体" w:cs="SimHei"/>
          <w:color w:val="000000"/>
          <w:spacing w:val="8"/>
          <w:sz w:val="40"/>
        </w:rPr>
        <w:t>年终奖分配方案</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概念解说</w:t>
      </w:r>
      <w:r>
        <w:rPr>
          <w:rFonts w:ascii="SimHei" w:hAnsi="SimHei" w:eastAsia="黑体" w:cs="SimHei"/>
          <w:color w:val="000000"/>
          <w:spacing w:val="8"/>
          <w:sz w:val="24"/>
          <w:szCs w:val="21"/>
        </w:rPr>
        <w:t>　</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一个财政年度结束时，为了考核员工的工作成绩，作为奖励、调迁、升降职的依据，公司往往对员工的总体情况进行评估，并据此发给年终奖，奖励员工在刚过去的一年中所取得的成绩。</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编写要点</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员工年终奖是最常用的一种奖励方式，绝大多数公司均没有年终奖奖项。员工年终奖分配方案通常又包括两大部分内容</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员工年终奖的考核；</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员工年终奖的发放。</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范文</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w:t>
      </w:r>
      <w:r>
        <w:rPr>
          <w:rFonts w:ascii="SimHei" w:hAnsi="SimHei" w:eastAsia="黑体" w:cs="SimHei"/>
          <w:color w:val="000000"/>
          <w:spacing w:val="8"/>
          <w:sz w:val="24"/>
          <w:szCs w:val="21"/>
        </w:rPr>
        <w:t>公司员工年终奖考核办法</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一、考核宗旨</w:t>
      </w:r>
      <w:r>
        <w:rPr>
          <w:rFonts w:ascii="SimHei" w:hAnsi="SimHei" w:eastAsia="黑体" w:cs="SimHei"/>
          <w:color w:val="000000"/>
          <w:spacing w:val="8"/>
          <w:sz w:val="24"/>
          <w:szCs w:val="21"/>
        </w:rPr>
        <w:t>　</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本办法以督促及改进工作为宗旨，目的是为了考核员工的工作成绩，作为奖惩、调迁、升职、退职等的依据，及了解并评估员工的工作精神与潜在能力以作为培训发展的参考。</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二、考核程序</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w:t>
      </w:r>
      <w:r>
        <w:rPr>
          <w:rFonts w:ascii="SimHei" w:hAnsi="SimHei" w:eastAsia="黑体" w:cs="SimHei"/>
          <w:color w:val="000000"/>
          <w:spacing w:val="8"/>
          <w:sz w:val="24"/>
          <w:szCs w:val="21"/>
        </w:rPr>
        <w:t>员工考绩每年定为一次，作为年终考绩；　</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w:t>
      </w:r>
      <w:r>
        <w:rPr>
          <w:rFonts w:ascii="SimHei" w:hAnsi="SimHei" w:eastAsia="黑体" w:cs="SimHei"/>
          <w:color w:val="000000"/>
          <w:spacing w:val="8"/>
          <w:sz w:val="24"/>
          <w:szCs w:val="21"/>
        </w:rPr>
        <w:t>农历春节休假前</w:t>
      </w:r>
      <w:r>
        <w:rPr>
          <w:rFonts w:ascii="SimHei" w:hAnsi="SimHei" w:eastAsia="黑体" w:cs="SimHei"/>
          <w:color w:val="000000"/>
          <w:spacing w:val="8"/>
          <w:sz w:val="24"/>
          <w:szCs w:val="21"/>
        </w:rPr>
        <w:t>15</w:t>
      </w:r>
      <w:r>
        <w:rPr>
          <w:rFonts w:ascii="SimHei" w:hAnsi="SimHei" w:eastAsia="黑体" w:cs="SimHei"/>
          <w:color w:val="000000"/>
          <w:spacing w:val="8"/>
          <w:sz w:val="24"/>
          <w:szCs w:val="21"/>
        </w:rPr>
        <w:t>日，由人力资源部分发考核表至各单位，各单位主管须于春节前</w:t>
      </w:r>
      <w:r>
        <w:rPr>
          <w:rFonts w:ascii="SimHei" w:hAnsi="SimHei" w:eastAsia="黑体" w:cs="SimHei"/>
          <w:color w:val="000000"/>
          <w:spacing w:val="8"/>
          <w:sz w:val="24"/>
          <w:szCs w:val="21"/>
        </w:rPr>
        <w:t>10</w:t>
      </w:r>
      <w:r>
        <w:rPr>
          <w:rFonts w:ascii="SimHei" w:hAnsi="SimHei" w:eastAsia="黑体" w:cs="SimHei"/>
          <w:color w:val="000000"/>
          <w:spacing w:val="8"/>
          <w:sz w:val="24"/>
          <w:szCs w:val="21"/>
        </w:rPr>
        <w:t>日初考核完毕，递交表册至总经理室汇整，再呈报总经理复核厦批示；</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w:t>
      </w:r>
      <w:r>
        <w:rPr>
          <w:rFonts w:ascii="SimHei" w:hAnsi="SimHei" w:eastAsia="黑体" w:cs="SimHei"/>
          <w:color w:val="000000"/>
          <w:spacing w:val="8"/>
          <w:sz w:val="24"/>
          <w:szCs w:val="21"/>
        </w:rPr>
        <w:t>各单位主管考绩由总经理初复核；</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4</w:t>
      </w:r>
      <w:r>
        <w:rPr>
          <w:rFonts w:ascii="SimHei" w:hAnsi="SimHei" w:eastAsia="黑体" w:cs="SimHei"/>
          <w:color w:val="000000"/>
          <w:spacing w:val="8"/>
          <w:sz w:val="24"/>
          <w:szCs w:val="21"/>
        </w:rPr>
        <w:t>、</w:t>
      </w:r>
      <w:r>
        <w:rPr>
          <w:rFonts w:ascii="SimHei" w:hAnsi="SimHei" w:eastAsia="黑体" w:cs="SimHei"/>
          <w:color w:val="000000"/>
          <w:spacing w:val="8"/>
          <w:sz w:val="24"/>
          <w:szCs w:val="21"/>
        </w:rPr>
        <w:t>春节前</w:t>
      </w:r>
      <w:r>
        <w:rPr>
          <w:rFonts w:ascii="SimHei" w:hAnsi="SimHei" w:eastAsia="黑体" w:cs="SimHei"/>
          <w:color w:val="000000"/>
          <w:spacing w:val="8"/>
          <w:sz w:val="24"/>
          <w:szCs w:val="21"/>
        </w:rPr>
        <w:t>6</w:t>
      </w:r>
      <w:r>
        <w:rPr>
          <w:rFonts w:ascii="SimHei" w:hAnsi="SimHei" w:eastAsia="黑体" w:cs="SimHei"/>
          <w:color w:val="000000"/>
          <w:spacing w:val="8"/>
          <w:sz w:val="24"/>
          <w:szCs w:val="21"/>
        </w:rPr>
        <w:t>日，总经理全部复核完毕，由人力资源部转发各单位、各人知悉；</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5</w:t>
      </w:r>
      <w:r>
        <w:rPr>
          <w:rFonts w:ascii="SimHei" w:hAnsi="SimHei" w:eastAsia="黑体" w:cs="SimHei"/>
          <w:color w:val="000000"/>
          <w:spacing w:val="8"/>
          <w:sz w:val="24"/>
          <w:szCs w:val="21"/>
        </w:rPr>
        <w:t>、</w:t>
      </w:r>
      <w:r>
        <w:rPr>
          <w:rFonts w:ascii="SimHei" w:hAnsi="SimHei" w:eastAsia="黑体" w:cs="SimHei"/>
          <w:color w:val="000000"/>
          <w:spacing w:val="8"/>
          <w:sz w:val="24"/>
          <w:szCs w:val="21"/>
        </w:rPr>
        <w:t>年度考绩事宜由总经理室督导，人力资源部执行，各部门配合。</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三、绩效分等</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年度考绩分为四等：</w:t>
      </w:r>
      <w:r>
        <w:rPr>
          <w:rFonts w:ascii="SimHei" w:hAnsi="SimHei" w:eastAsia="黑体" w:cs="SimHei"/>
          <w:color w:val="000000"/>
          <w:spacing w:val="8"/>
          <w:sz w:val="24"/>
          <w:szCs w:val="21"/>
        </w:rPr>
        <w:t>90</w:t>
      </w:r>
      <w:r>
        <w:rPr>
          <w:rFonts w:ascii="SimHei" w:hAnsi="SimHei" w:eastAsia="黑体" w:cs="SimHei"/>
          <w:color w:val="000000"/>
          <w:spacing w:val="8"/>
          <w:sz w:val="24"/>
          <w:szCs w:val="21"/>
        </w:rPr>
        <w:t>分以上为特等；</w:t>
      </w:r>
      <w:r>
        <w:rPr>
          <w:rFonts w:ascii="SimHei" w:hAnsi="SimHei" w:eastAsia="黑体" w:cs="SimHei"/>
          <w:color w:val="000000"/>
          <w:spacing w:val="8"/>
          <w:sz w:val="24"/>
          <w:szCs w:val="21"/>
        </w:rPr>
        <w:t>80</w:t>
      </w:r>
      <w:r>
        <w:rPr>
          <w:rFonts w:ascii="SimHei" w:hAnsi="SimHei" w:eastAsia="黑体" w:cs="SimHei"/>
          <w:color w:val="000000"/>
          <w:spacing w:val="8"/>
          <w:sz w:val="24"/>
          <w:szCs w:val="21"/>
        </w:rPr>
        <w:t>至</w:t>
      </w:r>
      <w:r>
        <w:rPr>
          <w:rFonts w:ascii="SimHei" w:hAnsi="SimHei" w:eastAsia="黑体" w:cs="SimHei"/>
          <w:color w:val="000000"/>
          <w:spacing w:val="8"/>
          <w:sz w:val="24"/>
          <w:szCs w:val="21"/>
        </w:rPr>
        <w:t>89</w:t>
      </w:r>
      <w:r>
        <w:rPr>
          <w:rFonts w:ascii="SimHei" w:hAnsi="SimHei" w:eastAsia="黑体" w:cs="SimHei"/>
          <w:color w:val="000000"/>
          <w:spacing w:val="8"/>
          <w:sz w:val="24"/>
          <w:szCs w:val="21"/>
        </w:rPr>
        <w:t>分为甲等；</w:t>
      </w:r>
      <w:r>
        <w:rPr>
          <w:rFonts w:ascii="SimHei" w:hAnsi="SimHei" w:eastAsia="黑体" w:cs="SimHei"/>
          <w:color w:val="000000"/>
          <w:spacing w:val="8"/>
          <w:sz w:val="24"/>
          <w:szCs w:val="21"/>
        </w:rPr>
        <w:t>76</w:t>
      </w:r>
      <w:r>
        <w:rPr>
          <w:rFonts w:ascii="SimHei" w:hAnsi="SimHei" w:eastAsia="黑体" w:cs="SimHei"/>
          <w:color w:val="000000"/>
          <w:spacing w:val="8"/>
          <w:sz w:val="24"/>
          <w:szCs w:val="21"/>
        </w:rPr>
        <w:t>至</w:t>
      </w:r>
      <w:r>
        <w:rPr>
          <w:rFonts w:ascii="SimHei" w:hAnsi="SimHei" w:eastAsia="黑体" w:cs="SimHei"/>
          <w:color w:val="000000"/>
          <w:spacing w:val="8"/>
          <w:sz w:val="24"/>
          <w:szCs w:val="21"/>
        </w:rPr>
        <w:t>79</w:t>
      </w:r>
      <w:r>
        <w:rPr>
          <w:rFonts w:ascii="SimHei" w:hAnsi="SimHei" w:eastAsia="黑体" w:cs="SimHei"/>
          <w:color w:val="000000"/>
          <w:spacing w:val="8"/>
          <w:sz w:val="24"/>
          <w:szCs w:val="21"/>
        </w:rPr>
        <w:t>分为乙等；</w:t>
      </w:r>
      <w:r>
        <w:rPr>
          <w:rFonts w:ascii="SimHei" w:hAnsi="SimHei" w:eastAsia="黑体" w:cs="SimHei"/>
          <w:color w:val="000000"/>
          <w:spacing w:val="8"/>
          <w:sz w:val="24"/>
          <w:szCs w:val="21"/>
        </w:rPr>
        <w:t>70</w:t>
      </w:r>
      <w:r>
        <w:rPr>
          <w:rFonts w:ascii="SimHei" w:hAnsi="SimHei" w:eastAsia="黑体" w:cs="SimHei"/>
          <w:color w:val="000000"/>
          <w:spacing w:val="8"/>
          <w:sz w:val="24"/>
          <w:szCs w:val="21"/>
        </w:rPr>
        <w:t>至</w:t>
      </w:r>
      <w:r>
        <w:rPr>
          <w:rFonts w:ascii="SimHei" w:hAnsi="SimHei" w:eastAsia="黑体" w:cs="SimHei"/>
          <w:color w:val="000000"/>
          <w:spacing w:val="8"/>
          <w:sz w:val="24"/>
          <w:szCs w:val="21"/>
        </w:rPr>
        <w:t>75</w:t>
      </w:r>
      <w:r>
        <w:rPr>
          <w:rFonts w:ascii="SimHei" w:hAnsi="SimHei" w:eastAsia="黑体" w:cs="SimHei"/>
          <w:color w:val="000000"/>
          <w:spacing w:val="8"/>
          <w:sz w:val="24"/>
          <w:szCs w:val="21"/>
        </w:rPr>
        <w:t>分为丙等。</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注：考绩分数一律为整数。</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四、考核限制</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w:t>
      </w:r>
      <w:r>
        <w:rPr>
          <w:rFonts w:ascii="SimHei" w:hAnsi="SimHei" w:eastAsia="黑体" w:cs="SimHei"/>
          <w:color w:val="000000"/>
          <w:spacing w:val="8"/>
          <w:sz w:val="24"/>
          <w:szCs w:val="21"/>
        </w:rPr>
        <w:t>员工及经理在年度内有下列情况之一者，其考绩不得列为特等。</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在考绩年度内曾受任何一种惩戒处分未予撤销者；</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迟到早退垒年累计达</w:t>
      </w:r>
      <w:r>
        <w:rPr>
          <w:rFonts w:ascii="SimHei" w:hAnsi="SimHei" w:eastAsia="黑体" w:cs="SimHei"/>
          <w:color w:val="000000"/>
          <w:spacing w:val="8"/>
          <w:sz w:val="24"/>
          <w:szCs w:val="21"/>
        </w:rPr>
        <w:t>13</w:t>
      </w:r>
      <w:r>
        <w:rPr>
          <w:rFonts w:ascii="SimHei" w:hAnsi="SimHei" w:eastAsia="黑体" w:cs="SimHei"/>
          <w:color w:val="000000"/>
          <w:spacing w:val="8"/>
          <w:sz w:val="24"/>
          <w:szCs w:val="21"/>
        </w:rPr>
        <w:t>次以上</w:t>
      </w:r>
      <w:r>
        <w:rPr>
          <w:rFonts w:ascii="SimHei" w:hAnsi="SimHei" w:eastAsia="黑体" w:cs="SimHei"/>
          <w:color w:val="000000"/>
          <w:spacing w:val="8"/>
          <w:sz w:val="24"/>
          <w:szCs w:val="21"/>
        </w:rPr>
        <w:t>(</w:t>
      </w:r>
      <w:r>
        <w:rPr>
          <w:rFonts w:ascii="SimHei" w:hAnsi="SimHei" w:eastAsia="黑体" w:cs="SimHei"/>
          <w:color w:val="000000"/>
          <w:spacing w:val="8"/>
          <w:sz w:val="24"/>
          <w:szCs w:val="21"/>
        </w:rPr>
        <w:t>含</w:t>
      </w:r>
      <w:r>
        <w:rPr>
          <w:rFonts w:ascii="SimHei" w:hAnsi="SimHei" w:eastAsia="黑体" w:cs="SimHei"/>
          <w:color w:val="000000"/>
          <w:spacing w:val="8"/>
          <w:sz w:val="24"/>
          <w:szCs w:val="21"/>
        </w:rPr>
        <w:t>)</w:t>
      </w:r>
      <w:r>
        <w:rPr>
          <w:rFonts w:ascii="SimHei" w:hAnsi="SimHei" w:eastAsia="黑体" w:cs="SimHei"/>
          <w:color w:val="000000"/>
          <w:spacing w:val="8"/>
          <w:sz w:val="24"/>
          <w:szCs w:val="21"/>
        </w:rPr>
        <w:t>者；</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旷工奎年选</w:t>
      </w:r>
      <w:r>
        <w:rPr>
          <w:rFonts w:ascii="SimHei" w:hAnsi="SimHei" w:eastAsia="黑体" w:cs="SimHei"/>
          <w:color w:val="000000"/>
          <w:spacing w:val="8"/>
          <w:sz w:val="24"/>
          <w:szCs w:val="21"/>
        </w:rPr>
        <w:t>1</w:t>
      </w:r>
      <w:r>
        <w:rPr>
          <w:rFonts w:ascii="SimHei" w:hAnsi="SimHei" w:eastAsia="黑体" w:cs="SimHei"/>
          <w:color w:val="000000"/>
          <w:spacing w:val="8"/>
          <w:sz w:val="24"/>
          <w:szCs w:val="21"/>
        </w:rPr>
        <w:t>日以上</w:t>
      </w:r>
      <w:r>
        <w:rPr>
          <w:rFonts w:ascii="SimHei" w:hAnsi="SimHei" w:eastAsia="黑体" w:cs="SimHei"/>
          <w:color w:val="000000"/>
          <w:spacing w:val="8"/>
          <w:sz w:val="24"/>
          <w:szCs w:val="21"/>
        </w:rPr>
        <w:t>(</w:t>
      </w:r>
      <w:r>
        <w:rPr>
          <w:rFonts w:ascii="SimHei" w:hAnsi="SimHei" w:eastAsia="黑体" w:cs="SimHei"/>
          <w:color w:val="000000"/>
          <w:spacing w:val="8"/>
          <w:sz w:val="24"/>
          <w:szCs w:val="21"/>
        </w:rPr>
        <w:t>不合</w:t>
      </w:r>
      <w:r>
        <w:rPr>
          <w:rFonts w:ascii="SimHei" w:hAnsi="SimHei" w:eastAsia="黑体" w:cs="SimHei"/>
          <w:color w:val="000000"/>
          <w:spacing w:val="8"/>
          <w:sz w:val="24"/>
          <w:szCs w:val="21"/>
        </w:rPr>
        <w:t>)</w:t>
      </w:r>
      <w:r>
        <w:rPr>
          <w:rFonts w:ascii="SimHei" w:hAnsi="SimHei" w:eastAsia="黑体" w:cs="SimHei"/>
          <w:color w:val="000000"/>
          <w:spacing w:val="8"/>
          <w:sz w:val="24"/>
          <w:szCs w:val="21"/>
        </w:rPr>
        <w:t>者。</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w:t>
      </w:r>
      <w:r>
        <w:rPr>
          <w:rFonts w:ascii="SimHei" w:hAnsi="SimHei" w:eastAsia="黑体" w:cs="SimHei"/>
          <w:color w:val="000000"/>
          <w:spacing w:val="8"/>
          <w:sz w:val="24"/>
          <w:szCs w:val="21"/>
        </w:rPr>
        <w:t>于年度内有下列情况之一者，其考绩不得列为甲等。</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曾受记过以上处分未予撤销者；</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迟到早退垒年累计达</w:t>
      </w:r>
      <w:r>
        <w:rPr>
          <w:rFonts w:ascii="SimHei" w:hAnsi="SimHei" w:eastAsia="黑体" w:cs="SimHei"/>
          <w:color w:val="000000"/>
          <w:spacing w:val="8"/>
          <w:sz w:val="24"/>
          <w:szCs w:val="21"/>
        </w:rPr>
        <w:t>20</w:t>
      </w:r>
      <w:r>
        <w:rPr>
          <w:rFonts w:ascii="SimHei" w:hAnsi="SimHei" w:eastAsia="黑体" w:cs="SimHei"/>
          <w:color w:val="000000"/>
          <w:spacing w:val="8"/>
          <w:sz w:val="24"/>
          <w:szCs w:val="21"/>
        </w:rPr>
        <w:t>次以上</w:t>
      </w:r>
      <w:r>
        <w:rPr>
          <w:rFonts w:ascii="SimHei" w:hAnsi="SimHei" w:eastAsia="黑体" w:cs="SimHei"/>
          <w:color w:val="000000"/>
          <w:spacing w:val="8"/>
          <w:sz w:val="24"/>
          <w:szCs w:val="21"/>
        </w:rPr>
        <w:t>(</w:t>
      </w:r>
      <w:r>
        <w:rPr>
          <w:rFonts w:ascii="SimHei" w:hAnsi="SimHei" w:eastAsia="黑体" w:cs="SimHei"/>
          <w:color w:val="000000"/>
          <w:spacing w:val="8"/>
          <w:sz w:val="24"/>
          <w:szCs w:val="21"/>
        </w:rPr>
        <w:t>含</w:t>
      </w:r>
      <w:r>
        <w:rPr>
          <w:rFonts w:ascii="SimHei" w:hAnsi="SimHei" w:eastAsia="黑体" w:cs="SimHei"/>
          <w:color w:val="000000"/>
          <w:spacing w:val="8"/>
          <w:sz w:val="24"/>
          <w:szCs w:val="21"/>
        </w:rPr>
        <w:t>)</w:t>
      </w:r>
      <w:r>
        <w:rPr>
          <w:rFonts w:ascii="SimHei" w:hAnsi="SimHei" w:eastAsia="黑体" w:cs="SimHei"/>
          <w:color w:val="000000"/>
          <w:spacing w:val="8"/>
          <w:sz w:val="24"/>
          <w:szCs w:val="21"/>
        </w:rPr>
        <w:t>者；</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旷工奎年选</w:t>
      </w:r>
      <w:r>
        <w:rPr>
          <w:rFonts w:ascii="SimHei" w:hAnsi="SimHei" w:eastAsia="黑体" w:cs="SimHei"/>
          <w:color w:val="000000"/>
          <w:spacing w:val="8"/>
          <w:sz w:val="24"/>
          <w:szCs w:val="21"/>
        </w:rPr>
        <w:t>2</w:t>
      </w:r>
      <w:r>
        <w:rPr>
          <w:rFonts w:ascii="SimHei" w:hAnsi="SimHei" w:eastAsia="黑体" w:cs="SimHei"/>
          <w:color w:val="000000"/>
          <w:spacing w:val="8"/>
          <w:sz w:val="24"/>
          <w:szCs w:val="21"/>
        </w:rPr>
        <w:t>日以上</w:t>
      </w:r>
      <w:r>
        <w:rPr>
          <w:rFonts w:ascii="SimHei" w:hAnsi="SimHei" w:eastAsia="黑体" w:cs="SimHei"/>
          <w:color w:val="000000"/>
          <w:spacing w:val="8"/>
          <w:sz w:val="24"/>
          <w:szCs w:val="21"/>
        </w:rPr>
        <w:t>(</w:t>
      </w:r>
      <w:r>
        <w:rPr>
          <w:rFonts w:ascii="SimHei" w:hAnsi="SimHei" w:eastAsia="黑体" w:cs="SimHei"/>
          <w:color w:val="000000"/>
          <w:spacing w:val="8"/>
          <w:sz w:val="24"/>
          <w:szCs w:val="21"/>
        </w:rPr>
        <w:t>不合</w:t>
      </w:r>
      <w:r>
        <w:rPr>
          <w:rFonts w:ascii="SimHei" w:hAnsi="SimHei" w:eastAsia="黑体" w:cs="SimHei"/>
          <w:color w:val="000000"/>
          <w:spacing w:val="8"/>
          <w:sz w:val="24"/>
          <w:szCs w:val="21"/>
        </w:rPr>
        <w:t>)</w:t>
      </w:r>
      <w:r>
        <w:rPr>
          <w:rFonts w:ascii="SimHei" w:hAnsi="SimHei" w:eastAsia="黑体" w:cs="SimHei"/>
          <w:color w:val="000000"/>
          <w:spacing w:val="8"/>
          <w:sz w:val="24"/>
          <w:szCs w:val="21"/>
        </w:rPr>
        <w:t>者。</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(4)</w:t>
      </w:r>
      <w:r>
        <w:rPr>
          <w:rFonts w:ascii="SimHei" w:hAnsi="SimHei" w:eastAsia="黑体" w:cs="SimHei"/>
          <w:color w:val="000000"/>
          <w:spacing w:val="8"/>
          <w:sz w:val="24"/>
          <w:szCs w:val="21"/>
        </w:rPr>
        <w:t>人数限制：</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①</w:t>
      </w:r>
      <w:r>
        <w:rPr>
          <w:rFonts w:ascii="SimHei" w:hAnsi="SimHei" w:eastAsia="黑体" w:cs="SimHei"/>
          <w:color w:val="000000"/>
          <w:spacing w:val="8"/>
          <w:sz w:val="24"/>
          <w:szCs w:val="21"/>
        </w:rPr>
        <w:t>特等：</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人数为</w:t>
      </w:r>
      <w:r>
        <w:rPr>
          <w:rFonts w:ascii="SimHei" w:hAnsi="SimHei" w:eastAsia="黑体" w:cs="SimHei"/>
          <w:color w:val="000000"/>
          <w:spacing w:val="8"/>
          <w:sz w:val="24"/>
          <w:szCs w:val="21"/>
        </w:rPr>
        <w:t>5</w:t>
      </w:r>
      <w:r>
        <w:rPr>
          <w:rFonts w:ascii="SimHei" w:hAnsi="SimHei" w:eastAsia="黑体" w:cs="SimHei"/>
          <w:color w:val="000000"/>
          <w:spacing w:val="8"/>
          <w:sz w:val="24"/>
          <w:szCs w:val="21"/>
        </w:rPr>
        <w:t>人以下的单位，特等考绩人数最高限为</w:t>
      </w:r>
      <w:r>
        <w:rPr>
          <w:rFonts w:ascii="SimHei" w:hAnsi="SimHei" w:eastAsia="黑体" w:cs="SimHei"/>
          <w:color w:val="000000"/>
          <w:spacing w:val="8"/>
          <w:sz w:val="24"/>
          <w:szCs w:val="21"/>
        </w:rPr>
        <w:t>1</w:t>
      </w:r>
      <w:r>
        <w:rPr>
          <w:rFonts w:ascii="SimHei" w:hAnsi="SimHei" w:eastAsia="黑体" w:cs="SimHei"/>
          <w:color w:val="000000"/>
          <w:spacing w:val="8"/>
          <w:sz w:val="24"/>
          <w:szCs w:val="21"/>
        </w:rPr>
        <w:t>人。</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人数</w:t>
      </w:r>
      <w:r>
        <w:rPr>
          <w:rFonts w:ascii="SimHei" w:hAnsi="SimHei" w:eastAsia="黑体" w:cs="SimHei"/>
          <w:color w:val="000000"/>
          <w:spacing w:val="8"/>
          <w:sz w:val="24"/>
          <w:szCs w:val="21"/>
        </w:rPr>
        <w:t>5</w:t>
      </w:r>
      <w:r>
        <w:rPr>
          <w:rFonts w:ascii="SimHei" w:hAnsi="SimHei" w:eastAsia="黑体" w:cs="SimHei"/>
          <w:color w:val="000000"/>
          <w:spacing w:val="8"/>
          <w:sz w:val="24"/>
          <w:szCs w:val="21"/>
        </w:rPr>
        <w:t>人以上的单位</w:t>
      </w:r>
      <w:r>
        <w:rPr>
          <w:rFonts w:ascii="SimHei" w:hAnsi="SimHei" w:eastAsia="黑体" w:cs="SimHei"/>
          <w:color w:val="000000"/>
          <w:spacing w:val="8"/>
          <w:sz w:val="24"/>
          <w:szCs w:val="21"/>
        </w:rPr>
        <w:t>(</w:t>
      </w:r>
      <w:r>
        <w:rPr>
          <w:rFonts w:ascii="SimHei" w:hAnsi="SimHei" w:eastAsia="黑体" w:cs="SimHei"/>
          <w:color w:val="000000"/>
          <w:spacing w:val="8"/>
          <w:sz w:val="24"/>
          <w:szCs w:val="21"/>
        </w:rPr>
        <w:t>不舍</w:t>
      </w:r>
      <w:r>
        <w:rPr>
          <w:rFonts w:ascii="SimHei" w:hAnsi="SimHei" w:eastAsia="黑体" w:cs="SimHei"/>
          <w:color w:val="000000"/>
          <w:spacing w:val="8"/>
          <w:sz w:val="24"/>
          <w:szCs w:val="21"/>
        </w:rPr>
        <w:t>)</w:t>
      </w:r>
      <w:r>
        <w:rPr>
          <w:rFonts w:ascii="SimHei" w:hAnsi="SimHei" w:eastAsia="黑体" w:cs="SimHei"/>
          <w:color w:val="000000"/>
          <w:spacing w:val="8"/>
          <w:sz w:val="24"/>
          <w:szCs w:val="21"/>
        </w:rPr>
        <w:t>，特等考绩人数最高限为</w:t>
      </w:r>
      <w:r>
        <w:rPr>
          <w:rFonts w:ascii="SimHei" w:hAnsi="SimHei" w:eastAsia="黑体" w:cs="SimHei"/>
          <w:color w:val="000000"/>
          <w:spacing w:val="8"/>
          <w:sz w:val="24"/>
          <w:szCs w:val="21"/>
        </w:rPr>
        <w:t>2</w:t>
      </w:r>
      <w:r>
        <w:rPr>
          <w:rFonts w:ascii="SimHei" w:hAnsi="SimHei" w:eastAsia="黑体" w:cs="SimHei"/>
          <w:color w:val="000000"/>
          <w:spacing w:val="8"/>
          <w:sz w:val="24"/>
          <w:szCs w:val="21"/>
        </w:rPr>
        <w:t>人。初核为特等考绩者，该部门经理须另呈“特等考绩报告书”呈予总经理。</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②</w:t>
      </w:r>
      <w:r>
        <w:rPr>
          <w:rFonts w:ascii="SimHei" w:hAnsi="SimHei" w:eastAsia="黑体" w:cs="SimHei"/>
          <w:color w:val="000000"/>
          <w:spacing w:val="8"/>
          <w:sz w:val="24"/>
          <w:szCs w:val="21"/>
        </w:rPr>
        <w:t>各部门考缋平均总分数不得逾越</w:t>
      </w:r>
      <w:r>
        <w:rPr>
          <w:rFonts w:ascii="SimHei" w:hAnsi="SimHei" w:eastAsia="黑体" w:cs="SimHei"/>
          <w:color w:val="000000"/>
          <w:spacing w:val="8"/>
          <w:sz w:val="24"/>
          <w:szCs w:val="21"/>
        </w:rPr>
        <w:t>80</w:t>
      </w:r>
      <w:r>
        <w:rPr>
          <w:rFonts w:ascii="SimHei" w:hAnsi="SimHei" w:eastAsia="黑体" w:cs="SimHei"/>
          <w:color w:val="000000"/>
          <w:spacing w:val="8"/>
          <w:sz w:val="24"/>
          <w:szCs w:val="21"/>
        </w:rPr>
        <w:t>分</w:t>
      </w:r>
      <w:r>
        <w:rPr>
          <w:rFonts w:ascii="SimHei" w:hAnsi="SimHei" w:eastAsia="黑体" w:cs="SimHei"/>
          <w:color w:val="000000"/>
          <w:spacing w:val="8"/>
          <w:sz w:val="24"/>
          <w:szCs w:val="21"/>
        </w:rPr>
        <w:t>(</w:t>
      </w:r>
      <w:r>
        <w:rPr>
          <w:rFonts w:ascii="SimHei" w:hAnsi="SimHei" w:eastAsia="黑体" w:cs="SimHei"/>
          <w:color w:val="000000"/>
          <w:spacing w:val="8"/>
          <w:sz w:val="24"/>
          <w:szCs w:val="21"/>
        </w:rPr>
        <w:t>示例：某单位</w:t>
      </w:r>
      <w:r>
        <w:rPr>
          <w:rFonts w:ascii="SimHei" w:hAnsi="SimHei" w:eastAsia="黑体" w:cs="SimHei"/>
          <w:color w:val="000000"/>
          <w:spacing w:val="8"/>
          <w:sz w:val="24"/>
          <w:szCs w:val="21"/>
        </w:rPr>
        <w:t>8</w:t>
      </w:r>
      <w:r>
        <w:rPr>
          <w:rFonts w:ascii="SimHei" w:hAnsi="SimHei" w:eastAsia="黑体" w:cs="SimHei"/>
          <w:color w:val="000000"/>
          <w:spacing w:val="8"/>
          <w:sz w:val="24"/>
          <w:szCs w:val="21"/>
        </w:rPr>
        <w:t>人，则总分数不得超过</w:t>
      </w:r>
      <w:r>
        <w:rPr>
          <w:rFonts w:ascii="SimHei" w:hAnsi="SimHei" w:eastAsia="黑体" w:cs="SimHei"/>
          <w:color w:val="000000"/>
          <w:spacing w:val="8"/>
          <w:sz w:val="24"/>
          <w:szCs w:val="21"/>
        </w:rPr>
        <w:t>8×80=640</w:t>
      </w:r>
      <w:r>
        <w:rPr>
          <w:rFonts w:ascii="SimHei" w:hAnsi="SimHei" w:eastAsia="黑体" w:cs="SimHei"/>
          <w:color w:val="000000"/>
          <w:spacing w:val="8"/>
          <w:sz w:val="24"/>
          <w:szCs w:val="21"/>
        </w:rPr>
        <w:t>分。</w:t>
      </w:r>
      <w:r>
        <w:rPr>
          <w:rFonts w:ascii="SimHei" w:hAnsi="SimHei" w:eastAsia="黑体" w:cs="SimHei"/>
          <w:color w:val="000000"/>
          <w:spacing w:val="8"/>
          <w:sz w:val="24"/>
          <w:szCs w:val="21"/>
        </w:rPr>
        <w:t>)</w:t>
      </w:r>
      <w:r>
        <w:rPr>
          <w:rFonts w:ascii="SimHei" w:hAnsi="SimHei" w:eastAsia="黑体" w:cs="SimHei"/>
          <w:color w:val="000000"/>
          <w:spacing w:val="8"/>
          <w:sz w:val="24"/>
          <w:szCs w:val="21"/>
        </w:rPr>
        <w:t>但如果该部门经理认为该部门表现极佳，得簦呈总经理棱示，核准者为例外处理，但总分数仍不得超越</w:t>
      </w:r>
      <w:r>
        <w:rPr>
          <w:rFonts w:ascii="SimHei" w:hAnsi="SimHei" w:eastAsia="黑体" w:cs="SimHei"/>
          <w:color w:val="000000"/>
          <w:spacing w:val="8"/>
          <w:sz w:val="24"/>
          <w:szCs w:val="21"/>
        </w:rPr>
        <w:t>85</w:t>
      </w:r>
      <w:r>
        <w:rPr>
          <w:rFonts w:ascii="SimHei" w:hAnsi="SimHei" w:eastAsia="黑体" w:cs="SimHei"/>
          <w:color w:val="000000"/>
          <w:spacing w:val="8"/>
          <w:sz w:val="24"/>
          <w:szCs w:val="21"/>
        </w:rPr>
        <w:t>分</w:t>
      </w:r>
      <w:r>
        <w:rPr>
          <w:rFonts w:ascii="SimHei" w:hAnsi="SimHei" w:eastAsia="黑体" w:cs="SimHei"/>
          <w:color w:val="000000"/>
          <w:spacing w:val="8"/>
          <w:sz w:val="24"/>
          <w:szCs w:val="21"/>
        </w:rPr>
        <w:t>(</w:t>
      </w:r>
      <w:r>
        <w:rPr>
          <w:rFonts w:ascii="SimHei" w:hAnsi="SimHei" w:eastAsia="黑体" w:cs="SimHei"/>
          <w:color w:val="000000"/>
          <w:spacing w:val="8"/>
          <w:sz w:val="24"/>
          <w:szCs w:val="21"/>
        </w:rPr>
        <w:t>含</w:t>
      </w:r>
      <w:r>
        <w:rPr>
          <w:rFonts w:ascii="SimHei" w:hAnsi="SimHei" w:eastAsia="黑体" w:cs="SimHei"/>
          <w:color w:val="000000"/>
          <w:spacing w:val="8"/>
          <w:sz w:val="24"/>
          <w:szCs w:val="21"/>
        </w:rPr>
        <w:t>)</w:t>
      </w:r>
      <w:r>
        <w:rPr>
          <w:rFonts w:ascii="SimHei" w:hAnsi="SimHei" w:eastAsia="黑体" w:cs="SimHei"/>
          <w:color w:val="000000"/>
          <w:spacing w:val="8"/>
          <w:sz w:val="24"/>
          <w:szCs w:val="21"/>
        </w:rPr>
        <w:t>。</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注：特等考绩分数不并入该单位考绩总分数的核计。</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五、分数增减</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w:t>
      </w:r>
      <w:r>
        <w:rPr>
          <w:rFonts w:ascii="SimHei" w:hAnsi="SimHei" w:eastAsia="黑体" w:cs="SimHei"/>
          <w:color w:val="000000"/>
          <w:spacing w:val="8"/>
          <w:sz w:val="24"/>
          <w:szCs w:val="21"/>
        </w:rPr>
        <w:t>员工于年度内，曾受奖惩者，其年度考绩应执行加减分数，按下列规定执行：</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记大功或大过一次者：加减</w:t>
      </w:r>
      <w:r>
        <w:rPr>
          <w:rFonts w:ascii="SimHei" w:hAnsi="SimHei" w:eastAsia="黑体" w:cs="SimHei"/>
          <w:color w:val="000000"/>
          <w:spacing w:val="8"/>
          <w:sz w:val="24"/>
          <w:szCs w:val="21"/>
        </w:rPr>
        <w:t>5</w:t>
      </w:r>
      <w:r>
        <w:rPr>
          <w:rFonts w:ascii="SimHei" w:hAnsi="SimHei" w:eastAsia="黑体" w:cs="SimHei"/>
          <w:color w:val="000000"/>
          <w:spacing w:val="8"/>
          <w:sz w:val="24"/>
          <w:szCs w:val="21"/>
        </w:rPr>
        <w:t>分；</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记小功或小过一次者：加减</w:t>
      </w:r>
      <w:r>
        <w:rPr>
          <w:rFonts w:ascii="SimHei" w:hAnsi="SimHei" w:eastAsia="黑体" w:cs="SimHei"/>
          <w:color w:val="000000"/>
          <w:spacing w:val="8"/>
          <w:sz w:val="24"/>
          <w:szCs w:val="21"/>
        </w:rPr>
        <w:t>3</w:t>
      </w:r>
      <w:r>
        <w:rPr>
          <w:rFonts w:ascii="SimHei" w:hAnsi="SimHei" w:eastAsia="黑体" w:cs="SimHei"/>
          <w:color w:val="000000"/>
          <w:spacing w:val="8"/>
          <w:sz w:val="24"/>
          <w:szCs w:val="21"/>
        </w:rPr>
        <w:t>分；</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嘉奖或申诫一次者：加减</w:t>
      </w:r>
      <w:r>
        <w:rPr>
          <w:rFonts w:ascii="SimHei" w:hAnsi="SimHei" w:eastAsia="黑体" w:cs="SimHei"/>
          <w:color w:val="000000"/>
          <w:spacing w:val="8"/>
          <w:sz w:val="24"/>
          <w:szCs w:val="21"/>
        </w:rPr>
        <w:t>1</w:t>
      </w:r>
      <w:r>
        <w:rPr>
          <w:rFonts w:ascii="SimHei" w:hAnsi="SimHei" w:eastAsia="黑体" w:cs="SimHei"/>
          <w:color w:val="000000"/>
          <w:spacing w:val="8"/>
          <w:sz w:val="24"/>
          <w:szCs w:val="21"/>
        </w:rPr>
        <w:t>分；</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(4)</w:t>
      </w:r>
      <w:r>
        <w:rPr>
          <w:rFonts w:ascii="SimHei" w:hAnsi="SimHei" w:eastAsia="黑体" w:cs="SimHei"/>
          <w:color w:val="000000"/>
          <w:spacing w:val="8"/>
          <w:sz w:val="24"/>
          <w:szCs w:val="21"/>
        </w:rPr>
        <w:t>旷工</w:t>
      </w:r>
      <w:r>
        <w:rPr>
          <w:rFonts w:ascii="SimHei" w:hAnsi="SimHei" w:eastAsia="黑体" w:cs="SimHei"/>
          <w:color w:val="000000"/>
          <w:spacing w:val="8"/>
          <w:sz w:val="24"/>
          <w:szCs w:val="21"/>
        </w:rPr>
        <w:t>1</w:t>
      </w:r>
      <w:r>
        <w:rPr>
          <w:rFonts w:ascii="SimHei" w:hAnsi="SimHei" w:eastAsia="黑体" w:cs="SimHei"/>
          <w:color w:val="000000"/>
          <w:spacing w:val="8"/>
          <w:sz w:val="24"/>
          <w:szCs w:val="21"/>
        </w:rPr>
        <w:t>日者：扣</w:t>
      </w:r>
      <w:r>
        <w:rPr>
          <w:rFonts w:ascii="SimHei" w:hAnsi="SimHei" w:eastAsia="黑体" w:cs="SimHei"/>
          <w:color w:val="000000"/>
          <w:spacing w:val="8"/>
          <w:sz w:val="24"/>
          <w:szCs w:val="21"/>
        </w:rPr>
        <w:t>2</w:t>
      </w:r>
      <w:r>
        <w:rPr>
          <w:rFonts w:ascii="SimHei" w:hAnsi="SimHei" w:eastAsia="黑体" w:cs="SimHei"/>
          <w:color w:val="000000"/>
          <w:spacing w:val="8"/>
          <w:sz w:val="24"/>
          <w:szCs w:val="21"/>
        </w:rPr>
        <w:t>分；</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(5)</w:t>
      </w:r>
      <w:r>
        <w:rPr>
          <w:rFonts w:ascii="SimHei" w:hAnsi="SimHei" w:eastAsia="黑体" w:cs="SimHei"/>
          <w:color w:val="000000"/>
          <w:spacing w:val="8"/>
          <w:sz w:val="24"/>
          <w:szCs w:val="21"/>
        </w:rPr>
        <w:t>迟到次数超过</w:t>
      </w:r>
      <w:r>
        <w:rPr>
          <w:rFonts w:ascii="SimHei" w:hAnsi="SimHei" w:eastAsia="黑体" w:cs="SimHei"/>
          <w:color w:val="000000"/>
          <w:spacing w:val="8"/>
          <w:sz w:val="24"/>
          <w:szCs w:val="21"/>
        </w:rPr>
        <w:t>13</w:t>
      </w:r>
      <w:r>
        <w:rPr>
          <w:rFonts w:ascii="SimHei" w:hAnsi="SimHei" w:eastAsia="黑体" w:cs="SimHei"/>
          <w:color w:val="000000"/>
          <w:spacing w:val="8"/>
          <w:sz w:val="24"/>
          <w:szCs w:val="21"/>
        </w:rPr>
        <w:t>次者</w:t>
      </w:r>
      <w:r>
        <w:rPr>
          <w:rFonts w:ascii="SimHei" w:hAnsi="SimHei" w:eastAsia="黑体" w:cs="SimHei"/>
          <w:color w:val="000000"/>
          <w:spacing w:val="8"/>
          <w:sz w:val="24"/>
          <w:szCs w:val="21"/>
        </w:rPr>
        <w:t>(</w:t>
      </w:r>
      <w:r>
        <w:rPr>
          <w:rFonts w:ascii="SimHei" w:hAnsi="SimHei" w:eastAsia="黑体" w:cs="SimHei"/>
          <w:color w:val="000000"/>
          <w:spacing w:val="8"/>
          <w:sz w:val="24"/>
          <w:szCs w:val="21"/>
        </w:rPr>
        <w:t>含</w:t>
      </w:r>
      <w:r>
        <w:rPr>
          <w:rFonts w:ascii="SimHei" w:hAnsi="SimHei" w:eastAsia="黑体" w:cs="SimHei"/>
          <w:color w:val="000000"/>
          <w:spacing w:val="8"/>
          <w:sz w:val="24"/>
          <w:szCs w:val="21"/>
        </w:rPr>
        <w:t>)</w:t>
      </w:r>
      <w:r>
        <w:rPr>
          <w:rFonts w:ascii="SimHei" w:hAnsi="SimHei" w:eastAsia="黑体" w:cs="SimHei"/>
          <w:color w:val="000000"/>
          <w:spacing w:val="8"/>
          <w:sz w:val="24"/>
          <w:szCs w:val="21"/>
        </w:rPr>
        <w:t>，每逾一次扣</w:t>
      </w:r>
      <w:r>
        <w:rPr>
          <w:rFonts w:ascii="SimHei" w:hAnsi="SimHei" w:eastAsia="黑体" w:cs="SimHei"/>
          <w:color w:val="000000"/>
          <w:spacing w:val="8"/>
          <w:sz w:val="24"/>
          <w:szCs w:val="21"/>
        </w:rPr>
        <w:t>0 5</w:t>
      </w:r>
      <w:r>
        <w:rPr>
          <w:rFonts w:ascii="SimHei" w:hAnsi="SimHei" w:eastAsia="黑体" w:cs="SimHei"/>
          <w:color w:val="000000"/>
          <w:spacing w:val="8"/>
          <w:sz w:val="24"/>
          <w:szCs w:val="21"/>
        </w:rPr>
        <w:t>分。</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w:t>
      </w:r>
      <w:r>
        <w:rPr>
          <w:rFonts w:ascii="SimHei" w:hAnsi="SimHei" w:eastAsia="黑体" w:cs="SimHei"/>
          <w:color w:val="000000"/>
          <w:spacing w:val="8"/>
          <w:sz w:val="24"/>
          <w:szCs w:val="21"/>
        </w:rPr>
        <w:t>本项增减分数，独立于第四条考绩平均总分数</w:t>
      </w:r>
      <w:r>
        <w:rPr>
          <w:rFonts w:ascii="SimHei" w:hAnsi="SimHei" w:eastAsia="黑体" w:cs="SimHei"/>
          <w:color w:val="000000"/>
          <w:spacing w:val="8"/>
          <w:sz w:val="24"/>
          <w:szCs w:val="21"/>
        </w:rPr>
        <w:t>(80</w:t>
      </w:r>
      <w:r>
        <w:rPr>
          <w:rFonts w:ascii="SimHei" w:hAnsi="SimHei" w:eastAsia="黑体" w:cs="SimHei"/>
          <w:color w:val="000000"/>
          <w:spacing w:val="8"/>
          <w:sz w:val="24"/>
          <w:szCs w:val="21"/>
        </w:rPr>
        <w:t>～</w:t>
      </w:r>
      <w:r>
        <w:rPr>
          <w:rFonts w:ascii="SimHei" w:hAnsi="SimHei" w:eastAsia="黑体" w:cs="SimHei"/>
          <w:color w:val="000000"/>
          <w:spacing w:val="8"/>
          <w:sz w:val="24"/>
          <w:szCs w:val="21"/>
        </w:rPr>
        <w:t>85</w:t>
      </w:r>
      <w:r>
        <w:rPr>
          <w:rFonts w:ascii="SimHei" w:hAnsi="SimHei" w:eastAsia="黑体" w:cs="SimHei"/>
          <w:color w:val="000000"/>
          <w:spacing w:val="8"/>
          <w:sz w:val="24"/>
          <w:szCs w:val="21"/>
        </w:rPr>
        <w:t>分</w:t>
      </w:r>
      <w:r>
        <w:rPr>
          <w:rFonts w:ascii="SimHei" w:hAnsi="SimHei" w:eastAsia="黑体" w:cs="SimHei"/>
          <w:color w:val="000000"/>
          <w:spacing w:val="8"/>
          <w:sz w:val="24"/>
          <w:szCs w:val="21"/>
        </w:rPr>
        <w:t>)</w:t>
      </w:r>
      <w:r>
        <w:rPr>
          <w:rFonts w:ascii="SimHei" w:hAnsi="SimHei" w:eastAsia="黑体" w:cs="SimHei"/>
          <w:color w:val="000000"/>
          <w:spacing w:val="8"/>
          <w:sz w:val="24"/>
          <w:szCs w:val="21"/>
        </w:rPr>
        <w:t>限制之外。</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六、奖励实施</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注：考聩奖垒发出</w:t>
      </w:r>
      <w:r>
        <w:rPr>
          <w:rFonts w:ascii="SimHei" w:hAnsi="SimHei" w:eastAsia="黑体" w:cs="SimHei"/>
          <w:color w:val="000000"/>
          <w:spacing w:val="8"/>
          <w:sz w:val="24"/>
          <w:szCs w:val="21"/>
        </w:rPr>
        <w:t>i</w:t>
      </w:r>
      <w:r>
        <w:rPr>
          <w:rFonts w:ascii="SimHei" w:hAnsi="SimHei" w:eastAsia="黑体" w:cs="SimHei"/>
          <w:color w:val="000000"/>
          <w:spacing w:val="8"/>
          <w:sz w:val="24"/>
          <w:szCs w:val="21"/>
        </w:rPr>
        <w:t>分比系</w:t>
      </w:r>
      <w:r>
        <w:rPr>
          <w:rFonts w:ascii="SimHei" w:hAnsi="SimHei" w:eastAsia="黑体" w:cs="SimHei"/>
          <w:color w:val="000000"/>
          <w:spacing w:val="8"/>
          <w:sz w:val="24"/>
          <w:szCs w:val="21"/>
        </w:rPr>
        <w:t>m</w:t>
      </w:r>
      <w:r>
        <w:rPr>
          <w:rFonts w:ascii="SimHei" w:hAnsi="SimHei" w:eastAsia="黑体" w:cs="SimHei"/>
          <w:color w:val="000000"/>
          <w:spacing w:val="8"/>
          <w:sz w:val="24"/>
          <w:szCs w:val="21"/>
        </w:rPr>
        <w:t>固定年终奖垒的为基准。</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倒：得甲等</w:t>
      </w:r>
      <w:r>
        <w:rPr>
          <w:rFonts w:ascii="SimHei" w:hAnsi="SimHei" w:eastAsia="黑体" w:cs="SimHei"/>
          <w:color w:val="000000"/>
          <w:spacing w:val="8"/>
          <w:sz w:val="24"/>
          <w:szCs w:val="21"/>
        </w:rPr>
        <w:t>82</w:t>
      </w:r>
      <w:r>
        <w:rPr>
          <w:rFonts w:ascii="SimHei" w:hAnsi="SimHei" w:eastAsia="黑体" w:cs="SimHei"/>
          <w:color w:val="000000"/>
          <w:spacing w:val="8"/>
          <w:sz w:val="24"/>
          <w:szCs w:val="21"/>
        </w:rPr>
        <w:t>分，则发出奖金为：固定年终奖金十</w:t>
      </w:r>
      <w:r>
        <w:rPr>
          <w:rFonts w:ascii="SimHei" w:hAnsi="SimHei" w:eastAsia="黑体" w:cs="SimHei"/>
          <w:color w:val="000000"/>
          <w:spacing w:val="8"/>
          <w:sz w:val="24"/>
          <w:szCs w:val="21"/>
        </w:rPr>
        <w:t>(</w:t>
      </w:r>
      <w:r>
        <w:rPr>
          <w:rFonts w:ascii="SimHei" w:hAnsi="SimHei" w:eastAsia="黑体" w:cs="SimHei"/>
          <w:color w:val="000000"/>
          <w:spacing w:val="8"/>
          <w:sz w:val="24"/>
          <w:szCs w:val="21"/>
        </w:rPr>
        <w:t>固定年终奖金</w:t>
      </w:r>
      <w:r>
        <w:rPr>
          <w:rFonts w:ascii="SimHei" w:hAnsi="SimHei" w:eastAsia="黑体" w:cs="SimHei"/>
          <w:color w:val="000000"/>
          <w:spacing w:val="8"/>
          <w:sz w:val="24"/>
          <w:szCs w:val="21"/>
        </w:rPr>
        <w:t>x4</w:t>
      </w:r>
      <w:r>
        <w:rPr>
          <w:rFonts w:ascii="SimHei" w:hAnsi="SimHei" w:eastAsia="黑体" w:cs="SimHei"/>
          <w:color w:val="000000"/>
          <w:spacing w:val="8"/>
          <w:sz w:val="24"/>
          <w:szCs w:val="21"/>
        </w:rPr>
        <w:t>％</w:t>
      </w:r>
      <w:r>
        <w:rPr>
          <w:rFonts w:ascii="SimHei" w:hAnsi="SimHei" w:eastAsia="黑体" w:cs="SimHei"/>
          <w:color w:val="000000"/>
          <w:spacing w:val="8"/>
          <w:sz w:val="24"/>
          <w:szCs w:val="21"/>
        </w:rPr>
        <w:t>)</w:t>
      </w:r>
      <w:r>
        <w:rPr>
          <w:rFonts w:ascii="SimHei" w:hAnsi="SimHei" w:eastAsia="黑体" w:cs="SimHei"/>
          <w:color w:val="000000"/>
          <w:spacing w:val="8"/>
          <w:sz w:val="24"/>
          <w:szCs w:val="21"/>
        </w:rPr>
        <w:t>；得</w:t>
      </w:r>
      <w:r>
        <w:rPr>
          <w:rFonts w:ascii="SimHei" w:hAnsi="SimHei" w:eastAsia="黑体" w:cs="SimHei"/>
          <w:color w:val="000000"/>
          <w:spacing w:val="8"/>
          <w:sz w:val="24"/>
          <w:szCs w:val="21"/>
        </w:rPr>
        <w:t>L</w:t>
      </w:r>
      <w:r>
        <w:rPr>
          <w:rFonts w:ascii="SimHei" w:hAnsi="SimHei" w:eastAsia="黑体" w:cs="SimHei"/>
          <w:color w:val="000000"/>
          <w:spacing w:val="8"/>
          <w:sz w:val="24"/>
          <w:szCs w:val="21"/>
        </w:rPr>
        <w:t>等</w:t>
      </w:r>
      <w:r>
        <w:rPr>
          <w:rFonts w:ascii="SimHei" w:hAnsi="SimHei" w:eastAsia="黑体" w:cs="SimHei"/>
          <w:color w:val="000000"/>
          <w:spacing w:val="8"/>
          <w:sz w:val="24"/>
          <w:szCs w:val="21"/>
        </w:rPr>
        <w:t>79</w:t>
      </w:r>
      <w:r>
        <w:rPr>
          <w:rFonts w:ascii="SimHei" w:hAnsi="SimHei" w:eastAsia="黑体" w:cs="SimHei"/>
          <w:color w:val="000000"/>
          <w:spacing w:val="8"/>
          <w:sz w:val="24"/>
          <w:szCs w:val="21"/>
        </w:rPr>
        <w:t xml:space="preserve">分，则发出奖垒为：固定年终奖垒 </w:t>
      </w:r>
      <w:r>
        <w:rPr>
          <w:rFonts w:ascii="SimHei" w:hAnsi="SimHei" w:eastAsia="黑体" w:cs="SimHei"/>
          <w:color w:val="000000"/>
          <w:spacing w:val="8"/>
          <w:sz w:val="24"/>
          <w:szCs w:val="21"/>
        </w:rPr>
        <w:t>(</w:t>
      </w:r>
      <w:r>
        <w:rPr>
          <w:rFonts w:ascii="SimHei" w:hAnsi="SimHei" w:eastAsia="黑体" w:cs="SimHei"/>
          <w:color w:val="000000"/>
          <w:spacing w:val="8"/>
          <w:sz w:val="24"/>
          <w:szCs w:val="21"/>
        </w:rPr>
        <w:t>固定年终奖垒</w:t>
      </w:r>
      <w:r>
        <w:rPr>
          <w:rFonts w:ascii="SimHei" w:hAnsi="SimHei" w:eastAsia="黑体" w:cs="SimHei"/>
          <w:color w:val="000000"/>
          <w:spacing w:val="8"/>
          <w:sz w:val="24"/>
          <w:szCs w:val="21"/>
        </w:rPr>
        <w:t>x4</w:t>
      </w:r>
      <w:r>
        <w:rPr>
          <w:rFonts w:ascii="SimHei" w:hAnsi="SimHei" w:eastAsia="黑体" w:cs="SimHei"/>
          <w:color w:val="000000"/>
          <w:spacing w:val="8"/>
          <w:sz w:val="24"/>
          <w:szCs w:val="21"/>
        </w:rPr>
        <w:t>％</w:t>
      </w:r>
      <w:r>
        <w:rPr>
          <w:rFonts w:ascii="SimHei" w:hAnsi="SimHei" w:eastAsia="黑体" w:cs="SimHei"/>
          <w:color w:val="000000"/>
          <w:spacing w:val="8"/>
          <w:sz w:val="24"/>
          <w:szCs w:val="21"/>
        </w:rPr>
        <w:t>)</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w:t>
      </w:r>
      <w:r>
        <w:rPr>
          <w:rFonts w:ascii="SimHei" w:hAnsi="SimHei" w:eastAsia="黑体" w:cs="SimHei"/>
          <w:color w:val="000000"/>
          <w:spacing w:val="8"/>
          <w:sz w:val="24"/>
          <w:szCs w:val="21"/>
        </w:rPr>
        <w:t>考缋特等者，优先子</w:t>
      </w:r>
      <w:r>
        <w:rPr>
          <w:rFonts w:ascii="SimHei" w:hAnsi="SimHei" w:eastAsia="黑体" w:cs="SimHei"/>
          <w:color w:val="000000"/>
          <w:spacing w:val="8"/>
          <w:sz w:val="24"/>
          <w:szCs w:val="21"/>
        </w:rPr>
        <w:t>m</w:t>
      </w:r>
      <w:r>
        <w:rPr>
          <w:rFonts w:ascii="SimHei" w:hAnsi="SimHei" w:eastAsia="黑体" w:cs="SimHei"/>
          <w:color w:val="000000"/>
          <w:spacing w:val="8"/>
          <w:sz w:val="24"/>
          <w:szCs w:val="21"/>
        </w:rPr>
        <w:t>升迁职位度职务；</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w:t>
      </w:r>
      <w:r>
        <w:rPr>
          <w:rFonts w:ascii="SimHei" w:hAnsi="SimHei" w:eastAsia="黑体" w:cs="SimHei"/>
          <w:color w:val="000000"/>
          <w:spacing w:val="8"/>
          <w:sz w:val="24"/>
          <w:szCs w:val="21"/>
        </w:rPr>
        <w:t>孝绩奖台、罚台连同年终奖台发出。</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七、考绩要求</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办理考绩的主管人员均应以客观立场评议，不得徇私。几经总经理室审查，有违反公司规定者，该主管记一次小过，呈总经理核查。</w:t>
      </w:r>
    </w:p>
    <w:p>
      <w:pPr>
        <w:pStyle w:val="Normal"/>
        <w:spacing w:lineRule="atLeast" w:line="360"/>
        <w:rPr>
          <w:rFonts w:ascii="SimHei" w:hAnsi="SimHei" w:eastAsia="黑体" w:cs="SimHei"/>
          <w:b/>
          <w:b/>
          <w:color w:val="000000"/>
          <w:spacing w:val="8"/>
          <w:sz w:val="24"/>
          <w:szCs w:val="21"/>
        </w:rPr>
      </w:pPr>
      <w:r>
        <w:rPr>
          <w:rFonts w:ascii="SimHei" w:hAnsi="SimHei" w:eastAsia="黑体" w:cs="SimHei"/>
          <w:b/>
          <w:color w:val="000000"/>
          <w:spacing w:val="8"/>
          <w:sz w:val="24"/>
          <w:szCs w:val="21"/>
        </w:rPr>
        <w:t>　　八、申诉　</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凡员工对部门经理所评定的考绩分数有不满者，可签呈总经理室，再呈报总经理。由总经理室裁定进行调查或维持原议。中诉日期限于考绩经管理部门通知个人后</w:t>
      </w:r>
      <w:r>
        <w:rPr>
          <w:rFonts w:ascii="SimHei" w:hAnsi="SimHei" w:eastAsia="黑体" w:cs="SimHei"/>
          <w:color w:val="000000"/>
          <w:spacing w:val="8"/>
          <w:sz w:val="24"/>
          <w:szCs w:val="21"/>
        </w:rPr>
        <w:t>2</w:t>
      </w:r>
      <w:r>
        <w:rPr>
          <w:rFonts w:ascii="SimHei" w:hAnsi="SimHei" w:eastAsia="黑体" w:cs="SimHei"/>
          <w:color w:val="000000"/>
          <w:spacing w:val="8"/>
          <w:sz w:val="24"/>
          <w:szCs w:val="21"/>
        </w:rPr>
        <w:t>日内，逾期不予受理。</w:t>
      </w:r>
    </w:p>
    <w:p>
      <w:pPr>
        <w:pStyle w:val="Normal"/>
        <w:spacing w:lineRule="atLeast" w:line="360"/>
        <w:rPr>
          <w:rFonts w:ascii="SimHei" w:hAnsi="SimHei" w:eastAsia="黑体" w:cs="SimHei"/>
          <w:b/>
          <w:b/>
          <w:color w:val="000000"/>
          <w:spacing w:val="8"/>
          <w:sz w:val="24"/>
          <w:szCs w:val="21"/>
        </w:rPr>
      </w:pPr>
      <w:r>
        <w:rPr>
          <w:rFonts w:ascii="SimHei" w:hAnsi="SimHei" w:eastAsia="黑体" w:cs="SimHei"/>
          <w:b/>
          <w:color w:val="000000"/>
          <w:spacing w:val="8"/>
          <w:sz w:val="24"/>
          <w:szCs w:val="21"/>
        </w:rPr>
        <w:t>　　九、附则</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l</w:t>
      </w:r>
      <w:r>
        <w:rPr>
          <w:rFonts w:ascii="SimHei" w:hAnsi="SimHei" w:eastAsia="黑体" w:cs="SimHei"/>
          <w:color w:val="000000"/>
          <w:spacing w:val="8"/>
          <w:sz w:val="24"/>
          <w:szCs w:val="21"/>
        </w:rPr>
        <w:t>固定年终奖金额数，由总经理依年度经营状况作出裁决；</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各员工的考缋，经总经理复核后，若有反对者，由总经理室人员返回该考核的主管，重新审慎评核考绩分数，再呈批示；</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本办法呈交总经理核实后，自发布之日起执行。</w:t>
      </w:r>
    </w:p>
    <w:p>
      <w:pPr>
        <w:pStyle w:val="Normal"/>
        <w:spacing w:lineRule="atLeast" w:line="360"/>
        <w:rPr>
          <w:rFonts w:ascii="SimHei" w:hAnsi="SimHei" w:eastAsia="黑体" w:cs="SimHei"/>
          <w:b/>
          <w:b/>
          <w:color w:val="000000"/>
          <w:spacing w:val="8"/>
          <w:sz w:val="24"/>
          <w:szCs w:val="21"/>
        </w:rPr>
      </w:pPr>
      <w:r>
        <w:rPr>
          <w:rFonts w:ascii="SimHei" w:hAnsi="SimHei" w:eastAsia="黑体" w:cs="SimHei"/>
          <w:b/>
          <w:color w:val="000000"/>
          <w:spacing w:val="8"/>
          <w:sz w:val="24"/>
          <w:szCs w:val="21"/>
        </w:rPr>
        <w:t>　　范文</w:t>
      </w:r>
      <w:r>
        <w:rPr>
          <w:rFonts w:ascii="SimHei" w:hAnsi="SimHei" w:eastAsia="黑体" w:cs="SimHei"/>
          <w:b/>
          <w:color w:val="000000"/>
          <w:spacing w:val="8"/>
          <w:sz w:val="24"/>
          <w:szCs w:val="21"/>
        </w:rPr>
        <w:t>2</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w:t>
      </w:r>
      <w:r>
        <w:rPr>
          <w:rFonts w:ascii="SimHei" w:hAnsi="SimHei" w:eastAsia="黑体" w:cs="SimHei"/>
          <w:color w:val="000000"/>
          <w:spacing w:val="8"/>
          <w:sz w:val="24"/>
          <w:szCs w:val="21"/>
        </w:rPr>
        <w:t>公司员工年终奖发放办法</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一、年终奖金计算</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年终奖金点数，接年资与当年度考绩两者评估而得。</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每点奖金数，以其全薪之</w:t>
      </w:r>
      <w:r>
        <w:rPr>
          <w:rFonts w:ascii="SimHei" w:hAnsi="SimHei" w:eastAsia="黑体" w:cs="SimHei"/>
          <w:color w:val="000000"/>
          <w:spacing w:val="8"/>
          <w:sz w:val="24"/>
          <w:szCs w:val="21"/>
        </w:rPr>
        <w:t>25</w:t>
      </w:r>
      <w:r>
        <w:rPr>
          <w:rFonts w:ascii="SimHei" w:hAnsi="SimHei" w:eastAsia="黑体" w:cs="SimHei"/>
          <w:color w:val="000000"/>
          <w:spacing w:val="8"/>
          <w:sz w:val="24"/>
          <w:szCs w:val="21"/>
        </w:rPr>
        <w:t>％为计算基准</w:t>
      </w:r>
      <w:r>
        <w:rPr>
          <w:rFonts w:ascii="SimHei" w:hAnsi="SimHei" w:eastAsia="黑体" w:cs="SimHei"/>
          <w:color w:val="000000"/>
          <w:spacing w:val="8"/>
          <w:sz w:val="24"/>
          <w:szCs w:val="21"/>
        </w:rPr>
        <w:t>(</w:t>
      </w:r>
      <w:r>
        <w:rPr>
          <w:rFonts w:ascii="SimHei" w:hAnsi="SimHei" w:eastAsia="黑体" w:cs="SimHei"/>
          <w:color w:val="000000"/>
          <w:spacing w:val="8"/>
          <w:sz w:val="24"/>
          <w:szCs w:val="21"/>
        </w:rPr>
        <w:t>注：全薪系包括本薪、津贴、全勤及相关名目金额等的合计</w:t>
      </w:r>
      <w:r>
        <w:rPr>
          <w:rFonts w:ascii="SimHei" w:hAnsi="SimHei" w:eastAsia="黑体" w:cs="SimHei"/>
          <w:color w:val="000000"/>
          <w:spacing w:val="8"/>
          <w:sz w:val="24"/>
          <w:szCs w:val="21"/>
        </w:rPr>
        <w:t>)</w:t>
      </w:r>
      <w:r>
        <w:rPr>
          <w:rFonts w:ascii="SimHei" w:hAnsi="SimHei" w:eastAsia="黑体" w:cs="SimHei"/>
          <w:color w:val="000000"/>
          <w:spacing w:val="8"/>
          <w:sz w:val="24"/>
          <w:szCs w:val="21"/>
        </w:rPr>
        <w:t>。示例如下：桌员工全薪</w:t>
      </w:r>
      <w:r>
        <w:rPr>
          <w:rFonts w:ascii="SimHei" w:hAnsi="SimHei" w:eastAsia="黑体" w:cs="SimHei"/>
          <w:color w:val="000000"/>
          <w:spacing w:val="8"/>
          <w:sz w:val="24"/>
          <w:szCs w:val="21"/>
        </w:rPr>
        <w:t>15us$</w:t>
      </w:r>
      <w:r>
        <w:rPr>
          <w:rFonts w:ascii="SimHei" w:hAnsi="SimHei" w:eastAsia="黑体" w:cs="SimHei"/>
          <w:color w:val="000000"/>
          <w:spacing w:val="8"/>
          <w:sz w:val="24"/>
          <w:szCs w:val="21"/>
        </w:rPr>
        <w:t>，年资为</w:t>
      </w:r>
      <w:r>
        <w:rPr>
          <w:rFonts w:ascii="SimHei" w:hAnsi="SimHei" w:eastAsia="黑体" w:cs="SimHei"/>
          <w:color w:val="000000"/>
          <w:spacing w:val="8"/>
          <w:sz w:val="24"/>
          <w:szCs w:val="21"/>
        </w:rPr>
        <w:t>2</w:t>
      </w:r>
      <w:r>
        <w:rPr>
          <w:rFonts w:ascii="SimHei" w:hAnsi="SimHei" w:eastAsia="黑体" w:cs="SimHei"/>
          <w:color w:val="000000"/>
          <w:spacing w:val="8"/>
          <w:sz w:val="24"/>
          <w:szCs w:val="21"/>
        </w:rPr>
        <w:t>～</w:t>
      </w:r>
      <w:r>
        <w:rPr>
          <w:rFonts w:ascii="SimHei" w:hAnsi="SimHei" w:eastAsia="黑体" w:cs="SimHei"/>
          <w:color w:val="000000"/>
          <w:spacing w:val="8"/>
          <w:sz w:val="24"/>
          <w:szCs w:val="21"/>
        </w:rPr>
        <w:t>3</w:t>
      </w:r>
      <w:r>
        <w:rPr>
          <w:rFonts w:ascii="SimHei" w:hAnsi="SimHei" w:eastAsia="黑体" w:cs="SimHei"/>
          <w:color w:val="000000"/>
          <w:spacing w:val="8"/>
          <w:sz w:val="24"/>
          <w:szCs w:val="21"/>
        </w:rPr>
        <w:t>年，考绩</w:t>
      </w:r>
      <w:r>
        <w:rPr>
          <w:rFonts w:ascii="SimHei" w:hAnsi="SimHei" w:eastAsia="黑体" w:cs="SimHei"/>
          <w:color w:val="000000"/>
          <w:spacing w:val="8"/>
          <w:sz w:val="24"/>
          <w:szCs w:val="21"/>
        </w:rPr>
        <w:t>87</w:t>
      </w:r>
      <w:r>
        <w:rPr>
          <w:rFonts w:ascii="SimHei" w:hAnsi="SimHei" w:eastAsia="黑体" w:cs="SimHei"/>
          <w:color w:val="000000"/>
          <w:spacing w:val="8"/>
          <w:sz w:val="24"/>
          <w:szCs w:val="21"/>
        </w:rPr>
        <w:t>分，则可得年终奖金为：</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每点奖金数是</w:t>
      </w:r>
      <w:r>
        <w:rPr>
          <w:rFonts w:ascii="SimHei" w:hAnsi="SimHei" w:eastAsia="黑体" w:cs="SimHei"/>
          <w:color w:val="000000"/>
          <w:spacing w:val="8"/>
          <w:sz w:val="24"/>
          <w:szCs w:val="21"/>
        </w:rPr>
        <w:t>15×O 25=3 75</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 75×11.5(</w:t>
      </w:r>
      <w:r>
        <w:rPr>
          <w:rFonts w:ascii="SimHei" w:hAnsi="SimHei" w:eastAsia="黑体" w:cs="SimHei"/>
          <w:color w:val="000000"/>
          <w:spacing w:val="8"/>
          <w:sz w:val="24"/>
          <w:szCs w:val="21"/>
        </w:rPr>
        <w:t>累积点</w:t>
      </w:r>
      <w:r>
        <w:rPr>
          <w:rFonts w:ascii="SimHei" w:hAnsi="SimHei" w:eastAsia="黑体" w:cs="SimHei"/>
          <w:color w:val="000000"/>
          <w:spacing w:val="8"/>
          <w:sz w:val="24"/>
          <w:szCs w:val="21"/>
        </w:rPr>
        <w:t>)=43.125≈43.13</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年终奖金共计</w:t>
      </w:r>
      <w:r>
        <w:rPr>
          <w:rFonts w:ascii="SimHei" w:hAnsi="SimHei" w:eastAsia="黑体" w:cs="SimHei"/>
          <w:color w:val="000000"/>
          <w:spacing w:val="8"/>
          <w:sz w:val="24"/>
          <w:szCs w:val="21"/>
        </w:rPr>
        <w:t>43.13uS$</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二、工作绩效考核</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各部门人员考绩总平均分数不得超过</w:t>
      </w:r>
      <w:r>
        <w:rPr>
          <w:rFonts w:ascii="SimHei" w:hAnsi="SimHei" w:eastAsia="黑体" w:cs="SimHei"/>
          <w:color w:val="000000"/>
          <w:spacing w:val="8"/>
          <w:sz w:val="24"/>
          <w:szCs w:val="21"/>
        </w:rPr>
        <w:t>85</w:t>
      </w:r>
      <w:r>
        <w:rPr>
          <w:rFonts w:ascii="SimHei" w:hAnsi="SimHei" w:eastAsia="黑体" w:cs="SimHei"/>
          <w:color w:val="000000"/>
          <w:spacing w:val="8"/>
          <w:sz w:val="24"/>
          <w:szCs w:val="21"/>
        </w:rPr>
        <w:t>分；</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各部门一级主管若认为谊部门本年度绩效卓著，经呈报总经理批示，不受平均数</w:t>
      </w:r>
      <w:r>
        <w:rPr>
          <w:rFonts w:ascii="SimHei" w:hAnsi="SimHei" w:eastAsia="黑体" w:cs="SimHei"/>
          <w:color w:val="000000"/>
          <w:spacing w:val="8"/>
          <w:sz w:val="24"/>
          <w:szCs w:val="21"/>
        </w:rPr>
        <w:t>85</w:t>
      </w:r>
      <w:r>
        <w:rPr>
          <w:rFonts w:ascii="SimHei" w:hAnsi="SimHei" w:eastAsia="黑体" w:cs="SimHei"/>
          <w:color w:val="000000"/>
          <w:spacing w:val="8"/>
          <w:sz w:val="24"/>
          <w:szCs w:val="21"/>
        </w:rPr>
        <w:t>分之限制；但其最高数仍不得超过</w:t>
      </w:r>
      <w:r>
        <w:rPr>
          <w:rFonts w:ascii="SimHei" w:hAnsi="SimHei" w:eastAsia="黑体" w:cs="SimHei"/>
          <w:color w:val="000000"/>
          <w:spacing w:val="8"/>
          <w:sz w:val="24"/>
          <w:szCs w:val="21"/>
        </w:rPr>
        <w:t>88</w:t>
      </w:r>
      <w:r>
        <w:rPr>
          <w:rFonts w:ascii="SimHei" w:hAnsi="SimHei" w:eastAsia="黑体" w:cs="SimHei"/>
          <w:color w:val="000000"/>
          <w:spacing w:val="8"/>
          <w:sz w:val="24"/>
          <w:szCs w:val="21"/>
        </w:rPr>
        <w:t>分</w:t>
      </w:r>
      <w:r>
        <w:rPr>
          <w:rFonts w:ascii="SimHei" w:hAnsi="SimHei" w:eastAsia="黑体" w:cs="SimHei"/>
          <w:color w:val="000000"/>
          <w:spacing w:val="8"/>
          <w:sz w:val="24"/>
          <w:szCs w:val="21"/>
        </w:rPr>
        <w:t>(</w:t>
      </w:r>
      <w:r>
        <w:rPr>
          <w:rFonts w:ascii="SimHei" w:hAnsi="SimHei" w:eastAsia="黑体" w:cs="SimHei"/>
          <w:color w:val="000000"/>
          <w:spacing w:val="8"/>
          <w:sz w:val="24"/>
          <w:szCs w:val="21"/>
        </w:rPr>
        <w:t>含</w:t>
      </w:r>
      <w:r>
        <w:rPr>
          <w:rFonts w:ascii="SimHei" w:hAnsi="SimHei" w:eastAsia="黑体" w:cs="SimHei"/>
          <w:color w:val="000000"/>
          <w:spacing w:val="8"/>
          <w:sz w:val="24"/>
          <w:szCs w:val="21"/>
        </w:rPr>
        <w:t>)</w:t>
      </w:r>
      <w:r>
        <w:rPr>
          <w:rFonts w:ascii="SimHei" w:hAnsi="SimHei" w:eastAsia="黑体" w:cs="SimHei"/>
          <w:color w:val="000000"/>
          <w:spacing w:val="8"/>
          <w:sz w:val="24"/>
          <w:szCs w:val="21"/>
        </w:rPr>
        <w:t>；</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各部门人员总数在</w:t>
      </w:r>
      <w:r>
        <w:rPr>
          <w:rFonts w:ascii="SimHei" w:hAnsi="SimHei" w:eastAsia="黑体" w:cs="SimHei"/>
          <w:color w:val="000000"/>
          <w:spacing w:val="8"/>
          <w:sz w:val="24"/>
          <w:szCs w:val="21"/>
        </w:rPr>
        <w:t>5</w:t>
      </w:r>
      <w:r>
        <w:rPr>
          <w:rFonts w:ascii="SimHei" w:hAnsi="SimHei" w:eastAsia="黑体" w:cs="SimHei"/>
          <w:color w:val="000000"/>
          <w:spacing w:val="8"/>
          <w:sz w:val="24"/>
          <w:szCs w:val="21"/>
        </w:rPr>
        <w:t>人以下</w:t>
      </w:r>
      <w:r>
        <w:rPr>
          <w:rFonts w:ascii="SimHei" w:hAnsi="SimHei" w:eastAsia="黑体" w:cs="SimHei"/>
          <w:color w:val="000000"/>
          <w:spacing w:val="8"/>
          <w:sz w:val="24"/>
          <w:szCs w:val="21"/>
        </w:rPr>
        <w:t>(</w:t>
      </w:r>
      <w:r>
        <w:rPr>
          <w:rFonts w:ascii="SimHei" w:hAnsi="SimHei" w:eastAsia="黑体" w:cs="SimHei"/>
          <w:color w:val="000000"/>
          <w:spacing w:val="8"/>
          <w:sz w:val="24"/>
          <w:szCs w:val="21"/>
        </w:rPr>
        <w:t>含</w:t>
      </w:r>
      <w:r>
        <w:rPr>
          <w:rFonts w:ascii="SimHei" w:hAnsi="SimHei" w:eastAsia="黑体" w:cs="SimHei"/>
          <w:color w:val="000000"/>
          <w:spacing w:val="8"/>
          <w:sz w:val="24"/>
          <w:szCs w:val="21"/>
        </w:rPr>
        <w:t>)</w:t>
      </w:r>
      <w:r>
        <w:rPr>
          <w:rFonts w:ascii="SimHei" w:hAnsi="SimHei" w:eastAsia="黑体" w:cs="SimHei"/>
          <w:color w:val="000000"/>
          <w:spacing w:val="8"/>
          <w:sz w:val="24"/>
          <w:szCs w:val="21"/>
        </w:rPr>
        <w:t>者，其特等考绩人数限为</w:t>
      </w:r>
      <w:r>
        <w:rPr>
          <w:rFonts w:ascii="SimHei" w:hAnsi="SimHei" w:eastAsia="黑体" w:cs="SimHei"/>
          <w:color w:val="000000"/>
          <w:spacing w:val="8"/>
          <w:sz w:val="24"/>
          <w:szCs w:val="21"/>
        </w:rPr>
        <w:t>1</w:t>
      </w:r>
      <w:r>
        <w:rPr>
          <w:rFonts w:ascii="SimHei" w:hAnsi="SimHei" w:eastAsia="黑体" w:cs="SimHei"/>
          <w:color w:val="000000"/>
          <w:spacing w:val="8"/>
          <w:sz w:val="24"/>
          <w:szCs w:val="21"/>
        </w:rPr>
        <w:t>名；在</w:t>
      </w:r>
      <w:r>
        <w:rPr>
          <w:rFonts w:ascii="SimHei" w:hAnsi="SimHei" w:eastAsia="黑体" w:cs="SimHei"/>
          <w:color w:val="000000"/>
          <w:spacing w:val="8"/>
          <w:sz w:val="24"/>
          <w:szCs w:val="21"/>
        </w:rPr>
        <w:t>6</w:t>
      </w:r>
      <w:r>
        <w:rPr>
          <w:rFonts w:ascii="SimHei" w:hAnsi="SimHei" w:eastAsia="黑体" w:cs="SimHei"/>
          <w:color w:val="000000"/>
          <w:spacing w:val="8"/>
          <w:sz w:val="24"/>
          <w:szCs w:val="21"/>
        </w:rPr>
        <w:t>人以上者，其特等考绩人数限为</w:t>
      </w:r>
      <w:r>
        <w:rPr>
          <w:rFonts w:ascii="SimHei" w:hAnsi="SimHei" w:eastAsia="黑体" w:cs="SimHei"/>
          <w:color w:val="000000"/>
          <w:spacing w:val="8"/>
          <w:sz w:val="24"/>
          <w:szCs w:val="21"/>
        </w:rPr>
        <w:t>2</w:t>
      </w:r>
      <w:r>
        <w:rPr>
          <w:rFonts w:ascii="SimHei" w:hAnsi="SimHei" w:eastAsia="黑体" w:cs="SimHei"/>
          <w:color w:val="000000"/>
          <w:spacing w:val="8"/>
          <w:sz w:val="24"/>
          <w:szCs w:val="21"/>
        </w:rPr>
        <w:t>名。特等考绩的分数，不并入总平均分数的计算；</w:t>
      </w:r>
      <w:r>
        <w:rPr>
          <w:rFonts w:ascii="SimHei" w:hAnsi="SimHei" w:eastAsia="黑体" w:cs="SimHei"/>
          <w:color w:val="000000"/>
          <w:spacing w:val="8"/>
          <w:sz w:val="24"/>
          <w:szCs w:val="21"/>
        </w:rPr>
        <w:t>4</w:t>
      </w:r>
      <w:r>
        <w:rPr>
          <w:rFonts w:ascii="SimHei" w:hAnsi="SimHei" w:eastAsia="黑体" w:cs="SimHei"/>
          <w:color w:val="000000"/>
          <w:spacing w:val="8"/>
          <w:sz w:val="24"/>
          <w:szCs w:val="21"/>
        </w:rPr>
        <w:t>各人员考绩分数由该部门最高主管评定，统一呈交总经理复核后定之。</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三、年资规定</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年资计算起始日，以到公司开始上班日为基准，含试用期；</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员工中途离职、再回公司任职者，其年资以过去年资之五分之一计算；</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员工中选调任至本公司其他相关关系企业，其过去年资仍予承认。</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四、年终奖金发放</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年终奖金的发放原则上按第二条为准。公司该年度若盈余状况艮好，则要由总经理裁定，按每人原有年终奖金金额乘上</w:t>
      </w:r>
      <w:r>
        <w:rPr>
          <w:rFonts w:ascii="SimHei" w:hAnsi="SimHei" w:eastAsia="黑体" w:cs="SimHei"/>
          <w:color w:val="000000"/>
          <w:spacing w:val="8"/>
          <w:sz w:val="24"/>
          <w:szCs w:val="21"/>
        </w:rPr>
        <w:t>1</w:t>
      </w:r>
      <w:r>
        <w:rPr>
          <w:rFonts w:ascii="SimHei" w:hAnsi="SimHei" w:eastAsia="黑体" w:cs="SimHei"/>
          <w:color w:val="000000"/>
          <w:spacing w:val="8"/>
          <w:sz w:val="24"/>
          <w:szCs w:val="21"/>
        </w:rPr>
        <w:t>～</w:t>
      </w:r>
      <w:r>
        <w:rPr>
          <w:rFonts w:ascii="SimHei" w:hAnsi="SimHei" w:eastAsia="黑体" w:cs="SimHei"/>
          <w:color w:val="000000"/>
          <w:spacing w:val="8"/>
          <w:sz w:val="24"/>
          <w:szCs w:val="21"/>
        </w:rPr>
        <w:t xml:space="preserve">1 </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倍计算</w:t>
      </w:r>
      <w:r>
        <w:rPr>
          <w:rFonts w:ascii="SimHei" w:hAnsi="SimHei" w:eastAsia="黑体" w:cs="SimHei"/>
          <w:color w:val="000000"/>
          <w:spacing w:val="8"/>
          <w:sz w:val="24"/>
          <w:szCs w:val="21"/>
        </w:rPr>
        <w:t>(</w:t>
      </w:r>
      <w:r>
        <w:rPr>
          <w:rFonts w:ascii="SimHei" w:hAnsi="SimHei" w:eastAsia="黑体" w:cs="SimHei"/>
          <w:color w:val="000000"/>
          <w:spacing w:val="8"/>
          <w:sz w:val="24"/>
          <w:szCs w:val="21"/>
        </w:rPr>
        <w:t>示例：某员工年终奖金</w:t>
      </w:r>
      <w:r>
        <w:rPr>
          <w:rFonts w:ascii="SimHei" w:hAnsi="SimHei" w:eastAsia="黑体" w:cs="SimHei"/>
          <w:color w:val="000000"/>
          <w:spacing w:val="8"/>
          <w:sz w:val="24"/>
          <w:szCs w:val="21"/>
        </w:rPr>
        <w:t>400</w:t>
      </w:r>
      <w:r>
        <w:rPr>
          <w:rFonts w:ascii="SimHei" w:hAnsi="SimHei" w:eastAsia="黑体" w:cs="SimHei"/>
          <w:color w:val="000000"/>
          <w:spacing w:val="8"/>
          <w:sz w:val="24"/>
          <w:szCs w:val="21"/>
        </w:rPr>
        <w:t>，加发至</w:t>
      </w:r>
      <w:r>
        <w:rPr>
          <w:rFonts w:ascii="SimHei" w:hAnsi="SimHei" w:eastAsia="黑体" w:cs="SimHei"/>
          <w:color w:val="000000"/>
          <w:spacing w:val="8"/>
          <w:sz w:val="24"/>
          <w:szCs w:val="21"/>
        </w:rPr>
        <w:t>1.2</w:t>
      </w:r>
      <w:r>
        <w:rPr>
          <w:rFonts w:ascii="SimHei" w:hAnsi="SimHei" w:eastAsia="黑体" w:cs="SimHei"/>
          <w:color w:val="000000"/>
          <w:spacing w:val="8"/>
          <w:sz w:val="24"/>
          <w:szCs w:val="21"/>
        </w:rPr>
        <w:t>倍，则该员工合计可得</w:t>
      </w:r>
      <w:r>
        <w:rPr>
          <w:rFonts w:ascii="SimHei" w:hAnsi="SimHei" w:eastAsia="黑体" w:cs="SimHei"/>
          <w:color w:val="000000"/>
          <w:spacing w:val="8"/>
          <w:sz w:val="24"/>
          <w:szCs w:val="21"/>
        </w:rPr>
        <w:t>400×1 2=480)</w:t>
      </w:r>
      <w:r>
        <w:rPr>
          <w:rFonts w:ascii="SimHei" w:hAnsi="SimHei" w:eastAsia="黑体" w:cs="SimHei"/>
          <w:color w:val="000000"/>
          <w:spacing w:val="8"/>
          <w:sz w:val="24"/>
          <w:szCs w:val="21"/>
        </w:rPr>
        <w:t>。</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五、附则</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w:t>
      </w:r>
      <w:r>
        <w:rPr>
          <w:rFonts w:ascii="SimHei" w:hAnsi="SimHei" w:eastAsia="黑体" w:cs="SimHei"/>
          <w:color w:val="000000"/>
          <w:spacing w:val="8"/>
          <w:sz w:val="24"/>
          <w:szCs w:val="21"/>
        </w:rPr>
        <w:t>考绩定等按考绩办法处理；</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w:t>
      </w:r>
      <w:r>
        <w:rPr>
          <w:rFonts w:ascii="SimHei" w:hAnsi="SimHei" w:eastAsia="黑体" w:cs="SimHei"/>
          <w:color w:val="000000"/>
          <w:spacing w:val="8"/>
          <w:sz w:val="24"/>
          <w:szCs w:val="21"/>
        </w:rPr>
        <w:t>年终奖金一律在春节前</w:t>
      </w:r>
      <w:r>
        <w:rPr>
          <w:rFonts w:ascii="SimHei" w:hAnsi="SimHei" w:eastAsia="黑体" w:cs="SimHei"/>
          <w:color w:val="000000"/>
          <w:spacing w:val="8"/>
          <w:sz w:val="24"/>
          <w:szCs w:val="21"/>
        </w:rPr>
        <w:t>3</w:t>
      </w:r>
      <w:r>
        <w:rPr>
          <w:rFonts w:ascii="SimHei" w:hAnsi="SimHei" w:eastAsia="黑体" w:cs="SimHei"/>
          <w:color w:val="000000"/>
          <w:spacing w:val="8"/>
          <w:sz w:val="24"/>
          <w:szCs w:val="21"/>
        </w:rPr>
        <w:t>日发给；</w:t>
      </w:r>
    </w:p>
    <w:p>
      <w:pPr>
        <w:pStyle w:val="Normal"/>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w:t>
      </w:r>
      <w:r>
        <w:rPr>
          <w:rFonts w:ascii="SimHei" w:hAnsi="SimHei" w:eastAsia="黑体" w:cs="SimHei"/>
          <w:color w:val="000000"/>
          <w:spacing w:val="8"/>
          <w:sz w:val="24"/>
          <w:szCs w:val="21"/>
        </w:rPr>
        <w:t>奉支书呈交总经理核定后，自</w:t>
      </w:r>
      <w:r>
        <w:rPr>
          <w:rFonts w:ascii="SimHei" w:hAnsi="SimHei" w:eastAsia="黑体" w:cs="SimHei"/>
          <w:color w:val="000000"/>
          <w:spacing w:val="8"/>
          <w:sz w:val="24"/>
          <w:szCs w:val="21"/>
        </w:rPr>
        <w:t>×</w:t>
      </w:r>
      <w:r>
        <w:rPr>
          <w:rFonts w:ascii="SimHei" w:hAnsi="SimHei" w:eastAsia="黑体" w:cs="SimHei"/>
          <w:color w:val="000000"/>
          <w:spacing w:val="8"/>
          <w:sz w:val="24"/>
          <w:szCs w:val="21"/>
        </w:rPr>
        <w:t xml:space="preserve">年度起正式执行，修正时亦同。 </w:t>
      </w:r>
      <w:r>
        <w:br w:type="page"/>
      </w:r>
    </w:p>
    <w:p>
      <w:pPr>
        <w:pStyle w:val="Heading2"/>
        <w:spacing w:lineRule="atLeast" w:line="360"/>
        <w:rPr>
          <w:rFonts w:ascii="SimHei" w:hAnsi="SimHei" w:eastAsia="黑体" w:cs="SimHei"/>
          <w:color w:val="000000"/>
          <w:spacing w:val="8"/>
          <w:sz w:val="40"/>
        </w:rPr>
      </w:pPr>
      <w:bookmarkStart w:id="2" w:name="5"/>
      <w:bookmarkEnd w:id="2"/>
      <w:r>
        <w:rPr>
          <w:rFonts w:ascii="SimHei" w:hAnsi="SimHei" w:eastAsia="黑体" w:cs="SimHei"/>
          <w:color w:val="000000"/>
          <w:spacing w:val="8"/>
          <w:sz w:val="40"/>
        </w:rPr>
        <w:t>年终奖金总额的确定</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奖金总额的决定方式与企业的经营状况密切联系，反映企业整体经营状况的指标有很多，在年底发放奖金的时候，各企业可根据自己的经营方向选择奖金分配指标，也可以分部门确定奖金计算指标。</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一般情况下，利润是人们普遍认为最能体现企业经营绩效的指标，所以以利润为基准计算奖金的方式在企业界十分普遍。对于那些考核难以量化的部门，其年终奖金的数额可以与整个企业的年度利润挂钩，其基本的计算公式是：</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奖金总额 </w:t>
      </w:r>
      <w:r>
        <w:rPr>
          <w:rFonts w:ascii="SimHei" w:hAnsi="SimHei" w:eastAsia="黑体" w:cs="SimHei"/>
          <w:color w:val="000000"/>
          <w:spacing w:val="8"/>
          <w:sz w:val="24"/>
          <w:szCs w:val="21"/>
        </w:rPr>
        <w:t xml:space="preserve">= </w:t>
      </w:r>
      <w:r>
        <w:rPr>
          <w:rFonts w:ascii="SimHei" w:hAnsi="SimHei" w:eastAsia="黑体" w:cs="SimHei"/>
          <w:color w:val="000000"/>
          <w:spacing w:val="8"/>
          <w:sz w:val="24"/>
          <w:szCs w:val="21"/>
        </w:rPr>
        <w:t>固定额</w:t>
      </w:r>
      <w:r>
        <w:rPr>
          <w:rFonts w:ascii="SimHei" w:hAnsi="SimHei" w:eastAsia="黑体" w:cs="SimHei"/>
          <w:color w:val="000000"/>
          <w:spacing w:val="8"/>
          <w:sz w:val="24"/>
          <w:szCs w:val="21"/>
        </w:rPr>
        <w:t>+</w:t>
      </w:r>
      <w:r>
        <w:rPr>
          <w:rFonts w:ascii="SimHei" w:hAnsi="SimHei" w:eastAsia="黑体" w:cs="SimHei"/>
          <w:color w:val="000000"/>
          <w:spacing w:val="8"/>
          <w:sz w:val="24"/>
          <w:szCs w:val="21"/>
        </w:rPr>
        <w:t>总利润</w:t>
      </w:r>
      <w:r>
        <w:rPr>
          <w:rFonts w:ascii="SimHei" w:hAnsi="SimHei" w:eastAsia="黑体" w:cs="SimHei"/>
          <w:color w:val="000000"/>
          <w:spacing w:val="8"/>
          <w:sz w:val="24"/>
          <w:szCs w:val="21"/>
        </w:rPr>
        <w:t>×</w:t>
      </w:r>
      <w:r>
        <w:rPr>
          <w:rFonts w:ascii="SimHei" w:hAnsi="SimHei" w:eastAsia="黑体" w:cs="SimHei"/>
          <w:color w:val="000000"/>
          <w:spacing w:val="8"/>
          <w:sz w:val="24"/>
          <w:szCs w:val="21"/>
        </w:rPr>
        <w:t>一定比例系数</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对于公司的销售部门，可以用目标销售额作为公司市场部门的年终奖金计算基准，比较一般性的计算公式是：</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奖金数额</w:t>
      </w:r>
      <w:r>
        <w:rPr>
          <w:rFonts w:ascii="SimHei" w:hAnsi="SimHei" w:eastAsia="黑体" w:cs="SimHei"/>
          <w:color w:val="000000"/>
          <w:spacing w:val="8"/>
          <w:sz w:val="24"/>
          <w:szCs w:val="21"/>
        </w:rPr>
        <w:t>=</w:t>
      </w:r>
      <w:r>
        <w:rPr>
          <w:rFonts w:ascii="SimHei" w:hAnsi="SimHei" w:eastAsia="黑体" w:cs="SimHei"/>
          <w:color w:val="000000"/>
          <w:spacing w:val="8"/>
          <w:sz w:val="24"/>
          <w:szCs w:val="21"/>
        </w:rPr>
        <w:t>（实际年度销售额</w:t>
      </w:r>
      <w:r>
        <w:rPr>
          <w:rFonts w:ascii="SimHei" w:hAnsi="SimHei" w:eastAsia="黑体" w:cs="SimHei"/>
          <w:color w:val="000000"/>
          <w:spacing w:val="8"/>
          <w:sz w:val="24"/>
          <w:szCs w:val="21"/>
        </w:rPr>
        <w:t xml:space="preserve">- </w:t>
      </w:r>
      <w:r>
        <w:rPr>
          <w:rFonts w:ascii="SimHei" w:hAnsi="SimHei" w:eastAsia="黑体" w:cs="SimHei"/>
          <w:color w:val="000000"/>
          <w:spacing w:val="8"/>
          <w:sz w:val="24"/>
          <w:szCs w:val="21"/>
        </w:rPr>
        <w:t>目标年度销售额）</w:t>
      </w:r>
      <w:r>
        <w:rPr>
          <w:rFonts w:ascii="SimHei" w:hAnsi="SimHei" w:eastAsia="黑体" w:cs="SimHei"/>
          <w:color w:val="000000"/>
          <w:spacing w:val="8"/>
          <w:sz w:val="24"/>
          <w:szCs w:val="21"/>
        </w:rPr>
        <w:t>×</w:t>
      </w:r>
      <w:r>
        <w:rPr>
          <w:rFonts w:ascii="SimHei" w:hAnsi="SimHei" w:eastAsia="黑体" w:cs="SimHei"/>
          <w:color w:val="000000"/>
          <w:spacing w:val="8"/>
          <w:sz w:val="24"/>
          <w:szCs w:val="21"/>
        </w:rPr>
        <w:t>奖金计算比例系数 （如</w:t>
      </w:r>
      <w:r>
        <w:rPr>
          <w:rFonts w:ascii="SimHei" w:hAnsi="SimHei" w:eastAsia="黑体" w:cs="SimHei"/>
          <w:color w:val="000000"/>
          <w:spacing w:val="8"/>
          <w:sz w:val="24"/>
          <w:szCs w:val="21"/>
        </w:rPr>
        <w:t>8%</w:t>
      </w:r>
      <w:r>
        <w:rPr>
          <w:rFonts w:ascii="SimHei" w:hAnsi="SimHei" w:eastAsia="黑体" w:cs="SimHei"/>
          <w:color w:val="000000"/>
          <w:spacing w:val="8"/>
          <w:sz w:val="24"/>
          <w:szCs w:val="21"/>
        </w:rPr>
        <w:t>）</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还有一些企业使用另外一个公式：</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奖金额</w:t>
      </w:r>
      <w:r>
        <w:rPr>
          <w:rFonts w:ascii="SimHei" w:hAnsi="SimHei" w:eastAsia="黑体" w:cs="SimHei"/>
          <w:color w:val="000000"/>
          <w:spacing w:val="8"/>
          <w:sz w:val="24"/>
          <w:szCs w:val="21"/>
        </w:rPr>
        <w:t>=</w:t>
      </w:r>
      <w:r>
        <w:rPr>
          <w:rFonts w:ascii="SimHei" w:hAnsi="SimHei" w:eastAsia="黑体" w:cs="SimHei"/>
          <w:color w:val="000000"/>
          <w:spacing w:val="8"/>
          <w:sz w:val="24"/>
          <w:szCs w:val="21"/>
        </w:rPr>
        <w:t>基本工资</w:t>
      </w:r>
      <w:r>
        <w:rPr>
          <w:rFonts w:ascii="SimHei" w:hAnsi="SimHei" w:eastAsia="黑体" w:cs="SimHei"/>
          <w:color w:val="000000"/>
          <w:spacing w:val="8"/>
          <w:sz w:val="24"/>
          <w:szCs w:val="21"/>
        </w:rPr>
        <w:t>×a%</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其中</w:t>
      </w:r>
      <w:r>
        <w:rPr>
          <w:rFonts w:ascii="SimHei" w:hAnsi="SimHei" w:eastAsia="黑体" w:cs="SimHei"/>
          <w:color w:val="000000"/>
          <w:spacing w:val="8"/>
          <w:sz w:val="24"/>
          <w:szCs w:val="21"/>
        </w:rPr>
        <w:t>a</w:t>
      </w:r>
      <w:r>
        <w:rPr>
          <w:rFonts w:ascii="SimHei" w:hAnsi="SimHei" w:eastAsia="黑体" w:cs="SimHei"/>
          <w:color w:val="000000"/>
          <w:spacing w:val="8"/>
          <w:sz w:val="24"/>
          <w:szCs w:val="21"/>
        </w:rPr>
        <w:t xml:space="preserve">是企业自己规定的，根据实际销售额超过目标销售额的比率分成不同的档次。 </w:t>
      </w:r>
    </w:p>
    <w:p>
      <w:pPr>
        <w:pStyle w:val="Heading2"/>
        <w:spacing w:lineRule="atLeast" w:line="360"/>
        <w:rPr>
          <w:rFonts w:ascii="SimHei" w:hAnsi="SimHei" w:eastAsia="黑体" w:cs="SimHei"/>
          <w:color w:val="000000"/>
          <w:spacing w:val="8"/>
          <w:sz w:val="40"/>
        </w:rPr>
      </w:pPr>
      <w:bookmarkStart w:id="3" w:name="6"/>
      <w:bookmarkEnd w:id="3"/>
      <w:r>
        <w:rPr>
          <w:rFonts w:ascii="SimHei" w:hAnsi="SimHei" w:eastAsia="黑体" w:cs="SimHei"/>
          <w:color w:val="000000"/>
          <w:spacing w:val="8"/>
          <w:sz w:val="40"/>
        </w:rPr>
        <w:t>年终奖制度</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一套完善的福利制度可以满足员工需求，振奋员工士气，提高工作效率。于是，这让越来越多的企业开始在年终奖上大做文章。</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年末</w:t>
      </w:r>
      <w:hyperlink r:id="rId2" w:tgtFrame="_blank">
        <w:r>
          <w:rPr>
            <w:rStyle w:val="InternetLink"/>
            <w:rFonts w:ascii="SimHei" w:hAnsi="SimHei" w:eastAsia="黑体" w:cs="SimHei"/>
            <w:b/>
            <w:bCs/>
            <w:spacing w:val="8"/>
            <w:sz w:val="24"/>
            <w:szCs w:val="21"/>
          </w:rPr>
          <w:t>双薪制</w:t>
        </w:r>
      </w:hyperlink>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“年末双薪制”是最普遍的年终奖发放形式之一，大多数企业，特别是外企更倾向运用这种方法，即按员工平时月收入的数额在年底加发一个月至数个月的工资。</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然而，随着市场竞争以及人才竞争越来越激烈，许多企业为了增强对人才的吸引力，保留核心和关键员工，开始把年终奖的发放视为人力资源管理政策和报酬体系中非常重要的一环，年终奖的发放方案除了考虑企业和部门的绩效因素，同时还将员工当年的工作绩效或对企业贡献的大小作为确定个人年终奖数额的一个重要依据。这种形式的意义在于它的“弹性机制”，领导可以按照下属的工作态度和成绩分别给予不同金额的奖励，这也是拉开员工收入档次的一项重要措施。此外，有些私企的月薪常常不与业绩挂钩，而是在发放年终奖时一并回馈给职工，如此一来，红包的分量更是惊人，多的可达１０多万元。这样不仅大大提高了年终奖的发放力度，同时也对年终奖的分配效果提出了越来越高的要求。</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差异性年终奖金制度</w:t>
      </w:r>
    </w:p>
    <w:p>
      <w:pPr>
        <w:pStyle w:val="Normal"/>
        <w:ind w:firstLine="480"/>
        <w:rPr>
          <w:rFonts w:ascii="SimHei" w:hAnsi="SimHei" w:eastAsia="黑体" w:cs="SimHei"/>
          <w:color w:val="000000"/>
          <w:spacing w:val="8"/>
          <w:sz w:val="24"/>
          <w:szCs w:val="21"/>
        </w:rPr>
      </w:pPr>
      <w:r>
        <w:rPr>
          <w:rFonts w:ascii="SimHei" w:hAnsi="SimHei" w:eastAsia="黑体" w:cs="SimHei"/>
          <w:color w:val="000000"/>
          <w:spacing w:val="8"/>
          <w:sz w:val="24"/>
          <w:szCs w:val="21"/>
        </w:rPr>
        <w:t>为减少嫉妒，还应当适当考虑各个部门和个人的差异尺度。差异性年终奖金的分配依赖于绩效考核，高质量的绩效考核体系是成功实施差异性年终奖金的分配的基础。所以必须定出高质量的考核指标体系。</w:t>
      </w:r>
    </w:p>
    <w:p>
      <w:pPr>
        <w:pStyle w:val="Normal"/>
        <w:ind w:firstLine="482"/>
        <w:rPr/>
      </w:pPr>
      <w:r>
        <w:rPr>
          <w:rFonts w:ascii="SimHei" w:hAnsi="SimHei" w:eastAsia="黑体" w:cs="SimHei"/>
          <w:color w:val="000000"/>
          <w:spacing w:val="8"/>
          <w:sz w:val="24"/>
          <w:szCs w:val="21"/>
        </w:rPr>
        <w:t>高质量的考核指标体系应该</w:t>
      </w:r>
      <w:r>
        <w:rPr>
          <w:rFonts w:ascii="SimHei" w:hAnsi="SimHei" w:eastAsia="黑体" w:cs="SimHei"/>
          <w:color w:val="000000"/>
          <w:spacing w:val="8"/>
          <w:sz w:val="24"/>
          <w:szCs w:val="21"/>
        </w:rPr>
        <w:t>：</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１、考核指标一定要与企业的战略挂钩，这一点很重要，但是往往容易被忽略</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２、指标不宜太多</w:t>
      </w:r>
      <w:r>
        <w:rPr>
          <w:rFonts w:ascii="SimHei" w:hAnsi="SimHei" w:eastAsia="黑体" w:cs="SimHei"/>
          <w:color w:val="000000"/>
          <w:spacing w:val="8"/>
          <w:sz w:val="24"/>
          <w:szCs w:val="21"/>
        </w:rPr>
        <w:t>，</w:t>
      </w:r>
      <w:r>
        <w:rPr>
          <w:rFonts w:ascii="SimHei" w:hAnsi="SimHei" w:eastAsia="黑体" w:cs="SimHei"/>
          <w:color w:val="000000"/>
          <w:spacing w:val="8"/>
          <w:sz w:val="24"/>
          <w:szCs w:val="21"/>
        </w:rPr>
        <w:t>３－４个关键指标较好。</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３、指标要明确，明确的指标，使人们知道做的好还是不好，避免评价者的的主观意识；同时，指明了员工努力的方向。</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４、高质量的考核指标体系，员工应该可以自我测试，或选择同事／客户来评价自己。</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５、定指标时，不仅仅是财务指标，还应该包含非财务指标；例如，客户服务也应该被考虑进来（准时交货，退货量的减少，客户满意度统计等）。</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６、如果个人绩效很好但与团队不合，那么这个人的绩效考核分数也不应该高。</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７、绩效考核体系运行成功与否，关系到企业战略目标能否实现。所以，应该是每一个人都被评价，不管是高层管理人员还是基层文员。</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８、评价任何员工或部门时，需要多角度评估，而不是一个人（上司）完全决定。</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９、评价的结果应该让被评价者和公司多数人接受，没有吃惊。</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10</w:t>
      </w:r>
      <w:r>
        <w:rPr>
          <w:rFonts w:ascii="SimHei" w:hAnsi="SimHei" w:eastAsia="黑体" w:cs="SimHei"/>
          <w:color w:val="000000"/>
          <w:spacing w:val="8"/>
          <w:sz w:val="24"/>
          <w:szCs w:val="21"/>
        </w:rPr>
        <w:t>、对于评价者，董事会实施有效的监督，如果发现评价者有舞弊等行为，经核实，董事会有权利来减少某人的奖金，如果这个人的行为被认为是有损公司的，应该予以一定的制裁。</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１１、评价的时间和奖金发放的时间，我们觉得，一年的时间太长了，应该缩短，起码半年更好些。这样，可以及时发现工作中以及评价中的问题，及时解决问题。</w:t>
      </w:r>
    </w:p>
    <w:p>
      <w:pPr>
        <w:pStyle w:val="Normal"/>
        <w:ind w:firstLine="482"/>
        <w:rPr/>
      </w:pPr>
      <w:r>
        <w:rPr>
          <w:rFonts w:ascii="SimHei" w:hAnsi="SimHei" w:eastAsia="黑体" w:cs="SimHei"/>
          <w:color w:val="000000"/>
          <w:spacing w:val="8"/>
          <w:sz w:val="24"/>
          <w:szCs w:val="21"/>
        </w:rPr>
        <w:t>奖金的发放额度，企业自己根据情况调整，通常，我们建议开始时额度小一点，比如，占工资总额的</w:t>
      </w:r>
      <w:r>
        <w:rPr>
          <w:rFonts w:ascii="SimHei" w:hAnsi="SimHei" w:eastAsia="黑体" w:cs="SimHei"/>
          <w:color w:val="000000"/>
          <w:spacing w:val="8"/>
          <w:sz w:val="24"/>
          <w:szCs w:val="21"/>
        </w:rPr>
        <w:t>5</w:t>
      </w:r>
      <w:r>
        <w:rPr>
          <w:rFonts w:ascii="SimHei" w:hAnsi="SimHei" w:eastAsia="黑体" w:cs="SimHei"/>
          <w:color w:val="000000"/>
          <w:spacing w:val="8"/>
          <w:sz w:val="24"/>
          <w:szCs w:val="21"/>
        </w:rPr>
        <w:t>％－</w:t>
      </w:r>
      <w:r>
        <w:rPr>
          <w:rFonts w:ascii="SimHei" w:hAnsi="SimHei" w:eastAsia="黑体" w:cs="SimHei"/>
          <w:color w:val="000000"/>
          <w:spacing w:val="8"/>
          <w:sz w:val="24"/>
          <w:szCs w:val="21"/>
        </w:rPr>
        <w:t>10</w:t>
      </w:r>
      <w:r>
        <w:rPr>
          <w:rFonts w:ascii="SimHei" w:hAnsi="SimHei" w:eastAsia="黑体" w:cs="SimHei"/>
          <w:color w:val="000000"/>
          <w:spacing w:val="8"/>
          <w:sz w:val="24"/>
          <w:szCs w:val="21"/>
        </w:rPr>
        <w:t>％。当整个系统运行的比较有效、平稳时，可以加大额度，有些企业的奖金额度，比工资还要高，甚至达到工资的</w:t>
      </w:r>
      <w:r>
        <w:rPr>
          <w:rFonts w:ascii="SimHei" w:hAnsi="SimHei" w:eastAsia="黑体" w:cs="SimHei"/>
          <w:color w:val="000000"/>
          <w:spacing w:val="8"/>
          <w:sz w:val="24"/>
          <w:szCs w:val="21"/>
        </w:rPr>
        <w:t>150</w:t>
      </w:r>
      <w:r>
        <w:rPr>
          <w:rFonts w:ascii="SimHei" w:hAnsi="SimHei" w:eastAsia="黑体" w:cs="SimHei"/>
          <w:color w:val="000000"/>
          <w:spacing w:val="8"/>
          <w:sz w:val="24"/>
          <w:szCs w:val="21"/>
        </w:rPr>
        <w:t>％。年终奖金的发放方案，不应该在将近年终时才考虑，在年初制定公司计划的时候，就应该制订好年终发放奖金时的考评指标、评价方法、发放规则等等相应的各项制度。</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年终奖的发放形式</w:t>
      </w:r>
    </w:p>
    <w:p>
      <w:pPr>
        <w:pStyle w:val="Normal"/>
        <w:ind w:firstLine="482"/>
        <w:rPr/>
      </w:pPr>
      <w:r>
        <w:rPr>
          <w:rFonts w:ascii="SimHei" w:hAnsi="SimHei" w:eastAsia="黑体" w:cs="SimHei"/>
          <w:color w:val="000000"/>
          <w:spacing w:val="8"/>
          <w:sz w:val="24"/>
          <w:szCs w:val="21"/>
        </w:rPr>
        <w:t>据外资企业就职的张先生透露，他们公司一般在每年财政年度后的当月发放。原则上按照员工的上年表现、业绩、对公司的贡献大小按比例计算。但实际上和原则会有出入，这其中直属上司发挥着关键的作用，对奖金产生直接影响，使奖金有</w:t>
      </w:r>
      <w:r>
        <w:rPr>
          <w:rFonts w:ascii="SimHei" w:hAnsi="SimHei" w:eastAsia="黑体" w:cs="SimHei"/>
          <w:color w:val="000000"/>
          <w:spacing w:val="8"/>
          <w:sz w:val="24"/>
          <w:szCs w:val="21"/>
        </w:rPr>
        <w:t>10</w:t>
      </w:r>
      <w:r>
        <w:rPr>
          <w:rFonts w:ascii="SimHei" w:hAnsi="SimHei" w:eastAsia="黑体" w:cs="SimHei"/>
          <w:color w:val="000000"/>
          <w:spacing w:val="8"/>
          <w:sz w:val="24"/>
          <w:szCs w:val="21"/>
        </w:rPr>
        <w:t>％－</w:t>
      </w:r>
      <w:r>
        <w:rPr>
          <w:rFonts w:ascii="SimHei" w:hAnsi="SimHei" w:eastAsia="黑体" w:cs="SimHei"/>
          <w:color w:val="000000"/>
          <w:spacing w:val="8"/>
          <w:sz w:val="24"/>
          <w:szCs w:val="21"/>
        </w:rPr>
        <w:t>30</w:t>
      </w:r>
      <w:r>
        <w:rPr>
          <w:rFonts w:ascii="SimHei" w:hAnsi="SimHei" w:eastAsia="黑体" w:cs="SimHei"/>
          <w:color w:val="000000"/>
          <w:spacing w:val="8"/>
          <w:sz w:val="24"/>
          <w:szCs w:val="21"/>
        </w:rPr>
        <w:t>％甚至</w:t>
      </w:r>
      <w:r>
        <w:rPr>
          <w:rFonts w:ascii="SimHei" w:hAnsi="SimHei" w:eastAsia="黑体" w:cs="SimHei"/>
          <w:color w:val="000000"/>
          <w:spacing w:val="8"/>
          <w:sz w:val="24"/>
          <w:szCs w:val="21"/>
        </w:rPr>
        <w:t>50</w:t>
      </w:r>
      <w:r>
        <w:rPr>
          <w:rFonts w:ascii="SimHei" w:hAnsi="SimHei" w:eastAsia="黑体" w:cs="SimHei"/>
          <w:color w:val="000000"/>
          <w:spacing w:val="8"/>
          <w:sz w:val="24"/>
          <w:szCs w:val="21"/>
        </w:rPr>
        <w:t>％的上下浮动。</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除了发放现金，一些公司还将旅游奖励、赠送保险、车贴、房贴等列入年终奖的内容。某外企人事经理向记者介绍，去年公司将一部分年终奖用于奖励员工旅游，大家都觉得这样的形式效果不错，增加了公司的凝聚力。</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　　无论企业用哪种方式发放年终奖，有一条原则是共通的，那就是年终奖的发放既要维护企业自身的利益，也要顾及员工的心理期望值，只有把这两者兼顾好了，年终奖才能发放得“公平”，才能起到奖励和激励的作用，为企业第二年的运作埋下良好的伏笔。</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公平的评价制度</w:t>
      </w:r>
    </w:p>
    <w:p>
      <w:pPr>
        <w:pStyle w:val="Normal"/>
        <w:spacing w:lineRule="atLeast" w:line="360"/>
        <w:rPr/>
      </w:pPr>
      <w:r>
        <w:rPr>
          <w:rFonts w:ascii="SimHei" w:hAnsi="SimHei" w:eastAsia="黑体" w:cs="SimHei"/>
          <w:b/>
          <w:bCs/>
          <w:color w:val="000000"/>
          <w:spacing w:val="8"/>
          <w:sz w:val="22"/>
          <w:szCs w:val="21"/>
        </w:rPr>
        <w:t>　　</w:t>
      </w:r>
      <w:r>
        <w:rPr>
          <w:rFonts w:ascii="SimHei" w:hAnsi="SimHei" w:eastAsia="黑体" w:cs="SimHei"/>
          <w:color w:val="000000"/>
          <w:spacing w:val="8"/>
          <w:sz w:val="24"/>
          <w:szCs w:val="21"/>
        </w:rPr>
        <w:t>在大多数公司里，年终奖和工资一样被要求严格保密。记者在采访中注意到，几乎所有被问及的公司负责人，都对年终奖话题闪烁其词不愿作答，而底下的员工倒十分乐意谈论，但却再三要求记者对其姓名保密。这不能不是一个有趣的现象。</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据某企业人力资源主管透露，之所以回避年终奖话题，是因为年终奖涉及的奖励额度比较大，授奖面宽，又处在新旧年度交替的时间接口，对职工的心理影响较大，因此往往采取“模糊发放”方式，不公开金额。</w:t>
      </w:r>
    </w:p>
    <w:p>
      <w:pPr>
        <w:pStyle w:val="Normal"/>
        <w:ind w:firstLine="482"/>
        <w:rPr>
          <w:rFonts w:ascii="SimHei" w:hAnsi="SimHei" w:eastAsia="黑体" w:cs="SimHei"/>
          <w:color w:val="000000"/>
          <w:spacing w:val="8"/>
          <w:sz w:val="24"/>
          <w:szCs w:val="21"/>
        </w:rPr>
      </w:pPr>
      <w:r>
        <w:rPr>
          <w:rFonts w:ascii="SimHei" w:hAnsi="SimHei" w:eastAsia="黑体" w:cs="SimHei"/>
          <w:color w:val="000000"/>
          <w:spacing w:val="8"/>
          <w:sz w:val="24"/>
          <w:szCs w:val="21"/>
        </w:rPr>
        <w:t>然而，这种做法似乎每每收到相反的效果：对其他员工所得多少的猜测，对年终奖发放公平与否的怀疑以及不满、埋怨等情绪往往弥漫在企业中，没完没了的申诉搞得企业领导心力交瘁。这种状况一般要持续到春节前后，严重的会影响下一年的工作。</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那么如何发放年终奖才能体现公平公正，才能让员工满意？有专家提出，年终奖除了分配方案要做到科学合理外，保证分配诸环节的公开透明也是至关重要的一环。人力资源专家刘昕博士认为，年终奖的发放是否应当公开在很大程度上取决于企业的人力资源管理水平的高低尤其是企业中是否存在科学的、完善的工作绩效评价制度。在人力资源管理系统较为健全</w:t>
      </w:r>
      <w:r>
        <w:rPr>
          <w:rFonts w:ascii="SimHei" w:hAnsi="SimHei" w:eastAsia="黑体" w:cs="SimHei"/>
          <w:color w:val="000000"/>
          <w:spacing w:val="8"/>
          <w:sz w:val="24"/>
          <w:szCs w:val="21"/>
        </w:rPr>
        <w:t>,</w:t>
      </w:r>
      <w:r>
        <w:rPr>
          <w:rFonts w:ascii="SimHei" w:hAnsi="SimHei" w:eastAsia="黑体" w:cs="SimHei"/>
          <w:color w:val="000000"/>
          <w:spacing w:val="8"/>
          <w:sz w:val="24"/>
          <w:szCs w:val="21"/>
        </w:rPr>
        <w:t>管理比较规范的较大企业中</w:t>
      </w:r>
      <w:r>
        <w:rPr>
          <w:rFonts w:ascii="SimHei" w:hAnsi="SimHei" w:eastAsia="黑体" w:cs="SimHei"/>
          <w:color w:val="000000"/>
          <w:spacing w:val="8"/>
          <w:sz w:val="24"/>
          <w:szCs w:val="21"/>
        </w:rPr>
        <w:t>,</w:t>
      </w:r>
      <w:r>
        <w:rPr>
          <w:rFonts w:ascii="SimHei" w:hAnsi="SimHei" w:eastAsia="黑体" w:cs="SimHei"/>
          <w:color w:val="000000"/>
          <w:spacing w:val="8"/>
          <w:sz w:val="24"/>
          <w:szCs w:val="21"/>
        </w:rPr>
        <w:t>至少应当公开年终奖的计算以及发放方案。同时，年终奖的发放是否应当公开</w:t>
      </w:r>
      <w:r>
        <w:rPr>
          <w:rFonts w:ascii="SimHei" w:hAnsi="SimHei" w:eastAsia="黑体" w:cs="SimHei"/>
          <w:color w:val="000000"/>
          <w:spacing w:val="8"/>
          <w:sz w:val="24"/>
          <w:szCs w:val="21"/>
        </w:rPr>
        <w:t>,</w:t>
      </w:r>
      <w:r>
        <w:rPr>
          <w:rFonts w:ascii="SimHei" w:hAnsi="SimHei" w:eastAsia="黑体" w:cs="SimHei"/>
          <w:color w:val="000000"/>
          <w:spacing w:val="8"/>
          <w:sz w:val="24"/>
          <w:szCs w:val="21"/>
        </w:rPr>
        <w:t>还要取决于企业员工对于奖金差距的接受程度。但是对于具体的个人实得奖金额则不一定公开宣布</w:t>
      </w:r>
      <w:r>
        <w:rPr>
          <w:rFonts w:ascii="SimHei" w:hAnsi="SimHei" w:eastAsia="黑体" w:cs="SimHei"/>
          <w:color w:val="000000"/>
          <w:spacing w:val="8"/>
          <w:sz w:val="24"/>
          <w:szCs w:val="21"/>
        </w:rPr>
        <w:t>,</w:t>
      </w:r>
      <w:r>
        <w:rPr>
          <w:rFonts w:ascii="SimHei" w:hAnsi="SimHei" w:eastAsia="黑体" w:cs="SimHei"/>
          <w:color w:val="000000"/>
          <w:spacing w:val="8"/>
          <w:sz w:val="24"/>
          <w:szCs w:val="21"/>
        </w:rPr>
        <w:t>同时应当允许员工私下沟通或到人力资源管理部门查询和比较。而在企业规模较小的情况下</w:t>
      </w:r>
      <w:r>
        <w:rPr>
          <w:rFonts w:ascii="SimHei" w:hAnsi="SimHei" w:eastAsia="黑体" w:cs="SimHei"/>
          <w:color w:val="000000"/>
          <w:spacing w:val="8"/>
          <w:sz w:val="24"/>
          <w:szCs w:val="21"/>
        </w:rPr>
        <w:t>,</w:t>
      </w:r>
      <w:r>
        <w:rPr>
          <w:rFonts w:ascii="SimHei" w:hAnsi="SimHei" w:eastAsia="黑体" w:cs="SimHei"/>
          <w:color w:val="000000"/>
          <w:spacing w:val="8"/>
          <w:sz w:val="24"/>
          <w:szCs w:val="21"/>
        </w:rPr>
        <w:t xml:space="preserve">企业可以以红包的形式发放年终奖而不必公开奖金发放结果。无论是采用“红包制”，还是公开制，要想提高员工满意度，加强管理、完善绩效考评是必经之路。毕竟，管理层谁也不希望员工一拿到年终奖就“黄鹤一去不复返”了。 </w:t>
      </w:r>
    </w:p>
    <w:p>
      <w:pPr>
        <w:pStyle w:val="Normal"/>
        <w:spacing w:lineRule="atLeast" w:line="360"/>
        <w:rPr/>
      </w:pPr>
      <w:bookmarkStart w:id="4" w:name="7"/>
      <w:bookmarkEnd w:id="4"/>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1.</w:t>
      </w:r>
      <w:r>
        <w:rPr>
          <w:rFonts w:ascii="SimHei" w:hAnsi="SimHei" w:eastAsia="黑体" w:cs="SimHei"/>
          <w:b/>
          <w:bCs/>
          <w:color w:val="000000"/>
          <w:spacing w:val="8"/>
          <w:sz w:val="24"/>
          <w:szCs w:val="21"/>
        </w:rPr>
        <w:t>关于年终奖费用入帐时间问题。</w:t>
      </w:r>
    </w:p>
    <w:p>
      <w:pPr>
        <w:pStyle w:val="Normal"/>
        <w:spacing w:lineRule="atLeast" w:line="360"/>
        <w:rPr/>
      </w:pPr>
      <w:r>
        <w:rPr>
          <w:rFonts w:ascii="SimHei" w:hAnsi="SimHei" w:eastAsia="黑体" w:cs="SimHei"/>
          <w:b/>
          <w:bCs/>
          <w:color w:val="000000"/>
          <w:spacing w:val="8"/>
          <w:sz w:val="22"/>
          <w:szCs w:val="21"/>
        </w:rPr>
        <w:t>　　</w:t>
      </w:r>
      <w:r>
        <w:rPr>
          <w:rFonts w:ascii="SimHei" w:hAnsi="SimHei" w:eastAsia="黑体" w:cs="SimHei"/>
          <w:color w:val="000000"/>
          <w:spacing w:val="8"/>
          <w:sz w:val="24"/>
          <w:szCs w:val="21"/>
        </w:rPr>
        <w:t>如果你公司年终奖金列入员工工资单上，则随工资一起按你公司规定时间入帐即可。如果年终奖的发放未计入工资单中的，一般情况下，可以在发放当月计入相关成本费用。</w:t>
      </w:r>
    </w:p>
    <w:p>
      <w:pPr>
        <w:pStyle w:val="Normal"/>
        <w:spacing w:lineRule="atLeast" w:line="360"/>
        <w:rPr>
          <w:rFonts w:ascii="SimHei" w:hAnsi="SimHei" w:eastAsia="黑体" w:cs="SimHei"/>
          <w:b/>
          <w:b/>
          <w:color w:val="000000"/>
          <w:spacing w:val="8"/>
          <w:sz w:val="24"/>
          <w:szCs w:val="21"/>
        </w:rPr>
      </w:pPr>
      <w:r>
        <w:rPr>
          <w:rFonts w:ascii="SimHei" w:hAnsi="SimHei" w:eastAsia="黑体" w:cs="SimHei"/>
          <w:b/>
          <w:color w:val="000000"/>
          <w:spacing w:val="8"/>
          <w:sz w:val="24"/>
          <w:szCs w:val="21"/>
        </w:rPr>
        <w:t>　　</w:t>
      </w:r>
      <w:r>
        <w:rPr>
          <w:rFonts w:ascii="SimHei" w:hAnsi="SimHei" w:eastAsia="黑体" w:cs="SimHei"/>
          <w:b/>
          <w:color w:val="000000"/>
          <w:spacing w:val="8"/>
          <w:sz w:val="24"/>
          <w:szCs w:val="21"/>
        </w:rPr>
        <w:t>2.</w:t>
      </w:r>
      <w:r>
        <w:rPr>
          <w:rFonts w:ascii="SimHei" w:hAnsi="SimHei" w:eastAsia="黑体" w:cs="SimHei"/>
          <w:b/>
          <w:bCs/>
          <w:color w:val="000000"/>
          <w:spacing w:val="8"/>
          <w:sz w:val="24"/>
          <w:szCs w:val="21"/>
        </w:rPr>
        <w:t>关于年终奖金的计税问题。</w:t>
      </w:r>
      <w:r>
        <w:rPr>
          <w:rFonts w:ascii="SimHei" w:hAnsi="SimHei" w:eastAsia="黑体" w:cs="SimHei"/>
          <w:b/>
          <w:bCs/>
          <w:color w:val="000000"/>
          <w:spacing w:val="8"/>
          <w:sz w:val="24"/>
          <w:szCs w:val="21"/>
        </w:rPr>
        <w:t xml:space="preserve"> </w:t>
      </w:r>
    </w:p>
    <w:p>
      <w:pPr>
        <w:pStyle w:val="Normal"/>
        <w:spacing w:lineRule="atLeast" w:line="360"/>
        <w:rPr>
          <w:rFonts w:ascii="SimHei" w:hAnsi="SimHei" w:eastAsia="黑体" w:cs="SimHei"/>
          <w:b/>
          <w:b/>
          <w:color w:val="000000"/>
          <w:spacing w:val="8"/>
          <w:sz w:val="24"/>
          <w:szCs w:val="21"/>
        </w:rPr>
      </w:pPr>
      <w:r>
        <w:rPr>
          <w:rFonts w:ascii="SimHei" w:hAnsi="SimHei" w:eastAsia="黑体" w:cs="SimHei"/>
          <w:b/>
          <w:color w:val="000000"/>
          <w:spacing w:val="8"/>
          <w:sz w:val="24"/>
          <w:szCs w:val="21"/>
        </w:rPr>
        <w:t>　　</w:t>
      </w:r>
      <w:r>
        <w:rPr>
          <w:rFonts w:ascii="SimHei" w:hAnsi="SimHei" w:eastAsia="黑体" w:cs="SimHei"/>
          <w:b/>
          <w:bCs/>
          <w:color w:val="000000"/>
          <w:spacing w:val="8"/>
          <w:sz w:val="24"/>
          <w:szCs w:val="21"/>
        </w:rPr>
        <w:t>根据税法规定：</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——纳税人取得全年一次性奖金，单独作为一个月工资、薪金所得计算纳税，并按以下计税办法，由扣缴义务人发放时代扣代缴：</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（一）先将雇员当月内取得的全年一次性奖金，除以</w:t>
      </w:r>
      <w:r>
        <w:rPr>
          <w:rFonts w:ascii="SimHei" w:hAnsi="SimHei" w:eastAsia="黑体" w:cs="SimHei"/>
          <w:color w:val="000000"/>
          <w:spacing w:val="8"/>
          <w:sz w:val="24"/>
          <w:szCs w:val="21"/>
        </w:rPr>
        <w:t>12</w:t>
      </w:r>
      <w:r>
        <w:rPr>
          <w:rFonts w:ascii="SimHei" w:hAnsi="SimHei" w:eastAsia="黑体" w:cs="SimHei"/>
          <w:color w:val="000000"/>
          <w:spacing w:val="8"/>
          <w:sz w:val="24"/>
          <w:szCs w:val="21"/>
        </w:rPr>
        <w:t>个月，按其商数确定适用税率和速算扣除数。</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如果在发放年终一次性奖金的当月，雇员当月工资薪金所得低于税法规定的费用扣除额，应将全年一次性奖金减除“雇员当月工资薪金所得与费用扣除额的差额”后的余额，按上述办法确定全年一次性奖金的适用税率和速算扣除数。</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（二）将雇员个人当月内取得的全年一次性奖金，按本条第（一）项确定的适用税率和速算扣除数计算征税，计算公式如下：</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）如果雇员当月工资薪金所得高于（或等于）税法规定的费用扣除额的，适用公式为：</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应纳税额</w:t>
      </w:r>
      <w:r>
        <w:rPr>
          <w:rFonts w:ascii="SimHei" w:hAnsi="SimHei" w:eastAsia="黑体" w:cs="SimHei"/>
          <w:color w:val="000000"/>
          <w:spacing w:val="8"/>
          <w:sz w:val="24"/>
          <w:szCs w:val="21"/>
        </w:rPr>
        <w:t>=</w:t>
      </w:r>
      <w:r>
        <w:rPr>
          <w:rFonts w:ascii="SimHei" w:hAnsi="SimHei" w:eastAsia="黑体" w:cs="SimHei"/>
          <w:color w:val="000000"/>
          <w:spacing w:val="8"/>
          <w:sz w:val="24"/>
          <w:szCs w:val="21"/>
        </w:rPr>
        <w:t>雇员当月取得全年一次性奖金</w:t>
      </w:r>
      <w:r>
        <w:rPr>
          <w:rFonts w:ascii="SimHei" w:hAnsi="SimHei" w:eastAsia="黑体" w:cs="SimHei"/>
          <w:color w:val="000000"/>
          <w:spacing w:val="8"/>
          <w:sz w:val="24"/>
          <w:szCs w:val="21"/>
        </w:rPr>
        <w:t>×</w:t>
      </w:r>
      <w:r>
        <w:rPr>
          <w:rFonts w:ascii="SimHei" w:hAnsi="SimHei" w:eastAsia="黑体" w:cs="SimHei"/>
          <w:color w:val="000000"/>
          <w:spacing w:val="8"/>
          <w:sz w:val="24"/>
          <w:szCs w:val="21"/>
        </w:rPr>
        <w:t>适用税率</w:t>
      </w:r>
      <w:r>
        <w:rPr>
          <w:rFonts w:ascii="SimHei" w:hAnsi="SimHei" w:eastAsia="黑体" w:cs="SimHei"/>
          <w:color w:val="000000"/>
          <w:spacing w:val="8"/>
          <w:sz w:val="24"/>
          <w:szCs w:val="21"/>
        </w:rPr>
        <w:t>-</w:t>
      </w:r>
      <w:r>
        <w:rPr>
          <w:rFonts w:ascii="SimHei" w:hAnsi="SimHei" w:eastAsia="黑体" w:cs="SimHei"/>
          <w:color w:val="000000"/>
          <w:spacing w:val="8"/>
          <w:sz w:val="24"/>
          <w:szCs w:val="21"/>
        </w:rPr>
        <w:t>速算扣除数</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）如果雇员当月工资薪金所得低于税法规定的费用扣除额的，适用公式为：</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应纳税额</w:t>
      </w:r>
      <w:r>
        <w:rPr>
          <w:rFonts w:ascii="SimHei" w:hAnsi="SimHei" w:eastAsia="黑体" w:cs="SimHei"/>
          <w:color w:val="000000"/>
          <w:spacing w:val="8"/>
          <w:sz w:val="24"/>
          <w:szCs w:val="21"/>
        </w:rPr>
        <w:t>=(</w:t>
      </w:r>
      <w:r>
        <w:rPr>
          <w:rFonts w:ascii="SimHei" w:hAnsi="SimHei" w:eastAsia="黑体" w:cs="SimHei"/>
          <w:color w:val="000000"/>
          <w:spacing w:val="8"/>
          <w:sz w:val="24"/>
          <w:szCs w:val="21"/>
        </w:rPr>
        <w:t>雇员当月取得全年一次性奖金</w:t>
      </w:r>
      <w:r>
        <w:rPr>
          <w:rFonts w:ascii="SimHei" w:hAnsi="SimHei" w:eastAsia="黑体" w:cs="SimHei"/>
          <w:color w:val="000000"/>
          <w:spacing w:val="8"/>
          <w:sz w:val="24"/>
          <w:szCs w:val="21"/>
        </w:rPr>
        <w:t>-</w:t>
      </w:r>
      <w:r>
        <w:rPr>
          <w:rFonts w:ascii="SimHei" w:hAnsi="SimHei" w:eastAsia="黑体" w:cs="SimHei"/>
          <w:color w:val="000000"/>
          <w:spacing w:val="8"/>
          <w:sz w:val="24"/>
          <w:szCs w:val="21"/>
        </w:rPr>
        <w:t>雇员当月工资薪金所得与费用扣除额的差额</w:t>
      </w:r>
      <w:r>
        <w:rPr>
          <w:rFonts w:ascii="SimHei" w:hAnsi="SimHei" w:eastAsia="黑体" w:cs="SimHei"/>
          <w:color w:val="000000"/>
          <w:spacing w:val="8"/>
          <w:sz w:val="24"/>
          <w:szCs w:val="21"/>
        </w:rPr>
        <w:t>)×</w:t>
      </w:r>
      <w:r>
        <w:rPr>
          <w:rFonts w:ascii="SimHei" w:hAnsi="SimHei" w:eastAsia="黑体" w:cs="SimHei"/>
          <w:color w:val="000000"/>
          <w:spacing w:val="8"/>
          <w:sz w:val="24"/>
          <w:szCs w:val="21"/>
        </w:rPr>
        <w:t>适用税率</w:t>
      </w:r>
      <w:r>
        <w:rPr>
          <w:rFonts w:ascii="SimHei" w:hAnsi="SimHei" w:eastAsia="黑体" w:cs="SimHei"/>
          <w:color w:val="000000"/>
          <w:spacing w:val="8"/>
          <w:sz w:val="24"/>
          <w:szCs w:val="21"/>
        </w:rPr>
        <w:t>-</w:t>
      </w:r>
      <w:r>
        <w:rPr>
          <w:rFonts w:ascii="SimHei" w:hAnsi="SimHei" w:eastAsia="黑体" w:cs="SimHei"/>
          <w:color w:val="000000"/>
          <w:spacing w:val="8"/>
          <w:sz w:val="24"/>
          <w:szCs w:val="21"/>
        </w:rPr>
        <w:t>速算扣除数</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——在一个纳税年度内，对每一个纳税人，该计税办法只允许采用一次。</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举例说明：</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员工</w:t>
      </w:r>
      <w:r>
        <w:rPr>
          <w:rFonts w:ascii="SimHei" w:hAnsi="SimHei" w:eastAsia="黑体" w:cs="SimHei"/>
          <w:color w:val="000000"/>
          <w:spacing w:val="8"/>
          <w:sz w:val="24"/>
          <w:szCs w:val="21"/>
        </w:rPr>
        <w:t>A</w:t>
      </w:r>
      <w:r>
        <w:rPr>
          <w:rFonts w:ascii="SimHei" w:hAnsi="SimHei" w:eastAsia="黑体" w:cs="SimHei"/>
          <w:color w:val="000000"/>
          <w:spacing w:val="8"/>
          <w:sz w:val="24"/>
          <w:szCs w:val="21"/>
        </w:rPr>
        <w:t>当月工资薪金所得</w:t>
      </w:r>
      <w:r>
        <w:rPr>
          <w:rFonts w:ascii="SimHei" w:hAnsi="SimHei" w:eastAsia="黑体" w:cs="SimHei"/>
          <w:color w:val="000000"/>
          <w:spacing w:val="8"/>
          <w:sz w:val="24"/>
          <w:szCs w:val="21"/>
        </w:rPr>
        <w:t>1 000</w:t>
      </w:r>
      <w:r>
        <w:rPr>
          <w:rFonts w:ascii="SimHei" w:hAnsi="SimHei" w:eastAsia="黑体" w:cs="SimHei"/>
          <w:color w:val="000000"/>
          <w:spacing w:val="8"/>
          <w:sz w:val="24"/>
          <w:szCs w:val="21"/>
        </w:rPr>
        <w:t>元，员工</w:t>
      </w:r>
      <w:r>
        <w:rPr>
          <w:rFonts w:ascii="SimHei" w:hAnsi="SimHei" w:eastAsia="黑体" w:cs="SimHei"/>
          <w:color w:val="000000"/>
          <w:spacing w:val="8"/>
          <w:sz w:val="24"/>
          <w:szCs w:val="21"/>
        </w:rPr>
        <w:t>B</w:t>
      </w:r>
      <w:r>
        <w:rPr>
          <w:rFonts w:ascii="SimHei" w:hAnsi="SimHei" w:eastAsia="黑体" w:cs="SimHei"/>
          <w:color w:val="000000"/>
          <w:spacing w:val="8"/>
          <w:sz w:val="24"/>
          <w:szCs w:val="21"/>
        </w:rPr>
        <w:t>当月工资薪金所得</w:t>
      </w:r>
      <w:r>
        <w:rPr>
          <w:rFonts w:ascii="SimHei" w:hAnsi="SimHei" w:eastAsia="黑体" w:cs="SimHei"/>
          <w:color w:val="000000"/>
          <w:spacing w:val="8"/>
          <w:sz w:val="24"/>
          <w:szCs w:val="21"/>
        </w:rPr>
        <w:t>2 000</w:t>
      </w:r>
      <w:r>
        <w:rPr>
          <w:rFonts w:ascii="SimHei" w:hAnsi="SimHei" w:eastAsia="黑体" w:cs="SimHei"/>
          <w:color w:val="000000"/>
          <w:spacing w:val="8"/>
          <w:sz w:val="24"/>
          <w:szCs w:val="21"/>
        </w:rPr>
        <w:t>元，另发放每人年终奖</w:t>
      </w:r>
      <w:r>
        <w:rPr>
          <w:rFonts w:ascii="SimHei" w:hAnsi="SimHei" w:eastAsia="黑体" w:cs="SimHei"/>
          <w:color w:val="000000"/>
          <w:spacing w:val="8"/>
          <w:sz w:val="24"/>
          <w:szCs w:val="21"/>
        </w:rPr>
        <w:t>5 000</w:t>
      </w:r>
      <w:r>
        <w:rPr>
          <w:rFonts w:ascii="SimHei" w:hAnsi="SimHei" w:eastAsia="黑体" w:cs="SimHei"/>
          <w:color w:val="000000"/>
          <w:spacing w:val="8"/>
          <w:sz w:val="24"/>
          <w:szCs w:val="21"/>
        </w:rPr>
        <w:t>元，则：</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员工</w:t>
      </w:r>
      <w:r>
        <w:rPr>
          <w:rFonts w:ascii="SimHei" w:hAnsi="SimHei" w:eastAsia="黑体" w:cs="SimHei"/>
          <w:b/>
          <w:bCs/>
          <w:color w:val="000000"/>
          <w:spacing w:val="8"/>
          <w:sz w:val="24"/>
          <w:szCs w:val="21"/>
        </w:rPr>
        <w:t>A</w:t>
      </w:r>
      <w:r>
        <w:rPr>
          <w:rFonts w:ascii="SimHei" w:hAnsi="SimHei" w:eastAsia="黑体" w:cs="SimHei"/>
          <w:b/>
          <w:bCs/>
          <w:color w:val="000000"/>
          <w:spacing w:val="8"/>
          <w:sz w:val="24"/>
          <w:szCs w:val="21"/>
        </w:rPr>
        <w:t>：</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 xml:space="preserve">当月工资薪金应纳税额 </w:t>
      </w:r>
      <w:r>
        <w:rPr>
          <w:rFonts w:ascii="SimHei" w:hAnsi="SimHei" w:eastAsia="黑体" w:cs="SimHei"/>
          <w:color w:val="000000"/>
          <w:spacing w:val="8"/>
          <w:sz w:val="24"/>
          <w:szCs w:val="21"/>
        </w:rPr>
        <w:t>= 0</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年终奖应纳税额</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尚未扣完的费用扣除数 </w:t>
      </w:r>
      <w:r>
        <w:rPr>
          <w:rFonts w:ascii="SimHei" w:hAnsi="SimHei" w:eastAsia="黑体" w:cs="SimHei"/>
          <w:color w:val="000000"/>
          <w:spacing w:val="8"/>
          <w:sz w:val="24"/>
          <w:szCs w:val="21"/>
        </w:rPr>
        <w:t>= 1 600 - 1 000 = 600</w:t>
      </w:r>
      <w:r>
        <w:rPr>
          <w:rFonts w:ascii="SimHei" w:hAnsi="SimHei" w:eastAsia="黑体" w:cs="SimHei"/>
          <w:color w:val="000000"/>
          <w:spacing w:val="8"/>
          <w:sz w:val="24"/>
          <w:szCs w:val="21"/>
        </w:rPr>
        <w:t>元</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确定适用税率及速算扣除数：（</w:t>
      </w:r>
      <w:r>
        <w:rPr>
          <w:rFonts w:ascii="SimHei" w:hAnsi="SimHei" w:eastAsia="黑体" w:cs="SimHei"/>
          <w:color w:val="000000"/>
          <w:spacing w:val="8"/>
          <w:sz w:val="24"/>
          <w:szCs w:val="21"/>
        </w:rPr>
        <w:t>5 000 - 600</w:t>
      </w:r>
      <w:r>
        <w:rPr>
          <w:rFonts w:ascii="SimHei" w:hAnsi="SimHei" w:eastAsia="黑体" w:cs="SimHei"/>
          <w:color w:val="000000"/>
          <w:spacing w:val="8"/>
          <w:sz w:val="24"/>
          <w:szCs w:val="21"/>
        </w:rPr>
        <w:t xml:space="preserve">） </w:t>
      </w:r>
      <w:r>
        <w:rPr>
          <w:rFonts w:ascii="SimHei" w:hAnsi="SimHei" w:eastAsia="黑体" w:cs="SimHei"/>
          <w:color w:val="000000"/>
          <w:spacing w:val="8"/>
          <w:sz w:val="24"/>
          <w:szCs w:val="21"/>
        </w:rPr>
        <w:t>/ 12 = 366.67</w:t>
      </w:r>
      <w:r>
        <w:rPr>
          <w:rFonts w:ascii="SimHei" w:hAnsi="SimHei" w:eastAsia="黑体" w:cs="SimHei"/>
          <w:color w:val="000000"/>
          <w:spacing w:val="8"/>
          <w:sz w:val="24"/>
          <w:szCs w:val="21"/>
        </w:rPr>
        <w:t>元，对应级距</w:t>
      </w:r>
      <w:r>
        <w:rPr>
          <w:rFonts w:ascii="SimHei" w:hAnsi="SimHei" w:eastAsia="黑体" w:cs="SimHei"/>
          <w:color w:val="000000"/>
          <w:spacing w:val="8"/>
          <w:sz w:val="24"/>
          <w:szCs w:val="21"/>
        </w:rPr>
        <w:t>0-500</w:t>
      </w:r>
      <w:r>
        <w:rPr>
          <w:rFonts w:ascii="SimHei" w:hAnsi="SimHei" w:eastAsia="黑体" w:cs="SimHei"/>
          <w:color w:val="000000"/>
          <w:spacing w:val="8"/>
          <w:sz w:val="24"/>
          <w:szCs w:val="21"/>
        </w:rPr>
        <w:t>元，适用税率</w:t>
      </w:r>
      <w:r>
        <w:rPr>
          <w:rFonts w:ascii="SimHei" w:hAnsi="SimHei" w:eastAsia="黑体" w:cs="SimHei"/>
          <w:color w:val="000000"/>
          <w:spacing w:val="8"/>
          <w:sz w:val="24"/>
          <w:szCs w:val="21"/>
        </w:rPr>
        <w:t>5%</w:t>
      </w:r>
      <w:r>
        <w:rPr>
          <w:rFonts w:ascii="SimHei" w:hAnsi="SimHei" w:eastAsia="黑体" w:cs="SimHei"/>
          <w:color w:val="000000"/>
          <w:spacing w:val="8"/>
          <w:sz w:val="24"/>
          <w:szCs w:val="21"/>
        </w:rPr>
        <w:t>，速算扣除数</w:t>
      </w:r>
      <w:r>
        <w:rPr>
          <w:rFonts w:ascii="SimHei" w:hAnsi="SimHei" w:eastAsia="黑体" w:cs="SimHei"/>
          <w:color w:val="000000"/>
          <w:spacing w:val="8"/>
          <w:sz w:val="24"/>
          <w:szCs w:val="21"/>
        </w:rPr>
        <w:t>0</w:t>
      </w:r>
      <w:r>
        <w:rPr>
          <w:rFonts w:ascii="SimHei" w:hAnsi="SimHei" w:eastAsia="黑体" w:cs="SimHei"/>
          <w:color w:val="000000"/>
          <w:spacing w:val="8"/>
          <w:sz w:val="24"/>
          <w:szCs w:val="21"/>
        </w:rPr>
        <w:t>元。</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应纳税额 </w:t>
      </w:r>
      <w:r>
        <w:rPr>
          <w:rFonts w:ascii="SimHei" w:hAnsi="SimHei" w:eastAsia="黑体" w:cs="SimHei"/>
          <w:color w:val="000000"/>
          <w:spacing w:val="8"/>
          <w:sz w:val="24"/>
          <w:szCs w:val="21"/>
        </w:rPr>
        <w:t xml:space="preserve">= </w:t>
      </w:r>
      <w:r>
        <w:rPr>
          <w:rFonts w:ascii="SimHei" w:hAnsi="SimHei" w:eastAsia="黑体" w:cs="SimHei"/>
          <w:color w:val="000000"/>
          <w:spacing w:val="8"/>
          <w:sz w:val="24"/>
          <w:szCs w:val="21"/>
        </w:rPr>
        <w:t>（</w:t>
      </w:r>
      <w:r>
        <w:rPr>
          <w:rFonts w:ascii="SimHei" w:hAnsi="SimHei" w:eastAsia="黑体" w:cs="SimHei"/>
          <w:color w:val="000000"/>
          <w:spacing w:val="8"/>
          <w:sz w:val="24"/>
          <w:szCs w:val="21"/>
        </w:rPr>
        <w:t>5 000 - 600</w:t>
      </w:r>
      <w:r>
        <w:rPr>
          <w:rFonts w:ascii="SimHei" w:hAnsi="SimHei" w:eastAsia="黑体" w:cs="SimHei"/>
          <w:color w:val="000000"/>
          <w:spacing w:val="8"/>
          <w:sz w:val="24"/>
          <w:szCs w:val="21"/>
        </w:rPr>
        <w:t xml:space="preserve">） </w:t>
      </w:r>
      <w:r>
        <w:rPr>
          <w:rFonts w:ascii="SimHei" w:hAnsi="SimHei" w:eastAsia="黑体" w:cs="SimHei"/>
          <w:color w:val="000000"/>
          <w:spacing w:val="8"/>
          <w:sz w:val="24"/>
          <w:szCs w:val="21"/>
        </w:rPr>
        <w:t>* 5% - 0 = 220</w:t>
      </w:r>
      <w:r>
        <w:rPr>
          <w:rFonts w:ascii="SimHei" w:hAnsi="SimHei" w:eastAsia="黑体" w:cs="SimHei"/>
          <w:color w:val="000000"/>
          <w:spacing w:val="8"/>
          <w:sz w:val="24"/>
          <w:szCs w:val="21"/>
        </w:rPr>
        <w:t>元</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 xml:space="preserve">当月共计应纳税额 </w:t>
      </w:r>
      <w:r>
        <w:rPr>
          <w:rFonts w:ascii="SimHei" w:hAnsi="SimHei" w:eastAsia="黑体" w:cs="SimHei"/>
          <w:color w:val="000000"/>
          <w:spacing w:val="8"/>
          <w:sz w:val="24"/>
          <w:szCs w:val="21"/>
        </w:rPr>
        <w:t>= 0 + 220 = 220</w:t>
      </w:r>
      <w:r>
        <w:rPr>
          <w:rFonts w:ascii="SimHei" w:hAnsi="SimHei" w:eastAsia="黑体" w:cs="SimHei"/>
          <w:color w:val="000000"/>
          <w:spacing w:val="8"/>
          <w:sz w:val="24"/>
          <w:szCs w:val="21"/>
        </w:rPr>
        <w:t>元</w:t>
      </w:r>
    </w:p>
    <w:p>
      <w:pPr>
        <w:pStyle w:val="Normal"/>
        <w:spacing w:lineRule="atLeast" w:line="360"/>
        <w:rPr/>
      </w:pPr>
      <w:r>
        <w:rPr>
          <w:rFonts w:ascii="SimHei" w:hAnsi="SimHei" w:eastAsia="黑体" w:cs="SimHei"/>
          <w:b/>
          <w:color w:val="000000"/>
          <w:spacing w:val="8"/>
          <w:sz w:val="24"/>
          <w:szCs w:val="21"/>
        </w:rPr>
        <w:t>　　员</w:t>
      </w:r>
      <w:r>
        <w:rPr>
          <w:rFonts w:ascii="SimHei" w:hAnsi="SimHei" w:eastAsia="黑体" w:cs="SimHei"/>
          <w:b/>
          <w:bCs/>
          <w:color w:val="000000"/>
          <w:spacing w:val="8"/>
          <w:sz w:val="24"/>
          <w:szCs w:val="21"/>
        </w:rPr>
        <w:t>工</w:t>
      </w:r>
      <w:r>
        <w:rPr>
          <w:rFonts w:ascii="SimHei" w:hAnsi="SimHei" w:eastAsia="黑体" w:cs="SimHei"/>
          <w:b/>
          <w:bCs/>
          <w:color w:val="000000"/>
          <w:spacing w:val="8"/>
          <w:sz w:val="24"/>
          <w:szCs w:val="21"/>
        </w:rPr>
        <w:t>B</w:t>
      </w:r>
      <w:r>
        <w:rPr>
          <w:rFonts w:ascii="SimHei" w:hAnsi="SimHei" w:eastAsia="黑体" w:cs="SimHei"/>
          <w:b/>
          <w:bCs/>
          <w:color w:val="000000"/>
          <w:spacing w:val="8"/>
          <w:sz w:val="24"/>
          <w:szCs w:val="21"/>
        </w:rPr>
        <w:t>：</w:t>
      </w:r>
    </w:p>
    <w:p>
      <w:pPr>
        <w:pStyle w:val="Normal"/>
        <w:spacing w:lineRule="atLeast" w:line="360"/>
        <w:rPr/>
      </w:pPr>
      <w:r>
        <w:rPr>
          <w:rFonts w:ascii="SimHei" w:hAnsi="SimHei" w:eastAsia="黑体" w:cs="SimHei"/>
          <w:b/>
          <w:bCs/>
          <w:color w:val="000000"/>
          <w:spacing w:val="8"/>
          <w:sz w:val="22"/>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 xml:space="preserve">当月工资薪金应纳税额 </w:t>
      </w:r>
      <w:r>
        <w:rPr>
          <w:rFonts w:ascii="SimHei" w:hAnsi="SimHei" w:eastAsia="黑体" w:cs="SimHei"/>
          <w:color w:val="000000"/>
          <w:spacing w:val="8"/>
          <w:sz w:val="24"/>
          <w:szCs w:val="21"/>
        </w:rPr>
        <w:t xml:space="preserve">= </w:t>
      </w:r>
      <w:r>
        <w:rPr>
          <w:rFonts w:ascii="SimHei" w:hAnsi="SimHei" w:eastAsia="黑体" w:cs="SimHei"/>
          <w:color w:val="000000"/>
          <w:spacing w:val="8"/>
          <w:sz w:val="24"/>
          <w:szCs w:val="21"/>
        </w:rPr>
        <w:t>（</w:t>
      </w:r>
      <w:r>
        <w:rPr>
          <w:rFonts w:ascii="SimHei" w:hAnsi="SimHei" w:eastAsia="黑体" w:cs="SimHei"/>
          <w:color w:val="000000"/>
          <w:spacing w:val="8"/>
          <w:sz w:val="24"/>
          <w:szCs w:val="21"/>
        </w:rPr>
        <w:t>2 000 - 1 600</w:t>
      </w:r>
      <w:r>
        <w:rPr>
          <w:rFonts w:ascii="SimHei" w:hAnsi="SimHei" w:eastAsia="黑体" w:cs="SimHei"/>
          <w:color w:val="000000"/>
          <w:spacing w:val="8"/>
          <w:sz w:val="24"/>
          <w:szCs w:val="21"/>
        </w:rPr>
        <w:t>）</w:t>
      </w:r>
      <w:r>
        <w:rPr>
          <w:rFonts w:ascii="SimHei" w:hAnsi="SimHei" w:eastAsia="黑体" w:cs="SimHei"/>
          <w:color w:val="000000"/>
          <w:spacing w:val="8"/>
          <w:sz w:val="24"/>
          <w:szCs w:val="21"/>
        </w:rPr>
        <w:t>* 5% - 0 = 20</w:t>
      </w:r>
      <w:r>
        <w:rPr>
          <w:rFonts w:ascii="SimHei" w:hAnsi="SimHei" w:eastAsia="黑体" w:cs="SimHei"/>
          <w:color w:val="000000"/>
          <w:spacing w:val="8"/>
          <w:sz w:val="24"/>
          <w:szCs w:val="21"/>
        </w:rPr>
        <w:t>元</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年终奖应纳税额</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尚未扣完的费用扣除数 </w:t>
      </w:r>
      <w:r>
        <w:rPr>
          <w:rFonts w:ascii="SimHei" w:hAnsi="SimHei" w:eastAsia="黑体" w:cs="SimHei"/>
          <w:color w:val="000000"/>
          <w:spacing w:val="8"/>
          <w:sz w:val="24"/>
          <w:szCs w:val="21"/>
        </w:rPr>
        <w:t>= 0</w:t>
      </w:r>
      <w:r>
        <w:rPr>
          <w:rFonts w:ascii="SimHei" w:hAnsi="SimHei" w:eastAsia="黑体" w:cs="SimHei"/>
          <w:color w:val="000000"/>
          <w:spacing w:val="8"/>
          <w:sz w:val="24"/>
          <w:szCs w:val="21"/>
        </w:rPr>
        <w:t>元</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确定适用税率及速算扣除数：（</w:t>
      </w:r>
      <w:r>
        <w:rPr>
          <w:rFonts w:ascii="SimHei" w:hAnsi="SimHei" w:eastAsia="黑体" w:cs="SimHei"/>
          <w:color w:val="000000"/>
          <w:spacing w:val="8"/>
          <w:sz w:val="24"/>
          <w:szCs w:val="21"/>
        </w:rPr>
        <w:t>5 000 - 0</w:t>
      </w:r>
      <w:r>
        <w:rPr>
          <w:rFonts w:ascii="SimHei" w:hAnsi="SimHei" w:eastAsia="黑体" w:cs="SimHei"/>
          <w:color w:val="000000"/>
          <w:spacing w:val="8"/>
          <w:sz w:val="24"/>
          <w:szCs w:val="21"/>
        </w:rPr>
        <w:t xml:space="preserve">） </w:t>
      </w:r>
      <w:r>
        <w:rPr>
          <w:rFonts w:ascii="SimHei" w:hAnsi="SimHei" w:eastAsia="黑体" w:cs="SimHei"/>
          <w:color w:val="000000"/>
          <w:spacing w:val="8"/>
          <w:sz w:val="24"/>
          <w:szCs w:val="21"/>
        </w:rPr>
        <w:t>/ 12 = 416.67</w:t>
      </w:r>
      <w:r>
        <w:rPr>
          <w:rFonts w:ascii="SimHei" w:hAnsi="SimHei" w:eastAsia="黑体" w:cs="SimHei"/>
          <w:color w:val="000000"/>
          <w:spacing w:val="8"/>
          <w:sz w:val="24"/>
          <w:szCs w:val="21"/>
        </w:rPr>
        <w:t>元，对应级距</w:t>
      </w:r>
      <w:r>
        <w:rPr>
          <w:rFonts w:ascii="SimHei" w:hAnsi="SimHei" w:eastAsia="黑体" w:cs="SimHei"/>
          <w:color w:val="000000"/>
          <w:spacing w:val="8"/>
          <w:sz w:val="24"/>
          <w:szCs w:val="21"/>
        </w:rPr>
        <w:t>0-500</w:t>
      </w:r>
      <w:r>
        <w:rPr>
          <w:rFonts w:ascii="SimHei" w:hAnsi="SimHei" w:eastAsia="黑体" w:cs="SimHei"/>
          <w:color w:val="000000"/>
          <w:spacing w:val="8"/>
          <w:sz w:val="24"/>
          <w:szCs w:val="21"/>
        </w:rPr>
        <w:t>元，适用税率</w:t>
      </w:r>
      <w:r>
        <w:rPr>
          <w:rFonts w:ascii="SimHei" w:hAnsi="SimHei" w:eastAsia="黑体" w:cs="SimHei"/>
          <w:color w:val="000000"/>
          <w:spacing w:val="8"/>
          <w:sz w:val="24"/>
          <w:szCs w:val="21"/>
        </w:rPr>
        <w:t>5%</w:t>
      </w:r>
      <w:r>
        <w:rPr>
          <w:rFonts w:ascii="SimHei" w:hAnsi="SimHei" w:eastAsia="黑体" w:cs="SimHei"/>
          <w:color w:val="000000"/>
          <w:spacing w:val="8"/>
          <w:sz w:val="24"/>
          <w:szCs w:val="21"/>
        </w:rPr>
        <w:t>，速算扣除数</w:t>
      </w:r>
      <w:r>
        <w:rPr>
          <w:rFonts w:ascii="SimHei" w:hAnsi="SimHei" w:eastAsia="黑体" w:cs="SimHei"/>
          <w:color w:val="000000"/>
          <w:spacing w:val="8"/>
          <w:sz w:val="24"/>
          <w:szCs w:val="21"/>
        </w:rPr>
        <w:t>0</w:t>
      </w:r>
      <w:r>
        <w:rPr>
          <w:rFonts w:ascii="SimHei" w:hAnsi="SimHei" w:eastAsia="黑体" w:cs="SimHei"/>
          <w:color w:val="000000"/>
          <w:spacing w:val="8"/>
          <w:sz w:val="24"/>
          <w:szCs w:val="21"/>
        </w:rPr>
        <w:t>元。</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应纳税额 </w:t>
      </w:r>
      <w:r>
        <w:rPr>
          <w:rFonts w:ascii="SimHei" w:hAnsi="SimHei" w:eastAsia="黑体" w:cs="SimHei"/>
          <w:color w:val="000000"/>
          <w:spacing w:val="8"/>
          <w:sz w:val="24"/>
          <w:szCs w:val="21"/>
        </w:rPr>
        <w:t xml:space="preserve">= </w:t>
      </w:r>
      <w:r>
        <w:rPr>
          <w:rFonts w:ascii="SimHei" w:hAnsi="SimHei" w:eastAsia="黑体" w:cs="SimHei"/>
          <w:color w:val="000000"/>
          <w:spacing w:val="8"/>
          <w:sz w:val="24"/>
          <w:szCs w:val="21"/>
        </w:rPr>
        <w:t>（</w:t>
      </w:r>
      <w:r>
        <w:rPr>
          <w:rFonts w:ascii="SimHei" w:hAnsi="SimHei" w:eastAsia="黑体" w:cs="SimHei"/>
          <w:color w:val="000000"/>
          <w:spacing w:val="8"/>
          <w:sz w:val="24"/>
          <w:szCs w:val="21"/>
        </w:rPr>
        <w:t>5 000 - 0</w:t>
      </w:r>
      <w:r>
        <w:rPr>
          <w:rFonts w:ascii="SimHei" w:hAnsi="SimHei" w:eastAsia="黑体" w:cs="SimHei"/>
          <w:color w:val="000000"/>
          <w:spacing w:val="8"/>
          <w:sz w:val="24"/>
          <w:szCs w:val="21"/>
        </w:rPr>
        <w:t xml:space="preserve">） </w:t>
      </w:r>
      <w:r>
        <w:rPr>
          <w:rFonts w:ascii="SimHei" w:hAnsi="SimHei" w:eastAsia="黑体" w:cs="SimHei"/>
          <w:color w:val="000000"/>
          <w:spacing w:val="8"/>
          <w:sz w:val="24"/>
          <w:szCs w:val="21"/>
        </w:rPr>
        <w:t>* 5% - 0 = 250</w:t>
      </w:r>
      <w:r>
        <w:rPr>
          <w:rFonts w:ascii="SimHei" w:hAnsi="SimHei" w:eastAsia="黑体" w:cs="SimHei"/>
          <w:color w:val="000000"/>
          <w:spacing w:val="8"/>
          <w:sz w:val="24"/>
          <w:szCs w:val="21"/>
        </w:rPr>
        <w:t>元</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 xml:space="preserve">当月共计应纳税额 </w:t>
      </w:r>
      <w:r>
        <w:rPr>
          <w:rFonts w:ascii="SimHei" w:hAnsi="SimHei" w:eastAsia="黑体" w:cs="SimHei"/>
          <w:color w:val="000000"/>
          <w:spacing w:val="8"/>
          <w:sz w:val="24"/>
          <w:szCs w:val="21"/>
        </w:rPr>
        <w:t>= 20 + 250 = 270</w:t>
      </w:r>
      <w:r>
        <w:rPr>
          <w:rFonts w:ascii="SimHei" w:hAnsi="SimHei" w:eastAsia="黑体" w:cs="SimHei"/>
          <w:color w:val="000000"/>
          <w:spacing w:val="8"/>
          <w:sz w:val="24"/>
          <w:szCs w:val="21"/>
        </w:rPr>
        <w:t>元</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关于补充问题。</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对于未列入工资单中的年终奖金，相关会计处理：</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借：应付工资</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贷：现金 或 银行存款</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借：制造费用 等科目</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贷：应付工资</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（该分录，也可与工资单费用一起合并处理） </w:t>
      </w:r>
    </w:p>
    <w:p>
      <w:pPr>
        <w:pStyle w:val="Heading2"/>
        <w:spacing w:lineRule="atLeast" w:line="360"/>
        <w:rPr>
          <w:rFonts w:ascii="SimHei" w:hAnsi="SimHei" w:eastAsia="黑体" w:cs="SimHei"/>
          <w:color w:val="000000"/>
          <w:spacing w:val="8"/>
          <w:sz w:val="40"/>
        </w:rPr>
      </w:pPr>
      <w:bookmarkStart w:id="5" w:name="9"/>
      <w:bookmarkEnd w:id="5"/>
      <w:r>
        <w:rPr>
          <w:rFonts w:ascii="SimHei" w:hAnsi="SimHei" w:eastAsia="黑体" w:cs="SimHei"/>
          <w:color w:val="000000"/>
          <w:spacing w:val="8"/>
          <w:sz w:val="40"/>
        </w:rPr>
        <w:t>企业的年终奖</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（一）年终奖的三种发放形式</w:t>
      </w:r>
    </w:p>
    <w:p>
      <w:pPr>
        <w:pStyle w:val="Normal"/>
        <w:spacing w:lineRule="auto" w:line="312"/>
        <w:rPr/>
      </w:pPr>
      <w:r>
        <w:rPr>
          <w:rFonts w:ascii="SimHei" w:hAnsi="SimHei" w:eastAsia="黑体" w:cs="SimHei"/>
          <w:color w:val="000000"/>
          <w:spacing w:val="8"/>
          <w:sz w:val="24"/>
          <w:szCs w:val="21"/>
        </w:rPr>
        <w:t>　　第一、</w:t>
      </w:r>
      <w:r>
        <w:rPr>
          <w:rFonts w:ascii="SimHei" w:hAnsi="SimHei" w:eastAsia="黑体" w:cs="SimHei"/>
          <w:color w:val="000000"/>
          <w:spacing w:val="8"/>
          <w:sz w:val="24"/>
          <w:szCs w:val="21"/>
        </w:rPr>
        <w:t>guaranteed bonus</w:t>
      </w:r>
      <w:r>
        <w:rPr>
          <w:rFonts w:ascii="SimHei" w:hAnsi="SimHei" w:eastAsia="黑体" w:cs="SimHei"/>
          <w:color w:val="000000"/>
          <w:spacing w:val="8"/>
          <w:sz w:val="24"/>
          <w:szCs w:val="21"/>
        </w:rPr>
        <w:t>：如外企普遍采用的</w:t>
      </w:r>
      <w:r>
        <w:rPr>
          <w:rFonts w:ascii="SimHei" w:hAnsi="SimHei" w:eastAsia="黑体" w:cs="SimHei"/>
          <w:color w:val="000000"/>
          <w:spacing w:val="8"/>
          <w:sz w:val="24"/>
          <w:szCs w:val="21"/>
        </w:rPr>
        <w:t>13</w:t>
      </w:r>
      <w:r>
        <w:rPr>
          <w:rFonts w:ascii="SimHei" w:hAnsi="SimHei" w:eastAsia="黑体" w:cs="SimHei"/>
          <w:color w:val="000000"/>
          <w:spacing w:val="8"/>
          <w:sz w:val="24"/>
          <w:szCs w:val="21"/>
        </w:rPr>
        <w:t>薪或</w:t>
      </w:r>
      <w:r>
        <w:rPr>
          <w:rFonts w:ascii="SimHei" w:hAnsi="SimHei" w:eastAsia="黑体" w:cs="SimHei"/>
          <w:color w:val="000000"/>
          <w:spacing w:val="8"/>
          <w:sz w:val="24"/>
          <w:szCs w:val="21"/>
        </w:rPr>
        <w:t>14</w:t>
      </w:r>
      <w:r>
        <w:rPr>
          <w:rFonts w:ascii="SimHei" w:hAnsi="SimHei" w:eastAsia="黑体" w:cs="SimHei"/>
          <w:color w:val="000000"/>
          <w:spacing w:val="8"/>
          <w:sz w:val="24"/>
          <w:szCs w:val="21"/>
        </w:rPr>
        <w:t>薪或更多，只要员工在年底仍然在岗，无论他个人的表现如何，无论公司的业绩如何，全员享受，属于“普惠”，类似于福利性质，表示公司对员工一年来“苦劳”的感谢。这里的发放规则是全员一致的，是公开的，具体数额就与每个人的</w:t>
      </w:r>
      <w:hyperlink r:id="rId3" w:tgtFrame="_blank">
        <w:r>
          <w:rPr>
            <w:rStyle w:val="InternetLink"/>
            <w:rFonts w:ascii="SimHei" w:hAnsi="SimHei" w:eastAsia="黑体" w:cs="SimHei"/>
            <w:color w:val="000000"/>
            <w:spacing w:val="8"/>
            <w:sz w:val="24"/>
            <w:szCs w:val="21"/>
          </w:rPr>
          <w:t>基本工资</w:t>
        </w:r>
      </w:hyperlink>
      <w:r>
        <w:rPr>
          <w:rFonts w:ascii="SimHei" w:hAnsi="SimHei" w:eastAsia="黑体" w:cs="SimHei"/>
          <w:color w:val="000000"/>
          <w:spacing w:val="8"/>
          <w:sz w:val="24"/>
          <w:szCs w:val="21"/>
        </w:rPr>
        <w:t>水平相关了。</w:t>
      </w:r>
    </w:p>
    <w:p>
      <w:pPr>
        <w:pStyle w:val="Normal"/>
        <w:spacing w:lineRule="auto" w:line="312"/>
        <w:rPr/>
      </w:pPr>
      <w:r>
        <w:rPr>
          <w:rFonts w:ascii="SimHei" w:hAnsi="SimHei" w:eastAsia="黑体" w:cs="SimHei"/>
          <w:color w:val="000000"/>
          <w:spacing w:val="8"/>
          <w:sz w:val="24"/>
          <w:szCs w:val="21"/>
        </w:rPr>
        <w:t>　　第二、</w:t>
      </w:r>
      <w:r>
        <w:rPr>
          <w:rFonts w:ascii="SimHei" w:hAnsi="SimHei" w:eastAsia="黑体" w:cs="SimHei"/>
          <w:color w:val="000000"/>
          <w:spacing w:val="8"/>
          <w:sz w:val="24"/>
          <w:szCs w:val="21"/>
        </w:rPr>
        <w:t>variable bonus</w:t>
      </w:r>
      <w:r>
        <w:rPr>
          <w:rFonts w:ascii="SimHei" w:hAnsi="SimHei" w:eastAsia="黑体" w:cs="SimHei"/>
          <w:color w:val="000000"/>
          <w:spacing w:val="8"/>
          <w:sz w:val="24"/>
          <w:szCs w:val="21"/>
        </w:rPr>
        <w:t>：如根据个人</w:t>
      </w:r>
      <w:hyperlink r:id="rId4" w:tgtFrame="_blank">
        <w:r>
          <w:rPr>
            <w:rStyle w:val="InternetLink"/>
            <w:rFonts w:ascii="SimHei" w:hAnsi="SimHei" w:eastAsia="黑体" w:cs="SimHei"/>
            <w:color w:val="000000"/>
            <w:spacing w:val="8"/>
            <w:sz w:val="24"/>
            <w:szCs w:val="21"/>
          </w:rPr>
          <w:t>年度绩效评估</w:t>
        </w:r>
      </w:hyperlink>
      <w:r>
        <w:rPr>
          <w:rFonts w:ascii="SimHei" w:hAnsi="SimHei" w:eastAsia="黑体" w:cs="SimHei"/>
          <w:color w:val="000000"/>
          <w:spacing w:val="8"/>
          <w:sz w:val="24"/>
          <w:szCs w:val="21"/>
        </w:rPr>
        <w:t>结果</w:t>
      </w:r>
      <w:r>
        <w:rPr>
          <w:rFonts w:ascii="SimHei" w:hAnsi="SimHei" w:eastAsia="黑体" w:cs="SimHei"/>
          <w:color w:val="000000"/>
          <w:spacing w:val="8"/>
          <w:sz w:val="24"/>
          <w:szCs w:val="21"/>
        </w:rPr>
        <w:t>/</w:t>
      </w:r>
      <w:r>
        <w:rPr>
          <w:rFonts w:ascii="SimHei" w:hAnsi="SimHei" w:eastAsia="黑体" w:cs="SimHei"/>
          <w:color w:val="000000"/>
          <w:spacing w:val="8"/>
          <w:sz w:val="24"/>
          <w:szCs w:val="21"/>
        </w:rPr>
        <w:t>和公司业绩结果，所发放的绩效奖金，这时发放比例和数额的差距就体现出来了。通常情况下发放规则是公开的，如某某级别的</w:t>
      </w:r>
      <w:r>
        <w:rPr>
          <w:rFonts w:ascii="SimHei" w:hAnsi="SimHei" w:eastAsia="黑体" w:cs="SimHei"/>
          <w:color w:val="000000"/>
          <w:spacing w:val="8"/>
          <w:sz w:val="24"/>
          <w:szCs w:val="21"/>
        </w:rPr>
        <w:t>target bonus</w:t>
      </w:r>
      <w:r>
        <w:rPr>
          <w:rFonts w:ascii="SimHei" w:hAnsi="SimHei" w:eastAsia="黑体" w:cs="SimHei"/>
          <w:color w:val="000000"/>
          <w:spacing w:val="8"/>
          <w:sz w:val="24"/>
          <w:szCs w:val="21"/>
        </w:rPr>
        <w:t>（即个人表现和公司表现均是达到目标时对应的奖金）相当于多少月的基本工资（而且级别越高的人奖金占总收入的比例越高），但对每个人具体的绩效评估结果各个企业的处理方法不一样，有的对全员公开，有的不。</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第三、红包：通常是由老板决定的，没有固定的规则，可能取决于员工与老板的亲疏、取决于老板对员工的印象、取决于资历，取决于重大贡献等。通常不公开。民企多见。</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亚商大多采取的是第二种方式（</w:t>
      </w:r>
      <w:r>
        <w:rPr>
          <w:rFonts w:ascii="SimHei" w:hAnsi="SimHei" w:eastAsia="黑体" w:cs="SimHei"/>
          <w:color w:val="000000"/>
          <w:spacing w:val="8"/>
          <w:sz w:val="24"/>
          <w:szCs w:val="21"/>
        </w:rPr>
        <w:t>variable bonus</w:t>
      </w:r>
      <w:r>
        <w:rPr>
          <w:rFonts w:ascii="SimHei" w:hAnsi="SimHei" w:eastAsia="黑体" w:cs="SimHei"/>
          <w:color w:val="000000"/>
          <w:spacing w:val="8"/>
          <w:sz w:val="24"/>
          <w:szCs w:val="21"/>
        </w:rPr>
        <w:t>），部分人员还可以得到红包的奖励。</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（二）公司年终奖的考核和发放</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年终奖的发放首先要体现</w:t>
      </w:r>
      <w:r>
        <w:rPr>
          <w:rFonts w:ascii="SimHei" w:hAnsi="SimHei" w:eastAsia="黑体" w:cs="SimHei"/>
          <w:color w:val="000000"/>
          <w:spacing w:val="8"/>
          <w:sz w:val="24"/>
          <w:szCs w:val="21"/>
        </w:rPr>
        <w:t>3</w:t>
      </w:r>
      <w:r>
        <w:rPr>
          <w:rFonts w:ascii="SimHei" w:hAnsi="SimHei" w:eastAsia="黑体" w:cs="SimHei"/>
          <w:color w:val="000000"/>
          <w:spacing w:val="8"/>
          <w:sz w:val="24"/>
          <w:szCs w:val="21"/>
        </w:rPr>
        <w:t>个导向：第一、体现公司年度业绩状况。这样做的优点是可以鼓励员工更关心公司的利益，稳定员工队伍，建立其员工与企业的利益共同体。第二、体现员工年度工作业绩。通过对员工进行一定程序的年终评估，然后以此为标准发放年终奖，这种规范的考核方式比较容易做到公正公平、赏罚分明，能减少由年终奖分配引发的种种矛盾和问题。第三、要与年初业绩和激励计划保持一致。体现企业对于员工的承诺和责任。</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其次，年终奖发放要把握好三个步骤。第一、回顾年度计划和业绩协议。对于计划和目标的确认是评价的前提。第二、评价公司业绩和员工业绩。避免造成工作业绩差的偷着乐，工作卖力业绩好的愤愤不平的现象。第三、核算并发放奖金，制定新的业绩和激励计划，做到步步有条不紊。</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再次，年终考核也是一个值得关注的问题，主要体现在以下三个方面：第一、年初业绩计划要清楚。绩效明确，才可能兼顾公平。第三、年度业绩结果要明确。第四、奖罚要有章法，考虑多种奖励方式，不要企图毕其功于一役。</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只要将以上问题协调好，并且重视日常过程的管理，那么年终奖终究会取得皆大欢喜的效果。</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（三）激励与惩罚手段要分开使用</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很多公司都将年终奖作为成本或负担，这样的结局是“双输”</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人力资源的激励与惩罚手段要分开使用，年终奖金是正向激励导向的部分：</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第一、企业制定年度激励计划要从年度绩效目标入手核算出合理的年度激励计划。激励计划是奖优用的，在企业实现目标的同时，员工获得应有的业绩奖金。</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第二、如果没有激励计划，建议适当平均化，如果企业效益好，整体高一些，效益差，整体低一些。不要拉开很大差距，没有依据的拉开差距是比较危险的。同时跟进与员工的沟通十分重要。如果只是到了年底为发奖金而发奖金，一定给企业带来很大的被动。</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把年终奖金看作成本或负担，关键还是观念上没有真正意识到人力资源的价值和作用，在激励的问题上没有系统化思考，在操作上简单化处理的结果。要改变这种局面，要从根本上入手：</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第一、要像看待企业经营计划一样认真的看待激励计划和业绩目标绩效；</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第二、对员工的激励问题思考要像产品设计方案一样慎之又慎；</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第三、对待年度业绩评价和激励兑现要像对待客户合同一样严肃；年终奖是为了对做出高绩效的员工进行奖励，工资是对员工日常工作的一种回报体现，两者在使用上定位一定要清楚，不要混在一起。这个问题在激励系统中称为付薪理念问题，是经常会被忽视的，但却是最最核心的问题。</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、固定工资体现岗位日常工作对于企业的价值；</w:t>
      </w:r>
      <w:r>
        <w:rPr>
          <w:rFonts w:ascii="SimHei" w:hAnsi="SimHei" w:eastAsia="黑体" w:cs="SimHei"/>
          <w:color w:val="000000"/>
          <w:spacing w:val="8"/>
          <w:sz w:val="24"/>
          <w:szCs w:val="21"/>
        </w:rPr>
        <w:t>2</w:t>
      </w:r>
      <w:r>
        <w:rPr>
          <w:rFonts w:ascii="SimHei" w:hAnsi="SimHei" w:eastAsia="黑体" w:cs="SimHei"/>
          <w:color w:val="000000"/>
          <w:spacing w:val="8"/>
          <w:sz w:val="24"/>
          <w:szCs w:val="21"/>
        </w:rPr>
        <w:t>、年度绩效奖金体现高绩效工作对于公司年度业绩提供的贡献；第三、对于另一些有潜质的人员，公司要付的是为其个人能力和未来发展的一部分津贴方式。称之为为个人付薪。</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（四）双薪制发放的注意事项</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A</w:t>
      </w:r>
      <w:r>
        <w:rPr>
          <w:rFonts w:ascii="SimHei" w:hAnsi="SimHei" w:eastAsia="黑体" w:cs="SimHei"/>
          <w:color w:val="000000"/>
          <w:spacing w:val="8"/>
          <w:sz w:val="24"/>
          <w:szCs w:val="21"/>
        </w:rPr>
        <w:t>：</w:t>
      </w:r>
      <w:r>
        <w:rPr>
          <w:rFonts w:ascii="SimHei" w:hAnsi="SimHei" w:eastAsia="黑体" w:cs="SimHei"/>
          <w:color w:val="000000"/>
          <w:spacing w:val="8"/>
          <w:sz w:val="24"/>
          <w:szCs w:val="21"/>
        </w:rPr>
        <w:t>12+1</w:t>
      </w:r>
      <w:r>
        <w:rPr>
          <w:rFonts w:ascii="SimHei" w:hAnsi="SimHei" w:eastAsia="黑体" w:cs="SimHei"/>
          <w:color w:val="000000"/>
          <w:spacing w:val="8"/>
          <w:sz w:val="24"/>
          <w:szCs w:val="21"/>
        </w:rPr>
        <w:t>方式</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12+1</w:t>
      </w:r>
      <w:r>
        <w:rPr>
          <w:rFonts w:ascii="SimHei" w:hAnsi="SimHei" w:eastAsia="黑体" w:cs="SimHei"/>
          <w:color w:val="000000"/>
          <w:spacing w:val="8"/>
          <w:sz w:val="24"/>
          <w:szCs w:val="21"/>
        </w:rPr>
        <w:t>的方法，即到年底企业多发给员工一个月的工资。这种是以时间为衡量指标的，只要你做满了一年，就可以拿到双薪。但现在这种方法在香港、新加坡地区已经不常用了。</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B</w:t>
      </w:r>
      <w:r>
        <w:rPr>
          <w:rFonts w:ascii="SimHei" w:hAnsi="SimHei" w:eastAsia="黑体" w:cs="SimHei"/>
          <w:color w:val="000000"/>
          <w:spacing w:val="8"/>
          <w:sz w:val="24"/>
          <w:szCs w:val="21"/>
        </w:rPr>
        <w:t>：</w:t>
      </w:r>
      <w:r>
        <w:rPr>
          <w:rFonts w:ascii="SimHei" w:hAnsi="SimHei" w:eastAsia="黑体" w:cs="SimHei"/>
          <w:color w:val="000000"/>
          <w:spacing w:val="8"/>
          <w:sz w:val="24"/>
          <w:szCs w:val="21"/>
        </w:rPr>
        <w:t>12+2</w:t>
      </w:r>
      <w:r>
        <w:rPr>
          <w:rFonts w:ascii="SimHei" w:hAnsi="SimHei" w:eastAsia="黑体" w:cs="SimHei"/>
          <w:color w:val="000000"/>
          <w:spacing w:val="8"/>
          <w:sz w:val="24"/>
          <w:szCs w:val="21"/>
        </w:rPr>
        <w:t>方式</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当员工为公司服务了一整年，公司多发</w:t>
      </w:r>
      <w:r>
        <w:rPr>
          <w:rFonts w:ascii="SimHei" w:hAnsi="SimHei" w:eastAsia="黑体" w:cs="SimHei"/>
          <w:color w:val="000000"/>
          <w:spacing w:val="8"/>
          <w:sz w:val="24"/>
          <w:szCs w:val="21"/>
        </w:rPr>
        <w:t>2</w:t>
      </w:r>
      <w:r>
        <w:rPr>
          <w:rFonts w:ascii="SimHei" w:hAnsi="SimHei" w:eastAsia="黑体" w:cs="SimHei"/>
          <w:color w:val="000000"/>
          <w:spacing w:val="8"/>
          <w:sz w:val="24"/>
          <w:szCs w:val="21"/>
        </w:rPr>
        <w:t>个月的薪水作为奖励。这是非常灵活的做法，它一般有公司营业指标、客户指标和个人指标三方面来衡量。公司营业指标是以最少成本达到最优化效果，获得最大利润打分，客户指标是由客户满意度来打分，个人指标是由个人完成工作的质量和数量打分。一般地，公司营业指标在双薪中占</w:t>
      </w:r>
      <w:r>
        <w:rPr>
          <w:rFonts w:ascii="SimHei" w:hAnsi="SimHei" w:eastAsia="黑体" w:cs="SimHei"/>
          <w:color w:val="000000"/>
          <w:spacing w:val="8"/>
          <w:sz w:val="24"/>
          <w:szCs w:val="21"/>
        </w:rPr>
        <w:t>10-20%</w:t>
      </w:r>
      <w:r>
        <w:rPr>
          <w:rFonts w:ascii="SimHei" w:hAnsi="SimHei" w:eastAsia="黑体" w:cs="SimHei"/>
          <w:color w:val="000000"/>
          <w:spacing w:val="8"/>
          <w:sz w:val="24"/>
          <w:szCs w:val="21"/>
        </w:rPr>
        <w:t>，集体工作量占</w:t>
      </w:r>
      <w:r>
        <w:rPr>
          <w:rFonts w:ascii="SimHei" w:hAnsi="SimHei" w:eastAsia="黑体" w:cs="SimHei"/>
          <w:color w:val="000000"/>
          <w:spacing w:val="8"/>
          <w:sz w:val="24"/>
          <w:szCs w:val="21"/>
        </w:rPr>
        <w:t>30-40%</w:t>
      </w:r>
      <w:r>
        <w:rPr>
          <w:rFonts w:ascii="SimHei" w:hAnsi="SimHei" w:eastAsia="黑体" w:cs="SimHei"/>
          <w:color w:val="000000"/>
          <w:spacing w:val="8"/>
          <w:sz w:val="24"/>
          <w:szCs w:val="21"/>
        </w:rPr>
        <w:t>，而个人指标则在双薪中占到</w:t>
      </w:r>
      <w:r>
        <w:rPr>
          <w:rFonts w:ascii="SimHei" w:hAnsi="SimHei" w:eastAsia="黑体" w:cs="SimHei"/>
          <w:color w:val="000000"/>
          <w:spacing w:val="8"/>
          <w:sz w:val="24"/>
          <w:szCs w:val="21"/>
        </w:rPr>
        <w:t>40-50%</w:t>
      </w:r>
      <w:r>
        <w:rPr>
          <w:rFonts w:ascii="SimHei" w:hAnsi="SimHei" w:eastAsia="黑体" w:cs="SimHei"/>
          <w:color w:val="000000"/>
          <w:spacing w:val="8"/>
          <w:sz w:val="24"/>
          <w:szCs w:val="21"/>
        </w:rPr>
        <w:t>的分量。也就是说，当你个人努力完成工作，发挥集体协作精神，完成公司营业目标时，才能最终获得双薪。这种灵活的做法，已经在国外非常流行。它充分调动员工个人的积极性，发扬团队合作精神，为公司做出贡献。</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C</w:t>
      </w:r>
      <w:r>
        <w:rPr>
          <w:rFonts w:ascii="SimHei" w:hAnsi="SimHei" w:eastAsia="黑体" w:cs="SimHei"/>
          <w:color w:val="000000"/>
          <w:spacing w:val="8"/>
          <w:sz w:val="24"/>
          <w:szCs w:val="21"/>
        </w:rPr>
        <w:t>：注意事项</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企业发放双薪是根据自己的政策来制定的，所以如果有的员工在</w:t>
      </w:r>
      <w:r>
        <w:rPr>
          <w:rFonts w:ascii="SimHei" w:hAnsi="SimHei" w:eastAsia="黑体" w:cs="SimHei"/>
          <w:color w:val="000000"/>
          <w:spacing w:val="8"/>
          <w:sz w:val="24"/>
          <w:szCs w:val="21"/>
        </w:rPr>
        <w:t>8</w:t>
      </w:r>
      <w:r>
        <w:rPr>
          <w:rFonts w:ascii="SimHei" w:hAnsi="SimHei" w:eastAsia="黑体" w:cs="SimHei"/>
          <w:color w:val="000000"/>
          <w:spacing w:val="8"/>
          <w:sz w:val="24"/>
          <w:szCs w:val="21"/>
        </w:rPr>
        <w:t>月份离开公司的话，有的公司会比较通情达理给他双薪中的一部分，但有的公司肯定是不会给一分钱的。在后者上班的员工会对此非常小心，即使选择跳槽损失了一笔收入，也许又会在新的公司中要求得到补偿。</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（五）年终奖发放有以下几种依据：</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1</w:t>
      </w:r>
      <w:r>
        <w:rPr>
          <w:rFonts w:ascii="SimHei" w:hAnsi="SimHei" w:eastAsia="黑体" w:cs="SimHei"/>
          <w:color w:val="000000"/>
          <w:spacing w:val="8"/>
          <w:sz w:val="24"/>
          <w:szCs w:val="21"/>
        </w:rPr>
        <w:t>、绩效管理体系不完善的企业，年初基本上没有制定年度目标计划，年终发奖金时没有发放的业绩依据，这种情况下可以有采取年度工作总结或职述报告的方式对员工一年来的工作业绩进行归纳总结，普通管理人员做年度工作总结，中高层干部则要做述职报告，企业就可以根据他们的业绩完成情况发奖金，至于发多少各个企业的情况就不一样了。</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2</w:t>
      </w:r>
      <w:r>
        <w:rPr>
          <w:rFonts w:ascii="SimHei" w:hAnsi="SimHei" w:eastAsia="黑体" w:cs="SimHei"/>
          <w:color w:val="000000"/>
          <w:spacing w:val="8"/>
          <w:sz w:val="24"/>
          <w:szCs w:val="21"/>
        </w:rPr>
        <w:t>、绩效管理体系较完善的企业这比较容易找到年度业绩依据，首先，这样的企业每年年初时会制定企业的经营计划目标，然后将公司层面的目标进行分解成为对各部门进行考核的</w:t>
      </w:r>
      <w:r>
        <w:rPr>
          <w:rFonts w:ascii="SimHei" w:hAnsi="SimHei" w:eastAsia="黑体" w:cs="SimHei"/>
          <w:color w:val="000000"/>
          <w:spacing w:val="8"/>
          <w:sz w:val="24"/>
          <w:szCs w:val="21"/>
        </w:rPr>
        <w:t>KPI</w:t>
      </w:r>
      <w:r>
        <w:rPr>
          <w:rFonts w:ascii="SimHei" w:hAnsi="SimHei" w:eastAsia="黑体" w:cs="SimHei"/>
          <w:color w:val="000000"/>
          <w:spacing w:val="8"/>
          <w:sz w:val="24"/>
          <w:szCs w:val="21"/>
        </w:rPr>
        <w:t>，各部门再将各自部门的</w:t>
      </w:r>
      <w:r>
        <w:rPr>
          <w:rFonts w:ascii="SimHei" w:hAnsi="SimHei" w:eastAsia="黑体" w:cs="SimHei"/>
          <w:color w:val="000000"/>
          <w:spacing w:val="8"/>
          <w:sz w:val="24"/>
          <w:szCs w:val="21"/>
        </w:rPr>
        <w:t>KPI</w:t>
      </w:r>
      <w:r>
        <w:rPr>
          <w:rFonts w:ascii="SimHei" w:hAnsi="SimHei" w:eastAsia="黑体" w:cs="SimHei"/>
          <w:color w:val="000000"/>
          <w:spacing w:val="8"/>
          <w:sz w:val="24"/>
          <w:szCs w:val="21"/>
        </w:rPr>
        <w:t>分解给各个岗位进行考核，这样年度业绩目标就非常明确，然后再转化成季度或月度考核。每个人最终的年度业绩就由</w:t>
      </w:r>
      <w:r>
        <w:rPr>
          <w:rFonts w:ascii="SimHei" w:hAnsi="SimHei" w:eastAsia="黑体" w:cs="SimHei"/>
          <w:color w:val="000000"/>
          <w:spacing w:val="8"/>
          <w:sz w:val="24"/>
          <w:szCs w:val="21"/>
        </w:rPr>
        <w:t>KPI</w:t>
      </w:r>
      <w:r>
        <w:rPr>
          <w:rFonts w:ascii="SimHei" w:hAnsi="SimHei" w:eastAsia="黑体" w:cs="SimHei"/>
          <w:color w:val="000000"/>
          <w:spacing w:val="8"/>
          <w:sz w:val="24"/>
          <w:szCs w:val="21"/>
        </w:rPr>
        <w:t>和季</w:t>
      </w:r>
      <w:r>
        <w:rPr>
          <w:rFonts w:ascii="SimHei" w:hAnsi="SimHei" w:eastAsia="黑体" w:cs="SimHei"/>
          <w:color w:val="000000"/>
          <w:spacing w:val="8"/>
          <w:sz w:val="24"/>
          <w:szCs w:val="21"/>
        </w:rPr>
        <w:t>/</w:t>
      </w:r>
      <w:r>
        <w:rPr>
          <w:rFonts w:ascii="SimHei" w:hAnsi="SimHei" w:eastAsia="黑体" w:cs="SimHei"/>
          <w:color w:val="000000"/>
          <w:spacing w:val="8"/>
          <w:sz w:val="24"/>
          <w:szCs w:val="21"/>
        </w:rPr>
        <w:t>月度计划完成情况组成，做得再好一点的还可以再多加一个维度的考核——即员工的工作态度。最后，每个人的年终奖金额度就直接与公司的年度经营业绩、部门年度工作业绩、个人的</w:t>
      </w:r>
      <w:r>
        <w:rPr>
          <w:rFonts w:ascii="SimHei" w:hAnsi="SimHei" w:eastAsia="黑体" w:cs="SimHei"/>
          <w:color w:val="000000"/>
          <w:spacing w:val="8"/>
          <w:sz w:val="24"/>
          <w:szCs w:val="21"/>
        </w:rPr>
        <w:t>KPI</w:t>
      </w:r>
      <w:r>
        <w:rPr>
          <w:rFonts w:ascii="SimHei" w:hAnsi="SimHei" w:eastAsia="黑体" w:cs="SimHei"/>
          <w:color w:val="000000"/>
          <w:spacing w:val="8"/>
          <w:sz w:val="24"/>
          <w:szCs w:val="21"/>
        </w:rPr>
        <w:t>、季</w:t>
      </w:r>
      <w:r>
        <w:rPr>
          <w:rFonts w:ascii="SimHei" w:hAnsi="SimHei" w:eastAsia="黑体" w:cs="SimHei"/>
          <w:color w:val="000000"/>
          <w:spacing w:val="8"/>
          <w:sz w:val="24"/>
          <w:szCs w:val="21"/>
        </w:rPr>
        <w:t>/</w:t>
      </w:r>
      <w:r>
        <w:rPr>
          <w:rFonts w:ascii="SimHei" w:hAnsi="SimHei" w:eastAsia="黑体" w:cs="SimHei"/>
          <w:color w:val="000000"/>
          <w:spacing w:val="8"/>
          <w:sz w:val="24"/>
          <w:szCs w:val="21"/>
        </w:rPr>
        <w:t>月度计划完成及工作态度挂钩，当然还有设计合适的计算公式和各部分业绩所占的权重。</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3</w:t>
      </w:r>
      <w:r>
        <w:rPr>
          <w:rFonts w:ascii="SimHei" w:hAnsi="SimHei" w:eastAsia="黑体" w:cs="SimHei"/>
          <w:color w:val="000000"/>
          <w:spacing w:val="8"/>
          <w:sz w:val="24"/>
          <w:szCs w:val="21"/>
        </w:rPr>
        <w:t>、对于完全没有目标计划或绩效管理概念的小企业来说，最好办法就是设计一张年度考核表，考核的内容包括：工作态度、工作能力、重点工作业绩</w:t>
      </w:r>
      <w:r>
        <w:rPr>
          <w:rFonts w:ascii="SimHei" w:hAnsi="SimHei" w:eastAsia="黑体" w:cs="SimHei"/>
          <w:color w:val="000000"/>
          <w:spacing w:val="8"/>
          <w:sz w:val="24"/>
          <w:szCs w:val="21"/>
        </w:rPr>
        <w:t>3</w:t>
      </w:r>
      <w:r>
        <w:rPr>
          <w:rFonts w:ascii="SimHei" w:hAnsi="SimHei" w:eastAsia="黑体" w:cs="SimHei"/>
          <w:color w:val="000000"/>
          <w:spacing w:val="8"/>
          <w:sz w:val="24"/>
          <w:szCs w:val="21"/>
        </w:rPr>
        <w:t>个维度。其中每个维度又细分不同的子维度，工作态度包括团队精神、责任心、主动性、进取心；工作能力包括：基本素质（沟通能力、创新能力、压力管理、组织协调能力、时间管理能力）、专业技能（胜任岗位所需要具备的专业知识技能和经验）；重点工作业绩主要包括年度完成的重点工作项目。把考核维度设计好后，再设计好计算公式及各考核维度的占的权重，这样就可以计算每个员工的年终奖了。</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虽然以上的方法难免会还有一定的主观因素，但是对于业绩管理不完善的企业来说这是发放年终奖最好的考核依据，能最大程度地降低年终奖发放时受老板主观判断因素的影响，可以做到比较公平些。 </w:t>
      </w:r>
    </w:p>
    <w:p>
      <w:pPr>
        <w:pStyle w:val="Heading2"/>
        <w:spacing w:lineRule="atLeast" w:line="360"/>
        <w:rPr>
          <w:rFonts w:ascii="SimHei" w:hAnsi="SimHei" w:eastAsia="黑体" w:cs="SimHei"/>
          <w:color w:val="000000"/>
          <w:spacing w:val="8"/>
          <w:sz w:val="40"/>
        </w:rPr>
      </w:pPr>
      <w:bookmarkStart w:id="6" w:name="10"/>
      <w:bookmarkEnd w:id="6"/>
      <w:r>
        <w:rPr>
          <w:rFonts w:ascii="SimHei" w:hAnsi="SimHei" w:eastAsia="黑体" w:cs="SimHei"/>
          <w:color w:val="000000"/>
          <w:spacing w:val="8"/>
          <w:sz w:val="40"/>
        </w:rPr>
        <w:t>年终奖投资</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投资渠道之——股市</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投资范围：</w:t>
      </w:r>
    </w:p>
    <w:p>
      <w:pPr>
        <w:pStyle w:val="Normal"/>
        <w:spacing w:lineRule="auto" w:line="312"/>
        <w:rPr>
          <w:rFonts w:ascii="SimHei" w:hAnsi="SimHei" w:eastAsia="黑体" w:cs="SimHei"/>
          <w:color w:val="000000"/>
          <w:spacing w:val="8"/>
          <w:sz w:val="24"/>
          <w:szCs w:val="21"/>
        </w:rPr>
      </w:pPr>
      <w:r>
        <w:rPr>
          <w:rFonts w:ascii="SimHei" w:hAnsi="SimHei" w:eastAsia="黑体" w:cs="SimHei"/>
          <w:color w:val="000000"/>
          <w:spacing w:val="8"/>
          <w:sz w:val="24"/>
          <w:szCs w:val="21"/>
        </w:rPr>
        <w:t>　　境内</w:t>
      </w:r>
      <w:r>
        <w:rPr>
          <w:rFonts w:ascii="SimHei" w:hAnsi="SimHei" w:eastAsia="黑体" w:cs="SimHei"/>
          <w:color w:val="000000"/>
          <w:spacing w:val="8"/>
          <w:sz w:val="24"/>
          <w:szCs w:val="21"/>
        </w:rPr>
        <w:t>A</w:t>
      </w:r>
      <w:r>
        <w:rPr>
          <w:rFonts w:ascii="SimHei" w:hAnsi="SimHei" w:eastAsia="黑体" w:cs="SimHei"/>
          <w:color w:val="000000"/>
          <w:spacing w:val="8"/>
          <w:sz w:val="24"/>
          <w:szCs w:val="21"/>
        </w:rPr>
        <w:t>、</w:t>
      </w:r>
      <w:r>
        <w:rPr>
          <w:rFonts w:ascii="SimHei" w:hAnsi="SimHei" w:eastAsia="黑体" w:cs="SimHei"/>
          <w:color w:val="000000"/>
          <w:spacing w:val="8"/>
          <w:sz w:val="24"/>
          <w:szCs w:val="21"/>
        </w:rPr>
        <w:t>B</w:t>
      </w:r>
      <w:r>
        <w:rPr>
          <w:rFonts w:ascii="SimHei" w:hAnsi="SimHei" w:eastAsia="黑体" w:cs="SimHei"/>
          <w:color w:val="000000"/>
          <w:spacing w:val="8"/>
          <w:sz w:val="24"/>
          <w:szCs w:val="21"/>
        </w:rPr>
        <w:t>股</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门槛：</w:t>
      </w:r>
      <w:r>
        <w:rPr>
          <w:rFonts w:ascii="SimHei" w:hAnsi="SimHei" w:eastAsia="黑体" w:cs="SimHei"/>
          <w:color w:val="000000"/>
          <w:spacing w:val="8"/>
          <w:sz w:val="24"/>
          <w:szCs w:val="21"/>
        </w:rPr>
        <w:t>A</w:t>
      </w:r>
      <w:r>
        <w:rPr>
          <w:rFonts w:ascii="SimHei" w:hAnsi="SimHei" w:eastAsia="黑体" w:cs="SimHei"/>
          <w:color w:val="000000"/>
          <w:spacing w:val="8"/>
          <w:sz w:val="24"/>
          <w:szCs w:val="21"/>
        </w:rPr>
        <w:t>股购买</w:t>
      </w:r>
      <w:r>
        <w:rPr>
          <w:rFonts w:ascii="SimHei" w:hAnsi="SimHei" w:eastAsia="黑体" w:cs="SimHei"/>
          <w:color w:val="000000"/>
          <w:spacing w:val="8"/>
          <w:sz w:val="24"/>
          <w:szCs w:val="21"/>
        </w:rPr>
        <w:t>100</w:t>
      </w:r>
      <w:r>
        <w:rPr>
          <w:rFonts w:ascii="SimHei" w:hAnsi="SimHei" w:eastAsia="黑体" w:cs="SimHei"/>
          <w:color w:val="000000"/>
          <w:spacing w:val="8"/>
          <w:sz w:val="24"/>
          <w:szCs w:val="21"/>
        </w:rPr>
        <w:t>股以上即可，</w:t>
      </w:r>
      <w:r>
        <w:rPr>
          <w:rFonts w:ascii="SimHei" w:hAnsi="SimHei" w:eastAsia="黑体" w:cs="SimHei"/>
          <w:color w:val="000000"/>
          <w:spacing w:val="8"/>
          <w:sz w:val="24"/>
          <w:szCs w:val="21"/>
        </w:rPr>
        <w:t>B</w:t>
      </w:r>
      <w:r>
        <w:rPr>
          <w:rFonts w:ascii="SimHei" w:hAnsi="SimHei" w:eastAsia="黑体" w:cs="SimHei"/>
          <w:color w:val="000000"/>
          <w:spacing w:val="8"/>
          <w:sz w:val="24"/>
          <w:szCs w:val="21"/>
        </w:rPr>
        <w:t>股需有足够的美元。</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　风险程度：</w:t>
      </w:r>
      <w:r>
        <w:rPr>
          <w:rFonts w:ascii="SimHei" w:hAnsi="SimHei" w:eastAsia="黑体" w:cs="SimHei"/>
          <w:color w:val="000000"/>
          <w:spacing w:val="8"/>
          <w:sz w:val="24"/>
          <w:szCs w:val="21"/>
        </w:rPr>
        <w:t>较高，</w:t>
      </w:r>
      <w:r>
        <w:rPr>
          <w:rFonts w:ascii="SimHei" w:hAnsi="SimHei" w:eastAsia="黑体" w:cs="SimHei"/>
          <w:color w:val="000000"/>
          <w:spacing w:val="8"/>
          <w:sz w:val="24"/>
          <w:szCs w:val="21"/>
        </w:rPr>
        <w:t>B</w:t>
      </w:r>
      <w:r>
        <w:rPr>
          <w:rFonts w:ascii="SimHei" w:hAnsi="SimHei" w:eastAsia="黑体" w:cs="SimHei"/>
          <w:color w:val="000000"/>
          <w:spacing w:val="8"/>
          <w:sz w:val="24"/>
          <w:szCs w:val="21"/>
        </w:rPr>
        <w:t>股还需承担汇兑损失。</w:t>
      </w:r>
    </w:p>
    <w:p>
      <w:pPr>
        <w:pStyle w:val="Normal"/>
        <w:spacing w:lineRule="atLeast" w:line="360"/>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　预期收益率：</w:t>
      </w:r>
      <w:r>
        <w:rPr>
          <w:rFonts w:ascii="SimHei" w:hAnsi="SimHei" w:eastAsia="黑体" w:cs="SimHei"/>
          <w:color w:val="000000"/>
          <w:spacing w:val="8"/>
          <w:sz w:val="24"/>
          <w:szCs w:val="21"/>
        </w:rPr>
        <w:t>不定，风险与收益成正比。</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流动性</w:t>
      </w:r>
      <w:r>
        <w:rPr>
          <w:rFonts w:ascii="SimHei" w:hAnsi="SimHei" w:eastAsia="黑体" w:cs="SimHei"/>
          <w:b/>
          <w:bCs/>
          <w:color w:val="000000"/>
          <w:spacing w:val="8"/>
          <w:sz w:val="22"/>
          <w:szCs w:val="21"/>
        </w:rPr>
        <w:t>：</w:t>
      </w:r>
      <w:r>
        <w:rPr>
          <w:rFonts w:ascii="SimHei" w:hAnsi="SimHei" w:eastAsia="黑体" w:cs="SimHei"/>
          <w:color w:val="000000"/>
          <w:spacing w:val="8"/>
          <w:sz w:val="24"/>
          <w:szCs w:val="21"/>
        </w:rPr>
        <w:t>股票的流动性强，可随时卖出。</w:t>
      </w:r>
    </w:p>
    <w:p>
      <w:pPr>
        <w:pStyle w:val="Normal"/>
        <w:spacing w:lineRule="atLeast" w:line="360"/>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　点评：</w:t>
      </w:r>
      <w:r>
        <w:rPr>
          <w:rFonts w:ascii="SimHei" w:hAnsi="SimHei" w:eastAsia="黑体" w:cs="SimHei"/>
          <w:color w:val="000000"/>
          <w:spacing w:val="8"/>
          <w:sz w:val="24"/>
          <w:szCs w:val="21"/>
        </w:rPr>
        <w:t>虽然今年股市行情非常火暴，但也不能简单认为入市后一定能赚钱。专家表示，由于投资股票本身就具有很大的不确定性，所以，投资者非常有必要对股市有个深入的了解。作为新入市的投资者，最重要的是做稳定性强、投资周期长的投资，应主要投资于那些业绩优良的蓝筹股。因为长期的价值投资，不仅可以在很大程度上减少风险，也是新入市投资者的不二选择。</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投资渠道之——基金</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投资范围：</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封基、开基、</w:t>
      </w:r>
      <w:r>
        <w:rPr>
          <w:rFonts w:ascii="SimHei" w:hAnsi="SimHei" w:eastAsia="黑体" w:cs="SimHei"/>
          <w:color w:val="000000"/>
          <w:spacing w:val="8"/>
          <w:sz w:val="24"/>
          <w:szCs w:val="21"/>
        </w:rPr>
        <w:t>QDII</w:t>
      </w:r>
      <w:r>
        <w:rPr>
          <w:rFonts w:ascii="SimHei" w:hAnsi="SimHei" w:eastAsia="黑体" w:cs="SimHei"/>
          <w:color w:val="000000"/>
          <w:spacing w:val="8"/>
          <w:sz w:val="24"/>
          <w:szCs w:val="21"/>
        </w:rPr>
        <w:t>基金</w:t>
      </w:r>
    </w:p>
    <w:p>
      <w:pPr>
        <w:pStyle w:val="Normal"/>
        <w:spacing w:lineRule="atLeast" w:line="360"/>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门槛：</w:t>
      </w:r>
      <w:r>
        <w:rPr>
          <w:rFonts w:ascii="SimHei" w:hAnsi="SimHei" w:eastAsia="黑体" w:cs="SimHei"/>
          <w:color w:val="000000"/>
          <w:spacing w:val="8"/>
          <w:sz w:val="24"/>
          <w:szCs w:val="21"/>
        </w:rPr>
        <w:t>封基的最低门槛是</w:t>
      </w:r>
      <w:r>
        <w:rPr>
          <w:rFonts w:ascii="SimHei" w:hAnsi="SimHei" w:eastAsia="黑体" w:cs="SimHei"/>
          <w:color w:val="000000"/>
          <w:spacing w:val="8"/>
          <w:sz w:val="24"/>
          <w:szCs w:val="21"/>
        </w:rPr>
        <w:t>1</w:t>
      </w:r>
      <w:r>
        <w:rPr>
          <w:rFonts w:ascii="SimHei" w:hAnsi="SimHei" w:eastAsia="黑体" w:cs="SimHei"/>
          <w:color w:val="000000"/>
          <w:spacing w:val="8"/>
          <w:sz w:val="24"/>
          <w:szCs w:val="21"/>
        </w:rPr>
        <w:t>手（</w:t>
      </w:r>
      <w:r>
        <w:rPr>
          <w:rFonts w:ascii="SimHei" w:hAnsi="SimHei" w:eastAsia="黑体" w:cs="SimHei"/>
          <w:color w:val="000000"/>
          <w:spacing w:val="8"/>
          <w:sz w:val="24"/>
          <w:szCs w:val="21"/>
        </w:rPr>
        <w:t>100</w:t>
      </w:r>
      <w:r>
        <w:rPr>
          <w:rFonts w:ascii="SimHei" w:hAnsi="SimHei" w:eastAsia="黑体" w:cs="SimHei"/>
          <w:color w:val="000000"/>
          <w:spacing w:val="8"/>
          <w:sz w:val="24"/>
          <w:szCs w:val="21"/>
        </w:rPr>
        <w:t>份）；开基最低额度</w:t>
      </w:r>
      <w:r>
        <w:rPr>
          <w:rFonts w:ascii="SimHei" w:hAnsi="SimHei" w:eastAsia="黑体" w:cs="SimHei"/>
          <w:color w:val="000000"/>
          <w:spacing w:val="8"/>
          <w:sz w:val="24"/>
          <w:szCs w:val="21"/>
        </w:rPr>
        <w:t>1000</w:t>
      </w:r>
      <w:r>
        <w:rPr>
          <w:rFonts w:ascii="SimHei" w:hAnsi="SimHei" w:eastAsia="黑体" w:cs="SimHei"/>
          <w:color w:val="000000"/>
          <w:spacing w:val="8"/>
          <w:sz w:val="24"/>
          <w:szCs w:val="21"/>
        </w:rPr>
        <w:t>元，</w:t>
      </w:r>
      <w:r>
        <w:rPr>
          <w:rFonts w:ascii="SimHei" w:hAnsi="SimHei" w:eastAsia="黑体" w:cs="SimHei"/>
          <w:color w:val="000000"/>
          <w:spacing w:val="8"/>
          <w:sz w:val="24"/>
          <w:szCs w:val="21"/>
        </w:rPr>
        <w:t>QDII</w:t>
      </w:r>
      <w:r>
        <w:rPr>
          <w:rFonts w:ascii="SimHei" w:hAnsi="SimHei" w:eastAsia="黑体" w:cs="SimHei"/>
          <w:color w:val="000000"/>
          <w:spacing w:val="8"/>
          <w:sz w:val="24"/>
          <w:szCs w:val="21"/>
        </w:rPr>
        <w:t>基金分为</w:t>
      </w:r>
      <w:r>
        <w:rPr>
          <w:rFonts w:ascii="SimHei" w:hAnsi="SimHei" w:eastAsia="黑体" w:cs="SimHei"/>
          <w:color w:val="000000"/>
          <w:spacing w:val="8"/>
          <w:sz w:val="24"/>
          <w:szCs w:val="21"/>
        </w:rPr>
        <w:t>1000</w:t>
      </w:r>
      <w:r>
        <w:rPr>
          <w:rFonts w:ascii="SimHei" w:hAnsi="SimHei" w:eastAsia="黑体" w:cs="SimHei"/>
          <w:color w:val="000000"/>
          <w:spacing w:val="8"/>
          <w:sz w:val="24"/>
          <w:szCs w:val="21"/>
        </w:rPr>
        <w:t>元、</w:t>
      </w:r>
      <w:r>
        <w:rPr>
          <w:rFonts w:ascii="SimHei" w:hAnsi="SimHei" w:eastAsia="黑体" w:cs="SimHei"/>
          <w:color w:val="000000"/>
          <w:spacing w:val="8"/>
          <w:sz w:val="24"/>
          <w:szCs w:val="21"/>
        </w:rPr>
        <w:t>5000</w:t>
      </w:r>
      <w:r>
        <w:rPr>
          <w:rFonts w:ascii="SimHei" w:hAnsi="SimHei" w:eastAsia="黑体" w:cs="SimHei"/>
          <w:color w:val="000000"/>
          <w:spacing w:val="8"/>
          <w:sz w:val="24"/>
          <w:szCs w:val="21"/>
        </w:rPr>
        <w:t>元、</w:t>
      </w:r>
      <w:r>
        <w:rPr>
          <w:rFonts w:ascii="SimHei" w:hAnsi="SimHei" w:eastAsia="黑体" w:cs="SimHei"/>
          <w:color w:val="000000"/>
          <w:spacing w:val="8"/>
          <w:sz w:val="24"/>
          <w:szCs w:val="21"/>
        </w:rPr>
        <w:t>1</w:t>
      </w:r>
      <w:r>
        <w:rPr>
          <w:rFonts w:ascii="SimHei" w:hAnsi="SimHei" w:eastAsia="黑体" w:cs="SimHei"/>
          <w:color w:val="000000"/>
          <w:spacing w:val="8"/>
          <w:sz w:val="24"/>
          <w:szCs w:val="21"/>
        </w:rPr>
        <w:t>万元不等。</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风险程度：</w:t>
      </w:r>
      <w:r>
        <w:rPr>
          <w:rFonts w:ascii="SimHei" w:hAnsi="SimHei" w:eastAsia="黑体" w:cs="SimHei"/>
          <w:color w:val="000000"/>
          <w:spacing w:val="8"/>
          <w:sz w:val="24"/>
          <w:szCs w:val="21"/>
        </w:rPr>
        <w:t>个别基金保本，如货币基金，但收益较低，略高于固定存款利率。其余基金均不保本。</w:t>
      </w:r>
    </w:p>
    <w:p>
      <w:pPr>
        <w:pStyle w:val="Normal"/>
        <w:spacing w:lineRule="atLeast" w:line="360"/>
        <w:rPr>
          <w:rFonts w:ascii="SimHei" w:hAnsi="SimHei" w:eastAsia="黑体" w:cs="SimHei"/>
          <w:color w:val="000000"/>
          <w:spacing w:val="8"/>
          <w:sz w:val="22"/>
          <w:szCs w:val="21"/>
        </w:rPr>
      </w:pPr>
      <w:r>
        <w:rPr>
          <w:rFonts w:ascii="SimHei" w:hAnsi="SimHei" w:eastAsia="黑体" w:cs="SimHei"/>
          <w:b/>
          <w:bCs/>
          <w:color w:val="000000"/>
          <w:spacing w:val="8"/>
          <w:sz w:val="24"/>
          <w:szCs w:val="21"/>
        </w:rPr>
        <w:t>　　预期收益率</w:t>
      </w:r>
      <w:r>
        <w:rPr>
          <w:rFonts w:ascii="SimHei" w:hAnsi="SimHei" w:eastAsia="黑体" w:cs="SimHei"/>
          <w:b/>
          <w:bCs/>
          <w:color w:val="000000"/>
          <w:spacing w:val="8"/>
          <w:sz w:val="22"/>
          <w:szCs w:val="21"/>
        </w:rPr>
        <w:t>：</w:t>
      </w:r>
      <w:r>
        <w:rPr>
          <w:rFonts w:ascii="SimHei" w:hAnsi="SimHei" w:eastAsia="黑体" w:cs="SimHei"/>
          <w:color w:val="000000"/>
          <w:spacing w:val="8"/>
          <w:sz w:val="24"/>
          <w:szCs w:val="21"/>
        </w:rPr>
        <w:t>浮动收益，随股市变化而定。</w:t>
      </w:r>
    </w:p>
    <w:p>
      <w:pPr>
        <w:pStyle w:val="Normal"/>
        <w:spacing w:lineRule="atLeast" w:line="360"/>
        <w:rPr>
          <w:rFonts w:ascii="SimHei" w:hAnsi="SimHei" w:eastAsia="黑体" w:cs="SimHei"/>
          <w:color w:val="000000"/>
          <w:spacing w:val="8"/>
          <w:sz w:val="22"/>
          <w:szCs w:val="21"/>
        </w:rPr>
      </w:pPr>
      <w:r>
        <w:rPr>
          <w:rFonts w:ascii="SimHei" w:hAnsi="SimHei" w:eastAsia="黑体" w:cs="SimHei"/>
          <w:b/>
          <w:bCs/>
          <w:color w:val="000000"/>
          <w:spacing w:val="8"/>
          <w:sz w:val="24"/>
          <w:szCs w:val="21"/>
        </w:rPr>
        <w:t>　　流动性</w:t>
      </w:r>
      <w:r>
        <w:rPr>
          <w:rFonts w:ascii="SimHei" w:hAnsi="SimHei" w:eastAsia="黑体" w:cs="SimHei"/>
          <w:b/>
          <w:bCs/>
          <w:color w:val="000000"/>
          <w:spacing w:val="8"/>
          <w:sz w:val="22"/>
          <w:szCs w:val="21"/>
        </w:rPr>
        <w:t>：</w:t>
      </w:r>
      <w:r>
        <w:rPr>
          <w:rFonts w:ascii="SimHei" w:hAnsi="SimHei" w:eastAsia="黑体" w:cs="SimHei"/>
          <w:color w:val="000000"/>
          <w:spacing w:val="8"/>
          <w:sz w:val="22"/>
          <w:szCs w:val="21"/>
        </w:rPr>
        <w:t xml:space="preserve"> </w:t>
      </w:r>
      <w:r>
        <w:rPr>
          <w:rFonts w:ascii="SimHei" w:hAnsi="SimHei" w:eastAsia="黑体" w:cs="SimHei"/>
          <w:color w:val="000000"/>
          <w:spacing w:val="8"/>
          <w:sz w:val="24"/>
          <w:szCs w:val="21"/>
        </w:rPr>
        <w:t>除封基外，其他基金品种均可随时赎回（与基金公司约定的除外），但开基有</w:t>
      </w:r>
      <w:r>
        <w:rPr>
          <w:rFonts w:ascii="SimHei" w:hAnsi="SimHei" w:eastAsia="黑体" w:cs="SimHei"/>
          <w:color w:val="000000"/>
          <w:spacing w:val="8"/>
          <w:sz w:val="24"/>
          <w:szCs w:val="21"/>
        </w:rPr>
        <w:t>1-3</w:t>
      </w:r>
      <w:r>
        <w:rPr>
          <w:rFonts w:ascii="SimHei" w:hAnsi="SimHei" w:eastAsia="黑体" w:cs="SimHei"/>
          <w:color w:val="000000"/>
          <w:spacing w:val="8"/>
          <w:sz w:val="24"/>
          <w:szCs w:val="21"/>
        </w:rPr>
        <w:t>个月封闭期。</w:t>
      </w:r>
    </w:p>
    <w:p>
      <w:pPr>
        <w:pStyle w:val="Normal"/>
        <w:spacing w:lineRule="atLeast" w:line="360"/>
        <w:rPr>
          <w:rFonts w:ascii="SimHei" w:hAnsi="SimHei" w:eastAsia="黑体" w:cs="SimHei"/>
          <w:color w:val="000000"/>
          <w:spacing w:val="8"/>
          <w:sz w:val="22"/>
          <w:szCs w:val="21"/>
        </w:rPr>
      </w:pPr>
      <w:r>
        <w:rPr>
          <w:rFonts w:ascii="SimHei" w:hAnsi="SimHei" w:eastAsia="黑体" w:cs="SimHei"/>
          <w:b/>
          <w:bCs/>
          <w:color w:val="000000"/>
          <w:spacing w:val="8"/>
          <w:sz w:val="24"/>
          <w:szCs w:val="21"/>
        </w:rPr>
        <w:t>　　风险程度</w:t>
      </w:r>
      <w:r>
        <w:rPr>
          <w:rFonts w:ascii="SimHei" w:hAnsi="SimHei" w:eastAsia="黑体" w:cs="SimHei"/>
          <w:b/>
          <w:bCs/>
          <w:color w:val="000000"/>
          <w:spacing w:val="8"/>
          <w:sz w:val="22"/>
          <w:szCs w:val="21"/>
        </w:rPr>
        <w:t>：</w:t>
      </w:r>
      <w:r>
        <w:rPr>
          <w:rFonts w:ascii="SimHei" w:hAnsi="SimHei" w:eastAsia="黑体" w:cs="SimHei"/>
          <w:color w:val="000000"/>
          <w:spacing w:val="8"/>
          <w:sz w:val="24"/>
          <w:szCs w:val="21"/>
        </w:rPr>
        <w:t>与直接投资股票市场相比，证券投资基金所承担的风险相对较小。</w:t>
      </w:r>
    </w:p>
    <w:p>
      <w:pPr>
        <w:pStyle w:val="Normal"/>
        <w:spacing w:lineRule="atLeast" w:line="360"/>
        <w:rPr>
          <w:rFonts w:ascii="SimHei" w:hAnsi="SimHei" w:eastAsia="黑体" w:cs="SimHei"/>
          <w:color w:val="000000"/>
          <w:spacing w:val="8"/>
          <w:sz w:val="22"/>
          <w:szCs w:val="21"/>
        </w:rPr>
      </w:pPr>
      <w:r>
        <w:rPr>
          <w:rFonts w:ascii="SimHei" w:hAnsi="SimHei" w:eastAsia="黑体" w:cs="SimHei"/>
          <w:b/>
          <w:bCs/>
          <w:color w:val="000000"/>
          <w:spacing w:val="8"/>
          <w:sz w:val="24"/>
          <w:szCs w:val="21"/>
        </w:rPr>
        <w:t>　　点评：</w:t>
      </w:r>
      <w:r>
        <w:rPr>
          <w:rFonts w:ascii="SimHei" w:hAnsi="SimHei" w:eastAsia="黑体" w:cs="SimHei"/>
          <w:color w:val="000000"/>
          <w:spacing w:val="8"/>
          <w:sz w:val="22"/>
          <w:szCs w:val="21"/>
        </w:rPr>
        <w:t xml:space="preserve"> </w:t>
      </w:r>
      <w:r>
        <w:rPr>
          <w:rFonts w:ascii="SimHei" w:hAnsi="SimHei" w:eastAsia="黑体" w:cs="SimHei"/>
          <w:color w:val="000000"/>
          <w:spacing w:val="8"/>
          <w:sz w:val="24"/>
          <w:szCs w:val="21"/>
        </w:rPr>
        <w:t>都说基金是一种“懒人投资”，但事实上投资基金也要掌握要素。首先，应大致了解基金公司的整体业绩和团队组合。其次，在选择基金时，应了解该基金的投资组合和抗跌能力。之后，要经常与基金公司保持联系，定期检查自己的投资收益。虽然基金属于一种中长期投资品种，但是投资者应结合自己的资金状况和投资收益目标的获利点和止损点。选择适当的时机从表现不好的或有不好趋势的基金中退出，买入更有潜力的基金。</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投资渠道之——黄金</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投资范围：</w:t>
      </w:r>
    </w:p>
    <w:p>
      <w:pPr>
        <w:pStyle w:val="Normal"/>
        <w:spacing w:lineRule="auto" w:line="312"/>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color w:val="000000"/>
          <w:spacing w:val="8"/>
          <w:sz w:val="24"/>
          <w:szCs w:val="21"/>
        </w:rPr>
        <w:t>纸黄金、实物黄金、黄金递延现货</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门槛：</w:t>
      </w:r>
      <w:r>
        <w:rPr>
          <w:rFonts w:ascii="SimHei" w:hAnsi="SimHei" w:eastAsia="黑体" w:cs="SimHei"/>
          <w:color w:val="000000"/>
          <w:spacing w:val="8"/>
          <w:sz w:val="24"/>
          <w:szCs w:val="21"/>
        </w:rPr>
        <w:t>纸黄金</w:t>
      </w:r>
      <w:r>
        <w:rPr>
          <w:rFonts w:ascii="SimHei" w:hAnsi="SimHei" w:eastAsia="黑体" w:cs="SimHei"/>
          <w:color w:val="000000"/>
          <w:spacing w:val="8"/>
          <w:sz w:val="24"/>
          <w:szCs w:val="21"/>
        </w:rPr>
        <w:t>10</w:t>
      </w:r>
      <w:r>
        <w:rPr>
          <w:rFonts w:ascii="SimHei" w:hAnsi="SimHei" w:eastAsia="黑体" w:cs="SimHei"/>
          <w:color w:val="000000"/>
          <w:spacing w:val="8"/>
          <w:sz w:val="24"/>
          <w:szCs w:val="21"/>
        </w:rPr>
        <w:t>克起，实物黄金</w:t>
      </w:r>
      <w:r>
        <w:rPr>
          <w:rFonts w:ascii="SimHei" w:hAnsi="SimHei" w:eastAsia="黑体" w:cs="SimHei"/>
          <w:color w:val="000000"/>
          <w:spacing w:val="8"/>
          <w:sz w:val="24"/>
          <w:szCs w:val="21"/>
        </w:rPr>
        <w:t>10</w:t>
      </w:r>
      <w:r>
        <w:rPr>
          <w:rFonts w:ascii="SimHei" w:hAnsi="SimHei" w:eastAsia="黑体" w:cs="SimHei"/>
          <w:color w:val="000000"/>
          <w:spacing w:val="8"/>
          <w:sz w:val="24"/>
          <w:szCs w:val="21"/>
        </w:rPr>
        <w:t>克起，黄金递延（</w:t>
      </w:r>
      <w:r>
        <w:rPr>
          <w:rFonts w:ascii="SimHei" w:hAnsi="SimHei" w:eastAsia="黑体" w:cs="SimHei"/>
          <w:color w:val="000000"/>
          <w:spacing w:val="8"/>
          <w:sz w:val="24"/>
          <w:szCs w:val="21"/>
        </w:rPr>
        <w:t>T+D</w:t>
      </w:r>
      <w:r>
        <w:rPr>
          <w:rFonts w:ascii="SimHei" w:hAnsi="SimHei" w:eastAsia="黑体" w:cs="SimHei"/>
          <w:color w:val="000000"/>
          <w:spacing w:val="8"/>
          <w:sz w:val="24"/>
          <w:szCs w:val="21"/>
        </w:rPr>
        <w:t>）现货</w:t>
      </w:r>
      <w:r>
        <w:rPr>
          <w:rFonts w:ascii="SimHei" w:hAnsi="SimHei" w:eastAsia="黑体" w:cs="SimHei"/>
          <w:color w:val="000000"/>
          <w:spacing w:val="8"/>
          <w:sz w:val="24"/>
          <w:szCs w:val="21"/>
        </w:rPr>
        <w:t>1000</w:t>
      </w:r>
      <w:r>
        <w:rPr>
          <w:rFonts w:ascii="SimHei" w:hAnsi="SimHei" w:eastAsia="黑体" w:cs="SimHei"/>
          <w:color w:val="000000"/>
          <w:spacing w:val="8"/>
          <w:sz w:val="24"/>
          <w:szCs w:val="21"/>
        </w:rPr>
        <w:t>克起（目前每克价格在</w:t>
      </w:r>
      <w:r>
        <w:rPr>
          <w:rFonts w:ascii="SimHei" w:hAnsi="SimHei" w:eastAsia="黑体" w:cs="SimHei"/>
          <w:color w:val="000000"/>
          <w:spacing w:val="8"/>
          <w:sz w:val="24"/>
          <w:szCs w:val="21"/>
        </w:rPr>
        <w:t>200</w:t>
      </w:r>
      <w:r>
        <w:rPr>
          <w:rFonts w:ascii="SimHei" w:hAnsi="SimHei" w:eastAsia="黑体" w:cs="SimHei"/>
          <w:color w:val="000000"/>
          <w:spacing w:val="8"/>
          <w:sz w:val="24"/>
          <w:szCs w:val="21"/>
        </w:rPr>
        <w:t>元左右）。</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　风险程度：</w:t>
      </w:r>
      <w:r>
        <w:rPr>
          <w:rFonts w:ascii="SimHei" w:hAnsi="SimHei" w:eastAsia="黑体" w:cs="SimHei"/>
          <w:color w:val="000000"/>
          <w:spacing w:val="8"/>
          <w:sz w:val="24"/>
          <w:szCs w:val="21"/>
        </w:rPr>
        <w:t>纸黄金与实物黄金风险相对较低，黄金</w:t>
      </w:r>
      <w:r>
        <w:rPr>
          <w:rFonts w:ascii="SimHei" w:hAnsi="SimHei" w:eastAsia="黑体" w:cs="SimHei"/>
          <w:color w:val="000000"/>
          <w:spacing w:val="8"/>
          <w:sz w:val="24"/>
          <w:szCs w:val="21"/>
        </w:rPr>
        <w:t>T+D</w:t>
      </w:r>
      <w:r>
        <w:rPr>
          <w:rFonts w:ascii="SimHei" w:hAnsi="SimHei" w:eastAsia="黑体" w:cs="SimHei"/>
          <w:color w:val="000000"/>
          <w:spacing w:val="8"/>
          <w:sz w:val="24"/>
          <w:szCs w:val="21"/>
        </w:rPr>
        <w:t>风险较高。</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预期收益率：</w:t>
      </w:r>
      <w:r>
        <w:rPr>
          <w:rFonts w:ascii="SimHei" w:hAnsi="SimHei" w:eastAsia="黑体" w:cs="SimHei"/>
          <w:color w:val="000000"/>
          <w:spacing w:val="8"/>
          <w:sz w:val="24"/>
          <w:szCs w:val="21"/>
        </w:rPr>
        <w:t>纸黄金与实物黄金预期收益较低，黄金</w:t>
      </w:r>
      <w:r>
        <w:rPr>
          <w:rFonts w:ascii="SimHei" w:hAnsi="SimHei" w:eastAsia="黑体" w:cs="SimHei"/>
          <w:color w:val="000000"/>
          <w:spacing w:val="8"/>
          <w:sz w:val="24"/>
          <w:szCs w:val="21"/>
        </w:rPr>
        <w:t>T+D</w:t>
      </w:r>
      <w:r>
        <w:rPr>
          <w:rFonts w:ascii="SimHei" w:hAnsi="SimHei" w:eastAsia="黑体" w:cs="SimHei"/>
          <w:color w:val="000000"/>
          <w:spacing w:val="8"/>
          <w:sz w:val="24"/>
          <w:szCs w:val="21"/>
        </w:rPr>
        <w:t>预期收益较高。</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流动性：</w:t>
      </w:r>
      <w:r>
        <w:rPr>
          <w:rFonts w:ascii="SimHei" w:hAnsi="SimHei" w:eastAsia="黑体" w:cs="SimHei"/>
          <w:color w:val="000000"/>
          <w:spacing w:val="8"/>
          <w:sz w:val="24"/>
          <w:szCs w:val="21"/>
        </w:rPr>
        <w:t>纸黄金与黄金</w:t>
      </w:r>
      <w:r>
        <w:rPr>
          <w:rFonts w:ascii="SimHei" w:hAnsi="SimHei" w:eastAsia="黑体" w:cs="SimHei"/>
          <w:color w:val="000000"/>
          <w:spacing w:val="8"/>
          <w:sz w:val="24"/>
          <w:szCs w:val="21"/>
        </w:rPr>
        <w:t>T+D</w:t>
      </w:r>
      <w:r>
        <w:rPr>
          <w:rFonts w:ascii="SimHei" w:hAnsi="SimHei" w:eastAsia="黑体" w:cs="SimHei"/>
          <w:color w:val="000000"/>
          <w:spacing w:val="8"/>
          <w:sz w:val="24"/>
          <w:szCs w:val="21"/>
        </w:rPr>
        <w:t>流动性强，实物黄金流动性差。</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　点评：</w:t>
      </w:r>
      <w:r>
        <w:rPr>
          <w:rFonts w:ascii="SimHei" w:hAnsi="SimHei" w:eastAsia="黑体" w:cs="SimHei"/>
          <w:color w:val="000000"/>
          <w:spacing w:val="8"/>
          <w:sz w:val="24"/>
          <w:szCs w:val="21"/>
        </w:rPr>
        <w:t>由于通胀的存在，理财专家认为，有着保值增值功能的黄金投资热度将会超过股市，成为投资者的首选，而从长远来看，黄金价格也有持续走牛的可能。从目前的黄金投资渠道来看，纸黄金成为普通投资者投资黄金的最佳途径。而实物黄金具有最佳的安全性，为最传统的投资方式，如果投资者主要看中黄金的保值功能，而不介意其流通性和手续费，实物黄金应为首选。</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投资渠道之——银行理财</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投资范围：</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储蓄、国债、理财产品</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　门槛：</w:t>
      </w:r>
      <w:r>
        <w:rPr>
          <w:rFonts w:ascii="SimHei" w:hAnsi="SimHei" w:eastAsia="黑体" w:cs="SimHei"/>
          <w:color w:val="000000"/>
          <w:spacing w:val="8"/>
          <w:sz w:val="24"/>
          <w:szCs w:val="21"/>
        </w:rPr>
        <w:t>储蓄不需要门槛，国债投资起点在</w:t>
      </w:r>
      <w:r>
        <w:rPr>
          <w:rFonts w:ascii="SimHei" w:hAnsi="SimHei" w:eastAsia="黑体" w:cs="SimHei"/>
          <w:color w:val="000000"/>
          <w:spacing w:val="8"/>
          <w:sz w:val="24"/>
          <w:szCs w:val="21"/>
        </w:rPr>
        <w:t>1000</w:t>
      </w:r>
      <w:r>
        <w:rPr>
          <w:rFonts w:ascii="SimHei" w:hAnsi="SimHei" w:eastAsia="黑体" w:cs="SimHei"/>
          <w:color w:val="000000"/>
          <w:spacing w:val="8"/>
          <w:sz w:val="24"/>
          <w:szCs w:val="21"/>
        </w:rPr>
        <w:t>元以上，而理财产品的门槛最低为</w:t>
      </w:r>
      <w:r>
        <w:rPr>
          <w:rFonts w:ascii="SimHei" w:hAnsi="SimHei" w:eastAsia="黑体" w:cs="SimHei"/>
          <w:color w:val="000000"/>
          <w:spacing w:val="8"/>
          <w:sz w:val="24"/>
          <w:szCs w:val="21"/>
        </w:rPr>
        <w:t>5</w:t>
      </w:r>
      <w:r>
        <w:rPr>
          <w:rFonts w:ascii="SimHei" w:hAnsi="SimHei" w:eastAsia="黑体" w:cs="SimHei"/>
          <w:color w:val="000000"/>
          <w:spacing w:val="8"/>
          <w:sz w:val="24"/>
          <w:szCs w:val="21"/>
        </w:rPr>
        <w:t>万元人民币。</w:t>
      </w:r>
    </w:p>
    <w:p>
      <w:pPr>
        <w:pStyle w:val="Normal"/>
        <w:spacing w:lineRule="atLeast" w:line="360"/>
        <w:rPr>
          <w:rFonts w:ascii="SimHei" w:hAnsi="SimHei" w:eastAsia="黑体" w:cs="SimHei"/>
          <w:color w:val="000000"/>
          <w:spacing w:val="8"/>
          <w:sz w:val="22"/>
          <w:szCs w:val="21"/>
        </w:rPr>
      </w:pPr>
      <w:r>
        <w:rPr>
          <w:rFonts w:ascii="SimHei" w:hAnsi="SimHei" w:eastAsia="黑体" w:cs="SimHei"/>
          <w:b/>
          <w:bCs/>
          <w:color w:val="000000"/>
          <w:spacing w:val="8"/>
          <w:sz w:val="24"/>
          <w:szCs w:val="21"/>
        </w:rPr>
        <w:t>　　风险程度：</w:t>
      </w:r>
      <w:r>
        <w:rPr>
          <w:rFonts w:ascii="SimHei" w:hAnsi="SimHei" w:eastAsia="黑体" w:cs="SimHei"/>
          <w:color w:val="000000"/>
          <w:spacing w:val="8"/>
          <w:sz w:val="24"/>
          <w:szCs w:val="21"/>
        </w:rPr>
        <w:t>储蓄和国债安全度较高，目前市场上的银行理财产品多数为保本不保息，也有少数产品不保证本金，但与股票、基金等投资方式比较，安全度仍然较高。</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预期收益率</w:t>
      </w:r>
      <w:r>
        <w:rPr>
          <w:rFonts w:ascii="SimHei" w:hAnsi="SimHei" w:eastAsia="黑体" w:cs="SimHei"/>
          <w:b/>
          <w:bCs/>
          <w:color w:val="000000"/>
          <w:spacing w:val="8"/>
          <w:sz w:val="22"/>
          <w:szCs w:val="21"/>
        </w:rPr>
        <w:t>：</w:t>
      </w:r>
      <w:r>
        <w:rPr>
          <w:rFonts w:ascii="SimHei" w:hAnsi="SimHei" w:eastAsia="黑体" w:cs="SimHei"/>
          <w:color w:val="000000"/>
          <w:spacing w:val="8"/>
          <w:sz w:val="24"/>
          <w:szCs w:val="21"/>
        </w:rPr>
        <w:t>储蓄为相应定期存款利率。国债为购买时约定的利率，一般略高于同期储蓄利率。理财产品预期收益视具体投资情况而定。</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流动性</w:t>
      </w:r>
      <w:r>
        <w:rPr>
          <w:rFonts w:ascii="SimHei" w:hAnsi="SimHei" w:eastAsia="黑体" w:cs="SimHei"/>
          <w:b/>
          <w:bCs/>
          <w:color w:val="000000"/>
          <w:spacing w:val="8"/>
          <w:sz w:val="22"/>
          <w:szCs w:val="21"/>
        </w:rPr>
        <w:t>：</w:t>
      </w:r>
      <w:r>
        <w:rPr>
          <w:rFonts w:ascii="SimHei" w:hAnsi="SimHei" w:eastAsia="黑体" w:cs="SimHei"/>
          <w:color w:val="000000"/>
          <w:spacing w:val="8"/>
          <w:sz w:val="24"/>
          <w:szCs w:val="21"/>
        </w:rPr>
        <w:t>活期储蓄流动性最高，定期储蓄可以去柜台提前支取。国债一般一年以内不可以提前支取。理财产品有赎回权的相对流动性高一些，其他则流动性较差。</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　点评</w:t>
      </w:r>
      <w:r>
        <w:rPr>
          <w:rFonts w:ascii="SimHei" w:hAnsi="SimHei" w:eastAsia="黑体" w:cs="SimHei"/>
          <w:b/>
          <w:bCs/>
          <w:color w:val="000000"/>
          <w:spacing w:val="8"/>
          <w:sz w:val="22"/>
          <w:szCs w:val="21"/>
        </w:rPr>
        <w:t>：</w:t>
      </w:r>
      <w:r>
        <w:rPr>
          <w:rFonts w:ascii="SimHei" w:hAnsi="SimHei" w:eastAsia="黑体" w:cs="SimHei"/>
          <w:color w:val="000000"/>
          <w:spacing w:val="8"/>
          <w:sz w:val="24"/>
          <w:szCs w:val="21"/>
        </w:rPr>
        <w:t>股市的震荡让越来越多的投资者将目光投向安全度较高的保本类理财方式。购买银行理财产品，投资者可以更多地分享银行间债市、货币市场以及打新股等投资领域的额外收益。但专家也提醒投资者，虽然银行类的理财产品不会让投资者有本金的损失，但由于</w:t>
      </w:r>
      <w:r>
        <w:rPr>
          <w:rFonts w:ascii="SimHei" w:hAnsi="SimHei" w:eastAsia="黑体" w:cs="SimHei"/>
          <w:color w:val="000000"/>
          <w:spacing w:val="8"/>
          <w:sz w:val="24"/>
          <w:szCs w:val="21"/>
        </w:rPr>
        <w:t>CPI</w:t>
      </w:r>
      <w:r>
        <w:rPr>
          <w:rFonts w:ascii="SimHei" w:hAnsi="SimHei" w:eastAsia="黑体" w:cs="SimHei"/>
          <w:color w:val="000000"/>
          <w:spacing w:val="8"/>
          <w:sz w:val="24"/>
          <w:szCs w:val="21"/>
        </w:rPr>
        <w:t>高企和负利率的长期存在，这类理财方式并不能让投资者的资产保值增值。</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投资渠道之——保险</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投资范围：</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寿险、投连险</w:t>
      </w:r>
    </w:p>
    <w:p>
      <w:pPr>
        <w:pStyle w:val="Normal"/>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门槛：</w:t>
      </w:r>
      <w:r>
        <w:rPr>
          <w:rFonts w:ascii="SimHei" w:hAnsi="SimHei" w:eastAsia="黑体" w:cs="SimHei"/>
          <w:color w:val="000000"/>
          <w:spacing w:val="8"/>
          <w:sz w:val="24"/>
          <w:szCs w:val="21"/>
        </w:rPr>
        <w:t>意外险从几十元到上百元。重大疾病险分为储蓄型和消费型两种，后者费用较少，１０万元的保额，保费几百元。投连险一般按月缴保费，每份一般千元以上。</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风险程度：保险产品是投资渠道里面风险程度相对较低的产品，一般均可保本。</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　预期收益率：</w:t>
      </w:r>
      <w:r>
        <w:rPr>
          <w:rFonts w:ascii="SimHei" w:hAnsi="SimHei" w:eastAsia="黑体" w:cs="SimHei"/>
          <w:color w:val="000000"/>
          <w:spacing w:val="8"/>
          <w:sz w:val="24"/>
          <w:szCs w:val="21"/>
        </w:rPr>
        <w:t>保险产品预期收益率一般较低，分红保险目前承诺收益最高仅为</w:t>
      </w:r>
      <w:r>
        <w:rPr>
          <w:rFonts w:ascii="SimHei" w:hAnsi="SimHei" w:eastAsia="黑体" w:cs="SimHei"/>
          <w:color w:val="000000"/>
          <w:spacing w:val="8"/>
          <w:sz w:val="24"/>
          <w:szCs w:val="21"/>
        </w:rPr>
        <w:t>2.5%</w:t>
      </w:r>
      <w:r>
        <w:rPr>
          <w:rFonts w:ascii="SimHei" w:hAnsi="SimHei" w:eastAsia="黑体" w:cs="SimHei"/>
          <w:color w:val="000000"/>
          <w:spacing w:val="8"/>
          <w:sz w:val="24"/>
          <w:szCs w:val="21"/>
        </w:rPr>
        <w:t>。部分消费型保险产品，包括意外险产品则只投保费不返还，但出现保险条款中约定的特定情况则可以获得相应额度的保险金。</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流动性：</w:t>
      </w:r>
      <w:r>
        <w:rPr>
          <w:rFonts w:ascii="SimHei" w:hAnsi="SimHei" w:eastAsia="黑体" w:cs="SimHei"/>
          <w:color w:val="000000"/>
          <w:spacing w:val="8"/>
          <w:sz w:val="24"/>
          <w:szCs w:val="21"/>
        </w:rPr>
        <w:t>保险产品的流动性为适中。一般保险产品期限较长，但投资者可以有权中途退保，但需要缴纳违约金。</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点评：</w:t>
      </w:r>
      <w:r>
        <w:rPr>
          <w:rFonts w:ascii="SimHei" w:hAnsi="SimHei" w:eastAsia="黑体" w:cs="SimHei"/>
          <w:color w:val="000000"/>
          <w:spacing w:val="8"/>
          <w:sz w:val="24"/>
          <w:szCs w:val="21"/>
        </w:rPr>
        <w:t xml:space="preserve">对于普通的白领家庭来说，存款和投资固然重要，但通过购买保险来防范意外事件带来的打击更为重要。理财专家认为，适量地投资保险产品，可以让家庭财务危机出现财务转机，但由于保险产品的期限一般较长，因此要视自己的经济实力适量购买。从现有的保险产品来看，主要包括意外险、健康险、投连险等等。对于普通家庭来说，意外险和健康险会在您的身体出现重大损伤的时刻凸显作用。而投连险一般则是一个长期的理财规划，帮助您的家庭在每一个阶段都能保持财务平稳。 </w:t>
      </w:r>
    </w:p>
    <w:p>
      <w:pPr>
        <w:pStyle w:val="Heading2"/>
        <w:spacing w:lineRule="atLeast" w:line="360"/>
        <w:rPr>
          <w:rFonts w:ascii="SimHei" w:hAnsi="SimHei" w:eastAsia="黑体" w:cs="SimHei"/>
          <w:color w:val="000000"/>
          <w:spacing w:val="8"/>
          <w:sz w:val="40"/>
        </w:rPr>
      </w:pPr>
      <w:bookmarkStart w:id="7" w:name="11"/>
      <w:bookmarkEnd w:id="7"/>
      <w:r>
        <w:rPr>
          <w:rFonts w:ascii="SimHei" w:hAnsi="SimHei" w:eastAsia="黑体" w:cs="SimHei"/>
          <w:color w:val="000000"/>
          <w:spacing w:val="8"/>
          <w:sz w:val="40"/>
        </w:rPr>
        <w:t>年终奖发放</w:t>
      </w:r>
    </w:p>
    <w:p>
      <w:pPr>
        <w:pStyle w:val="Normal"/>
        <w:spacing w:lineRule="atLeast" w:line="360"/>
        <w:rPr>
          <w:rFonts w:ascii="SimHei" w:hAnsi="SimHei" w:eastAsia="黑体" w:cs="SimHei"/>
          <w:color w:val="000000"/>
          <w:spacing w:val="8"/>
          <w:sz w:val="22"/>
          <w:szCs w:val="21"/>
        </w:rPr>
      </w:pPr>
      <w:r>
        <w:rPr>
          <w:rFonts w:ascii="SimHei" w:hAnsi="SimHei" w:eastAsia="黑体" w:cs="SimHei"/>
          <w:color w:val="000000"/>
          <w:spacing w:val="8"/>
          <w:sz w:val="22"/>
          <w:szCs w:val="21"/>
        </w:rPr>
        <w:t>　</w:t>
      </w:r>
      <w:r>
        <w:rPr>
          <w:rFonts w:ascii="SimHei" w:hAnsi="SimHei" w:eastAsia="黑体" w:cs="SimHei"/>
          <w:b/>
          <w:bCs/>
          <w:color w:val="000000"/>
          <w:spacing w:val="8"/>
          <w:sz w:val="24"/>
          <w:szCs w:val="21"/>
        </w:rPr>
        <w:t>　关键点一</w:t>
      </w:r>
      <w:r>
        <w:rPr>
          <w:rFonts w:ascii="SimHei" w:hAnsi="SimHei" w:eastAsia="黑体" w:cs="SimHei"/>
          <w:b/>
          <w:bCs/>
          <w:color w:val="000000"/>
          <w:spacing w:val="8"/>
          <w:sz w:val="24"/>
          <w:szCs w:val="21"/>
        </w:rPr>
        <w:t xml:space="preserve"> </w:t>
      </w:r>
      <w:r>
        <w:rPr>
          <w:rFonts w:ascii="SimHei" w:hAnsi="SimHei" w:eastAsia="黑体" w:cs="SimHei"/>
          <w:b/>
          <w:bCs/>
          <w:color w:val="000000"/>
          <w:spacing w:val="8"/>
          <w:sz w:val="24"/>
          <w:szCs w:val="21"/>
        </w:rPr>
        <w:t>注重公平性</w:t>
      </w:r>
    </w:p>
    <w:p>
      <w:pPr>
        <w:pStyle w:val="Normal"/>
        <w:rPr>
          <w:rFonts w:ascii="SimHei" w:hAnsi="SimHei" w:eastAsia="黑体" w:cs="SimHei"/>
          <w:color w:val="000000"/>
          <w:spacing w:val="8"/>
          <w:sz w:val="24"/>
          <w:szCs w:val="21"/>
        </w:rPr>
      </w:pPr>
      <w:r>
        <w:rPr>
          <w:rFonts w:ascii="SimHei" w:hAnsi="SimHei" w:eastAsia="黑体" w:cs="SimHei"/>
          <w:color w:val="000000"/>
          <w:spacing w:val="8"/>
          <w:sz w:val="24"/>
          <w:szCs w:val="21"/>
        </w:rPr>
        <w:t>　　公平包括外部公平和内部公平两种。做到外部公平可以使企业员工所获薪酬待遇与其他公司相比更富竞争力。企业确定年终奖，如有可能在绝对数量上可以高于行业平均水平，这对提升员工对企业的满意度和忠诚度都具有很大帮助。内部公平指员工对自己付出与收入的比值与其他员工的付出与收入的比值的衡量，如果两者是相等的，则员工会认为公平，否则不公平。要把握好公平性这一原则，企业可以采用以下手段来实现：</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●做好外部市场调查</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知己知彼，方能百战不殆，企业要发好年终奖就要注重进行外部薪酬水平和内部员工满意度的调查，通过内部调查了解员工对年终奖水平、结构和决定性因素的看法和意见，再结合外部市场尤其是同行业企业的奖励政策、水平对本企业要发放的年终奖进行针对性的设计和调整。收集外部数据时，企业可以通过多种途径尤其是非正式交流的方式来获得外部信息，因为非正式交流往往可以收集到正规渠道收集不到的有效数据。</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●科学评价员工绩效</w:t>
      </w:r>
    </w:p>
    <w:p>
      <w:pPr>
        <w:pStyle w:val="Normal"/>
        <w:spacing w:lineRule="atLeast" w:line="360"/>
        <w:rPr/>
      </w:pPr>
      <w:r>
        <w:rPr>
          <w:rFonts w:ascii="SimHei" w:hAnsi="SimHei" w:eastAsia="黑体" w:cs="SimHei"/>
          <w:color w:val="000000"/>
          <w:spacing w:val="8"/>
          <w:sz w:val="22"/>
          <w:szCs w:val="21"/>
        </w:rPr>
        <w:t>　</w:t>
      </w:r>
      <w:r>
        <w:rPr>
          <w:rFonts w:ascii="SimHei" w:hAnsi="SimHei" w:eastAsia="黑体" w:cs="SimHei"/>
          <w:color w:val="000000"/>
          <w:spacing w:val="8"/>
          <w:sz w:val="24"/>
          <w:szCs w:val="21"/>
        </w:rPr>
        <w:t>　当今企业，大都已经建立起了适合自身特色的绩效评估体系，然而在实践过程中真正能够全力执行的却不是很多，这就给年终员工业绩好坏的评价带来了困难，发放年终奖自然也就无根无据只能跟着感觉走了。因此，要使年终奖发的科学就必须尽可能客观公正地评价员工的工作业绩，避免“工作绩效评价就是对员工人际关系的评价”的误区。这要求，企业在年终考核时必须来真格的。建议企业的高层领导参与其中并真正起到监督作用。做到评价员工的行为而不是员工个人，才能使年终奖的数额和结构与绩效紧密联系起来，避免平均主义或多劳少得的不良现象。</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●公平设计年终奖</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修斯特曾指出：在对组织的决策满意度方面，参与决策的员工比未参与的员工高。其实，任何与员工利益有关的政策或制度的设计往往都需要员工的参与。我们在制订年终奖的过程中也应该如此，要与员工进行充分的沟通，收集员工的反馈，听取员工的意见，给予员工参与薪酬系统设计的机会。公开企业的报酬结构和计算方法，使员工了解薪酬决策的程序以判断其合理性。这样做的结果不但让员工感觉自己受到尊重，更重要的是可以减少在执行过程中的风险。</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关键点二</w:t>
      </w:r>
      <w:r>
        <w:rPr>
          <w:rFonts w:ascii="SimHei" w:hAnsi="SimHei" w:eastAsia="黑体" w:cs="SimHei"/>
          <w:b/>
          <w:bCs/>
          <w:color w:val="000000"/>
          <w:spacing w:val="8"/>
          <w:sz w:val="24"/>
          <w:szCs w:val="21"/>
        </w:rPr>
        <w:t xml:space="preserve"> </w:t>
      </w:r>
      <w:r>
        <w:rPr>
          <w:rFonts w:ascii="SimHei" w:hAnsi="SimHei" w:eastAsia="黑体" w:cs="SimHei"/>
          <w:b/>
          <w:bCs/>
          <w:color w:val="000000"/>
          <w:spacing w:val="8"/>
          <w:sz w:val="24"/>
          <w:szCs w:val="21"/>
        </w:rPr>
        <w:t>杜绝一刀切</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矛盾的特殊性告诉我们，人与人之间的差异是客观的。管理的差异化也日益被人力资源管理学者所接受和推崇。比如以差异化为基础的弹性福利制度和自助餐式的福利制度自</w:t>
      </w:r>
      <w:r>
        <w:rPr>
          <w:rFonts w:ascii="SimHei" w:hAnsi="SimHei" w:eastAsia="黑体" w:cs="SimHei"/>
          <w:color w:val="000000"/>
          <w:spacing w:val="8"/>
          <w:sz w:val="24"/>
          <w:szCs w:val="21"/>
        </w:rPr>
        <w:t>1970</w:t>
      </w:r>
      <w:r>
        <w:rPr>
          <w:rFonts w:ascii="SimHei" w:hAnsi="SimHei" w:eastAsia="黑体" w:cs="SimHei"/>
          <w:color w:val="000000"/>
          <w:spacing w:val="8"/>
          <w:sz w:val="24"/>
          <w:szCs w:val="21"/>
        </w:rPr>
        <w:t>年代从美国产生以来，就一直兴盛不衰。薪酬的“大锅饭”和平均主义早已为人们所厌恶，国人的“不患寡而患不均”思想也在市场经济意识的影响下变得越发淡薄。年终奖的发放自然也应该实现对员工的差异化对待，杜绝一刀切。为此，企业可以这样去做：</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●分清懒与勤</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在设计年终奖数额的时候，不管员工所在的部门当年的效益如何，企业必须要注意让努力的和偷懒的员工拉开差距。对于效益不好的部门，如果其中的员工尽心尽力工作了，就应该得到认可，给其一定的奖励。对于效益好的部门，虽说是为企业立了功，但对其中偷懒的员工，也不能手下留情。否则，一旦存在“搭便车”的员工，造成一荣俱荣、一损俱损的局面，就会破坏部门内员工的工作士气。这样的话，来年谁还会努力工作呢？</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●注重贡献原则</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发放年终奖的目的，说白了就是为了奖励员工，它体现地是对工作了一年的员工的感谢和尊重，而不是单纯的因为到了年终而发放的一笔奖励。所以在发放年终奖的时候，企业应该在观念上去更加关注和发现员工的贡献，根据员工的贡献的大小来确定奖金的多少。而不是一门心思想着如何扣掉员工的年终奖，如何减少员工的年终奖。虽然奖励多是以物质的形式来实现，但这种做法的背后体现的却是对员工的认可和激励。对于中小企业，建议在年终的时候，由企业有关负责人牵头各部门负责人组成临时小组，结合绩效考核的结果，对各部门员工的贡献进行二次评判，这样往往可以保证对员工的贡献有更科学的判断，从而使年终奖真正向有功之臣倾斜。对大型企业来说，对员工贡献大小确定地准确与否往往取决于企业考核制度的执行情况，所以要达到同样的目的，需要对考核制度和政策的贯彻执行进行有效的监督。</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关键点三</w:t>
      </w:r>
      <w:r>
        <w:rPr>
          <w:rFonts w:ascii="SimHei" w:hAnsi="SimHei" w:eastAsia="黑体" w:cs="SimHei"/>
          <w:b/>
          <w:bCs/>
          <w:color w:val="000000"/>
          <w:spacing w:val="8"/>
          <w:sz w:val="24"/>
          <w:szCs w:val="21"/>
        </w:rPr>
        <w:t xml:space="preserve"> </w:t>
      </w:r>
      <w:r>
        <w:rPr>
          <w:rFonts w:ascii="SimHei" w:hAnsi="SimHei" w:eastAsia="黑体" w:cs="SimHei"/>
          <w:b/>
          <w:bCs/>
          <w:color w:val="000000"/>
          <w:spacing w:val="8"/>
          <w:sz w:val="24"/>
          <w:szCs w:val="21"/>
        </w:rPr>
        <w:t>发放灵活化</w:t>
      </w:r>
    </w:p>
    <w:p>
      <w:pPr>
        <w:pStyle w:val="Normal"/>
        <w:spacing w:lineRule="atLeast" w:line="360"/>
        <w:rPr/>
      </w:pPr>
      <w:r>
        <w:rPr>
          <w:rFonts w:ascii="SimHei" w:hAnsi="SimHei" w:eastAsia="黑体" w:cs="SimHei"/>
          <w:color w:val="000000"/>
          <w:spacing w:val="8"/>
          <w:sz w:val="24"/>
          <w:szCs w:val="21"/>
        </w:rPr>
        <w:t>　　经济学中有个边际效用递减规律，其实，对员工来说如果年终奖年年没有新意，也会出现这个规律。让其觉得奖励变得越来越乏味，从而渐渐失去应有的激励作用，这当然不是企业所需要的。现实中，很多持续经营的企业，由于年终奖的发放成为定制而使职工被连续强化，致使很多员工产生了“饱厌”现象，从而使年终奖的激励功能大打折扣。这也提醒广大企业在年终奖的设计上要来些创新，建议企业不妨这样去做：</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w:t>
      </w:r>
      <w:r>
        <w:rPr>
          <w:rFonts w:ascii="SimHei" w:hAnsi="SimHei" w:eastAsia="黑体" w:cs="SimHei"/>
          <w:b/>
          <w:bCs/>
          <w:color w:val="000000"/>
          <w:spacing w:val="8"/>
          <w:sz w:val="24"/>
          <w:szCs w:val="21"/>
        </w:rPr>
        <w:t xml:space="preserve"> </w:t>
      </w:r>
      <w:r>
        <w:rPr>
          <w:rFonts w:ascii="SimHei" w:hAnsi="SimHei" w:eastAsia="黑体" w:cs="SimHei"/>
          <w:b/>
          <w:bCs/>
          <w:color w:val="000000"/>
          <w:spacing w:val="8"/>
          <w:sz w:val="24"/>
          <w:szCs w:val="21"/>
        </w:rPr>
        <w:t>间歇发放年终奖</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采用间歇发放的形式，要求企业打破年终奖传统的发放形式，而是将年终奖分散化。比如，可以把奖金在年终前的两三个月度里以奖金的名义下发一部门，同时减少年终奖的发放数量，并且淡化年终奖的概念。以此来打破年终奖的固化，使年终奖适当变形成为刺激员工积极工作的间隙强化物。从而更大程度地激励员工另外，如果碰到来年需要重大投资的情况，企业可以适当流露出由于资金压力，可能取消年终奖的消息，从而降低员工对于年终奖的期望值。而真正年终来临的时候，又可以正式地宣布通过企业员工的全力工作，决定如期发放年终奖。这样，到了下一个真正吃紧的财年，企业可以更多的规避由于不发放年终奖而带来的风险，因为这种信息的传达可以在一定程度上缓解那时员工的失落和愤怒情绪。</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●把年终奖化整为零</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企业可以把年终奖化整为零，在接近年终时，以不同的名目发放，当然必须能够以充分的理由。比如对乐于将自己的知识与团队共享、长年出差，并且主动合作的员工，可以发放特殊奉献奖、合作伙伴奖、创新奖等多种名目的奖励。这种灵活的发放方式对员工的激励效果远比一次性的发给奖金并且说不出更多的理由好得多。</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此外，企业可以尝试更有创意的年终奖发放形式，把旅游作为年终奖励就很值得考虑。在旅途中员工们一起交流、娱乐、饮食，有难互相帮，有欢乐共分享。不但会达到感情大增，以前工作中的摩擦、矛盾也都在欢声笑语中化解的良好效果，而且回来后，工作中的协作性和互助性往往也会明显增强。既增进了员工间的干感情和了解，又增加了员工的见识。一举双得，何乐而不为呢？</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●给予精神奖</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把精神奖作为年终奖的一种形式在国外非常流行，我们完全可以借鉴过来。企业可以在年终或春节前夕，把表现突出的员工家属请到企业，出席企业专门召开的表彰大会。也可以在其它的公开场合，感谢员工家属对优秀员工的工作的支持。同时，可以对员工的家属小小地表示一下，给予一定的奖金。这不但会让员工本人感觉风光无限，对企业有种家的感觉，而且还能换取员工亲属在以后的工作中对员工有更多的鼓励和支持。这对于重视亲情的中国员工来说不失为一个好策略。</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关键点四</w:t>
      </w:r>
      <w:r>
        <w:rPr>
          <w:rFonts w:ascii="SimHei" w:hAnsi="SimHei" w:eastAsia="黑体" w:cs="SimHei"/>
          <w:b/>
          <w:bCs/>
          <w:color w:val="000000"/>
          <w:spacing w:val="8"/>
          <w:sz w:val="24"/>
          <w:szCs w:val="21"/>
        </w:rPr>
        <w:t xml:space="preserve"> </w:t>
      </w:r>
      <w:r>
        <w:rPr>
          <w:rFonts w:ascii="SimHei" w:hAnsi="SimHei" w:eastAsia="黑体" w:cs="SimHei"/>
          <w:b/>
          <w:bCs/>
          <w:color w:val="000000"/>
          <w:spacing w:val="8"/>
          <w:sz w:val="24"/>
          <w:szCs w:val="21"/>
        </w:rPr>
        <w:t>分清明与暗</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对员工来说，年终奖的重要性不言而喻，它足以影响到员工来年的工作积极性。现实中，不少员工常常将自己所得的年终奖与领导对自己的评价和自己在领导心目中的地位联系起来。为了避免员工因此而影响到工作，很多企业把年终奖和工资一样被要求严格保密，常常采取“模糊发放”方式，不公开金额。因为年终奖涉及的奖励额度往往比较大，而且发放时间又处在新旧年度交替的接口，对员工的心理影响较大。然而，这种做法似乎常常收到相反的效果：对其他员工所得数额妄加猜测，对年终奖发放的公平性表示怀疑、不满等情绪常常弥漫在企业之中。所以企业处理好这个问题就显得很重要了，弄不好落个人走楼空麻烦就大了。建议企业可以这样做：</w:t>
      </w:r>
    </w:p>
    <w:p>
      <w:pPr>
        <w:pStyle w:val="Normal"/>
        <w:spacing w:lineRule="atLeast" w:line="360"/>
        <w:rPr/>
      </w:pPr>
      <w:r>
        <w:rPr>
          <w:rFonts w:ascii="SimHei" w:hAnsi="SimHei" w:eastAsia="黑体" w:cs="SimHei"/>
          <w:b/>
          <w:bCs/>
          <w:color w:val="000000"/>
          <w:spacing w:val="8"/>
          <w:sz w:val="24"/>
          <w:szCs w:val="21"/>
        </w:rPr>
        <w:t>　　●实行</w:t>
      </w:r>
      <w:hyperlink r:id="rId5" w:tgtFrame="_blank">
        <w:r>
          <w:rPr>
            <w:rStyle w:val="InternetLink"/>
            <w:b/>
            <w:sz w:val="24"/>
          </w:rPr>
          <w:t>年底双薪</w:t>
        </w:r>
      </w:hyperlink>
      <w:r>
        <w:rPr>
          <w:rFonts w:ascii="SimHei" w:hAnsi="SimHei" w:eastAsia="黑体" w:cs="SimHei"/>
          <w:b/>
          <w:bCs/>
          <w:color w:val="000000"/>
          <w:spacing w:val="8"/>
          <w:sz w:val="24"/>
          <w:szCs w:val="21"/>
        </w:rPr>
        <w:t>制度</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发年底双薪，简单又透明，企业就没有必要为需不需要保密头疼了。但是年底双薪也并不是无章操作。企业需要做好发放范围的界定工作，这样才能起到激励员工和节省企业成本的双重目的。为此，企业可以根据员工个人考核情况和员工所在部门的考核情况来确定哪些员工可以享受年底双薪，考核不合格的部门的全体员工和考核合格部门中的不合格员工不能享受年底双薪奖。</w:t>
      </w:r>
    </w:p>
    <w:p>
      <w:pPr>
        <w:pStyle w:val="Normal"/>
        <w:spacing w:lineRule="atLeast" w:line="360"/>
        <w:rPr/>
      </w:pPr>
      <w:r>
        <w:rPr>
          <w:rFonts w:ascii="SimHei" w:hAnsi="SimHei" w:eastAsia="黑体" w:cs="SimHei"/>
          <w:color w:val="000000"/>
          <w:spacing w:val="8"/>
          <w:sz w:val="24"/>
          <w:szCs w:val="21"/>
        </w:rPr>
        <w:t>　　另外，企业还要注意享受年底双薪的员工还要符合其他的条件。例如，某电子公司规定：员工当年度必须在公司服务期满三个月；发放双薪当日必须仍在公司工作；最重要的一条，员工在发双薪日前提出辞职或者过失、非过失解除劳动合同的，将不</w:t>
      </w:r>
      <w:r>
        <w:rPr>
          <w:rFonts w:ascii="SimHei" w:hAnsi="SimHei" w:eastAsia="黑体" w:cs="SimHei"/>
          <w:color w:val="000000"/>
          <w:spacing w:val="8"/>
          <w:sz w:val="22"/>
          <w:szCs w:val="21"/>
        </w:rPr>
        <w:t>得享受年度双薪。此举值得借鉴。</w:t>
      </w:r>
    </w:p>
    <w:p>
      <w:pPr>
        <w:pStyle w:val="Normal"/>
        <w:spacing w:lineRule="atLeast" w:line="360"/>
        <w:rPr>
          <w:rFonts w:ascii="SimHei" w:hAnsi="SimHei" w:eastAsia="黑体" w:cs="SimHei"/>
          <w:b/>
          <w:b/>
          <w:bCs/>
          <w:color w:val="000000"/>
          <w:spacing w:val="8"/>
          <w:sz w:val="24"/>
          <w:szCs w:val="21"/>
        </w:rPr>
      </w:pPr>
      <w:r>
        <w:rPr>
          <w:rFonts w:ascii="SimHei" w:hAnsi="SimHei" w:eastAsia="黑体" w:cs="SimHei"/>
          <w:b/>
          <w:bCs/>
          <w:color w:val="000000"/>
          <w:spacing w:val="8"/>
          <w:sz w:val="24"/>
          <w:szCs w:val="21"/>
        </w:rPr>
        <w:t>　　●把功夫下在平时</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对于管理比较成熟的企业，年终时进行考核，其真正的目的其实并不在于发放年终奖，而在于对员工进行全面评价、指导员工培训、工作安排以及绩效改善。从这个意义上说，年终奖并非代表员工成绩的全部。无论是采用保密的“红包”，还是公开制，要想提高员工满意度，确保相安无事，加强管理、完善绩效考评才是必由之路。所以企业必须重视日常的管理，不能把问题积压在年底，避免将年终考核及年终奖发放变成一场运动。</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实际上，一个企业的年终奖发放方式在很大程度上取决于企业的人力资源管理水平的高低特别是企业中是否存在科学的、完善的工作绩效考核制度。在人力资源管理系统较为健全、管理比较规范的大企业中，建议采取公开年终奖的计算以及发放方案。而对于规模较小、管理欠规范的的企业，以红包的形式进行暗中分发、单个鼓励或许是更好的选择。</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但是，需要提醒的是，过了初一跑不了十五，企业要想为长远打算，发好以后每年的年终奖，最好还是从今天开始，强化企业的人力资源管理水平，尤其是建立科学、完善员工绩效考核制度。真正把功夫下在平时，做到有备无患、未雨绸缪。 </w:t>
      </w:r>
    </w:p>
    <w:p>
      <w:pPr>
        <w:pStyle w:val="Heading2"/>
        <w:spacing w:lineRule="atLeast" w:line="360"/>
        <w:rPr>
          <w:rFonts w:ascii="SimHei" w:hAnsi="SimHei" w:eastAsia="黑体" w:cs="SimHei"/>
          <w:color w:val="000000"/>
          <w:spacing w:val="8"/>
          <w:sz w:val="40"/>
        </w:rPr>
      </w:pPr>
      <w:bookmarkStart w:id="8" w:name="12"/>
      <w:bookmarkEnd w:id="8"/>
      <w:r>
        <w:rPr>
          <w:rFonts w:ascii="SimHei" w:hAnsi="SimHei" w:eastAsia="黑体" w:cs="SimHei"/>
          <w:color w:val="000000"/>
          <w:spacing w:val="8"/>
          <w:sz w:val="40"/>
        </w:rPr>
        <w:t>年终奖案例</w:t>
      </w:r>
    </w:p>
    <w:p>
      <w:pPr>
        <w:pStyle w:val="Normal"/>
        <w:spacing w:lineRule="atLeast" w:line="360"/>
        <w:rPr>
          <w:rFonts w:ascii="SimHei" w:hAnsi="SimHei" w:eastAsia="黑体" w:cs="SimHei"/>
          <w:b/>
          <w:b/>
          <w:color w:val="000000"/>
          <w:spacing w:val="8"/>
          <w:sz w:val="24"/>
          <w:szCs w:val="21"/>
        </w:rPr>
      </w:pPr>
      <w:r>
        <w:rPr>
          <w:rFonts w:ascii="SimHei" w:hAnsi="SimHei" w:eastAsia="黑体" w:cs="SimHei"/>
          <w:b/>
          <w:color w:val="000000"/>
          <w:spacing w:val="8"/>
          <w:sz w:val="24"/>
          <w:szCs w:val="21"/>
        </w:rPr>
        <w:t>　　</w:t>
      </w:r>
      <w:hyperlink r:id="rId6" w:tgtFrame="_blank">
        <w:r>
          <w:rPr>
            <w:rStyle w:val="InternetLink"/>
            <w:rFonts w:ascii="SimHei" w:hAnsi="SimHei" w:eastAsia="黑体" w:cs="SimHei"/>
            <w:b/>
            <w:color w:val="000000"/>
            <w:spacing w:val="8"/>
            <w:sz w:val="24"/>
            <w:szCs w:val="21"/>
          </w:rPr>
          <w:t>IBM</w:t>
        </w:r>
        <w:r>
          <w:rPr>
            <w:rStyle w:val="InternetLink"/>
            <w:rFonts w:ascii="SimHei" w:hAnsi="SimHei" w:eastAsia="黑体" w:cs="SimHei"/>
            <w:b/>
            <w:color w:val="000000"/>
            <w:spacing w:val="8"/>
            <w:sz w:val="24"/>
            <w:szCs w:val="21"/>
          </w:rPr>
          <w:t>东京事件</w:t>
        </w:r>
      </w:hyperlink>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简介</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IBM</w:t>
      </w:r>
      <w:r>
        <w:rPr>
          <w:rFonts w:ascii="SimHei" w:hAnsi="SimHei" w:eastAsia="黑体" w:cs="SimHei"/>
          <w:color w:val="000000"/>
          <w:spacing w:val="8"/>
          <w:sz w:val="24"/>
          <w:szCs w:val="21"/>
        </w:rPr>
        <w:t>东京公司发年终奖时因为有些人有</w:t>
      </w:r>
      <w:r>
        <w:rPr>
          <w:rFonts w:ascii="SimHei" w:hAnsi="SimHei" w:eastAsia="黑体" w:cs="SimHei"/>
          <w:color w:val="000000"/>
          <w:spacing w:val="8"/>
          <w:sz w:val="24"/>
          <w:szCs w:val="21"/>
        </w:rPr>
        <w:t>,</w:t>
      </w:r>
      <w:r>
        <w:rPr>
          <w:rFonts w:ascii="SimHei" w:hAnsi="SimHei" w:eastAsia="黑体" w:cs="SimHei"/>
          <w:color w:val="000000"/>
          <w:spacing w:val="8"/>
          <w:sz w:val="24"/>
          <w:szCs w:val="21"/>
        </w:rPr>
        <w:t>有些人没有</w:t>
      </w:r>
      <w:r>
        <w:rPr>
          <w:rFonts w:ascii="SimHei" w:hAnsi="SimHei" w:eastAsia="黑体" w:cs="SimHei"/>
          <w:color w:val="000000"/>
          <w:spacing w:val="8"/>
          <w:sz w:val="24"/>
          <w:szCs w:val="21"/>
        </w:rPr>
        <w:t>,</w:t>
      </w:r>
      <w:r>
        <w:rPr>
          <w:rFonts w:ascii="SimHei" w:hAnsi="SimHei" w:eastAsia="黑体" w:cs="SimHei"/>
          <w:color w:val="000000"/>
          <w:spacing w:val="8"/>
          <w:sz w:val="24"/>
          <w:szCs w:val="21"/>
        </w:rPr>
        <w:t>因此导致员工全体提出辞职</w:t>
      </w:r>
      <w:r>
        <w:rPr>
          <w:rFonts w:ascii="SimHei" w:hAnsi="SimHei" w:eastAsia="黑体" w:cs="SimHei"/>
          <w:color w:val="000000"/>
          <w:spacing w:val="8"/>
          <w:sz w:val="24"/>
          <w:szCs w:val="21"/>
        </w:rPr>
        <w:t>,</w:t>
      </w:r>
      <w:r>
        <w:rPr>
          <w:rFonts w:ascii="SimHei" w:hAnsi="SimHei" w:eastAsia="黑体" w:cs="SimHei"/>
          <w:color w:val="000000"/>
          <w:spacing w:val="8"/>
          <w:sz w:val="24"/>
          <w:szCs w:val="21"/>
        </w:rPr>
        <w:t>最后以年终奖平分了事。有奖金与没奖金的共同辞职</w:t>
      </w:r>
      <w:r>
        <w:rPr>
          <w:rFonts w:ascii="SimHei" w:hAnsi="SimHei" w:eastAsia="黑体" w:cs="SimHei"/>
          <w:color w:val="000000"/>
          <w:spacing w:val="8"/>
          <w:sz w:val="24"/>
          <w:szCs w:val="21"/>
        </w:rPr>
        <w:t>,</w:t>
      </w:r>
      <w:r>
        <w:rPr>
          <w:rFonts w:ascii="SimHei" w:hAnsi="SimHei" w:eastAsia="黑体" w:cs="SimHei"/>
          <w:color w:val="000000"/>
          <w:spacing w:val="8"/>
          <w:sz w:val="24"/>
          <w:szCs w:val="21"/>
        </w:rPr>
        <w:t>体现团队精神。</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经过</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IBM</w:t>
      </w:r>
      <w:r>
        <w:rPr>
          <w:rFonts w:ascii="SimHei" w:hAnsi="SimHei" w:eastAsia="黑体" w:cs="SimHei"/>
          <w:color w:val="000000"/>
          <w:spacing w:val="8"/>
          <w:sz w:val="24"/>
          <w:szCs w:val="21"/>
        </w:rPr>
        <w:t>日本总部曾发生过一个著名的“东京事件”，起因是</w:t>
      </w:r>
      <w:r>
        <w:rPr>
          <w:rFonts w:ascii="SimHei" w:hAnsi="SimHei" w:eastAsia="黑体" w:cs="SimHei"/>
          <w:color w:val="000000"/>
          <w:spacing w:val="8"/>
          <w:sz w:val="24"/>
          <w:szCs w:val="21"/>
        </w:rPr>
        <w:t>IBM</w:t>
      </w:r>
      <w:r>
        <w:rPr>
          <w:rFonts w:ascii="SimHei" w:hAnsi="SimHei" w:eastAsia="黑体" w:cs="SimHei"/>
          <w:color w:val="000000"/>
          <w:spacing w:val="8"/>
          <w:sz w:val="24"/>
          <w:szCs w:val="21"/>
        </w:rPr>
        <w:t>东京公司高层决定秘密重奖几位工作出色的骨干分子。这件事本来是机密，在美国</w:t>
      </w:r>
      <w:r>
        <w:rPr>
          <w:rFonts w:ascii="SimHei" w:hAnsi="SimHei" w:eastAsia="黑体" w:cs="SimHei"/>
          <w:color w:val="000000"/>
          <w:spacing w:val="8"/>
          <w:sz w:val="24"/>
          <w:szCs w:val="21"/>
        </w:rPr>
        <w:t>IBM</w:t>
      </w:r>
      <w:r>
        <w:rPr>
          <w:rFonts w:ascii="SimHei" w:hAnsi="SimHei" w:eastAsia="黑体" w:cs="SimHei"/>
          <w:color w:val="000000"/>
          <w:spacing w:val="8"/>
          <w:sz w:val="24"/>
          <w:szCs w:val="21"/>
        </w:rPr>
        <w:t>本部也是一种例行的激励手段，但让管理层意想不到的是，领奖的几个人刚走不久，一些没有得到奖励的人就跑来要求辞职。他们这么做倒不是出于闹情绪，原因很简单———别人被重奖，而自己没有得到奖励，证明自己工作成绩不突出，得不到领导认可，继续“混”下去没劲，还不如自己知趣点，主动申请走人，免得日后被老板裁掉那么尴尬。令管理层更想不到的是，等这些人刚走，那些受到奖励的人又跑来要求辞职！原因更简单———由于自己被老板重奖的原因，害得同事们丢了饭碗；而同事因此辞职又害得公司工作陷入了被动。所以是既对不起同事也对不起公司，只好坚决辞职，以谢同事和公司。</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分析</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w:t>
      </w:r>
      <w:r>
        <w:rPr>
          <w:rFonts w:ascii="SimHei" w:hAnsi="SimHei" w:eastAsia="黑体" w:cs="SimHei"/>
          <w:color w:val="000000"/>
          <w:spacing w:val="8"/>
          <w:sz w:val="24"/>
          <w:szCs w:val="21"/>
        </w:rPr>
        <w:t>IBM</w:t>
      </w:r>
      <w:r>
        <w:rPr>
          <w:rFonts w:ascii="SimHei" w:hAnsi="SimHei" w:eastAsia="黑体" w:cs="SimHei"/>
          <w:color w:val="000000"/>
          <w:spacing w:val="8"/>
          <w:sz w:val="24"/>
          <w:szCs w:val="21"/>
        </w:rPr>
        <w:t>东京事件”让我们至少感受到了两个层面的认同状态：</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一是员工之间彼此负责，休戚与共，体现出了一种高度的认同感，并且这些员工处处善意、主动理解组织，因为给组织添了一点麻烦而深感自责，以致引咎辞职。对于任何一个组织来说，这样高度认同、高度自觉、高度负责的员工唯恐求之不得。我们相信</w:t>
      </w:r>
      <w:r>
        <w:rPr>
          <w:rFonts w:ascii="SimHei" w:hAnsi="SimHei" w:eastAsia="黑体" w:cs="SimHei"/>
          <w:color w:val="000000"/>
          <w:spacing w:val="8"/>
          <w:sz w:val="24"/>
          <w:szCs w:val="21"/>
        </w:rPr>
        <w:t>IBM</w:t>
      </w:r>
      <w:r>
        <w:rPr>
          <w:rFonts w:ascii="SimHei" w:hAnsi="SimHei" w:eastAsia="黑体" w:cs="SimHei"/>
          <w:color w:val="000000"/>
          <w:spacing w:val="8"/>
          <w:sz w:val="24"/>
          <w:szCs w:val="21"/>
        </w:rPr>
        <w:t>东京公司管理层作出重奖少数“功臣”的决定时，肯定没有想到会挤走这些多数的“群众”。</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二是组织与员工之间存在着很大的认知问题，</w:t>
      </w:r>
      <w:r>
        <w:rPr>
          <w:rFonts w:ascii="SimHei" w:hAnsi="SimHei" w:eastAsia="黑体" w:cs="SimHei"/>
          <w:color w:val="000000"/>
          <w:spacing w:val="8"/>
          <w:sz w:val="24"/>
          <w:szCs w:val="21"/>
        </w:rPr>
        <w:t>IBM“</w:t>
      </w:r>
      <w:r>
        <w:rPr>
          <w:rFonts w:ascii="SimHei" w:hAnsi="SimHei" w:eastAsia="黑体" w:cs="SimHei"/>
          <w:color w:val="000000"/>
          <w:spacing w:val="8"/>
          <w:sz w:val="24"/>
          <w:szCs w:val="21"/>
        </w:rPr>
        <w:t xml:space="preserve">下嫁”东京时根本就没有完成文化上的嫁接，管理层也没有真正深入员工内心，没有理解日本企业员工相互认同的程度，结果生搬硬套在美国例行的激励机制，使一件好事变成了坏事，因不知缘而丧失已有的缘分。 </w:t>
      </w:r>
    </w:p>
    <w:p>
      <w:pPr>
        <w:pStyle w:val="Heading2"/>
        <w:spacing w:lineRule="atLeast" w:line="360"/>
        <w:rPr>
          <w:rFonts w:ascii="SimHei" w:hAnsi="SimHei" w:eastAsia="黑体" w:cs="SimHei"/>
          <w:color w:val="000000"/>
          <w:spacing w:val="8"/>
          <w:sz w:val="40"/>
        </w:rPr>
      </w:pPr>
      <w:bookmarkStart w:id="9" w:name="13"/>
      <w:bookmarkEnd w:id="9"/>
      <w:r>
        <w:rPr>
          <w:rFonts w:ascii="SimHei" w:hAnsi="SimHei" w:eastAsia="黑体" w:cs="SimHei"/>
          <w:color w:val="000000"/>
          <w:spacing w:val="8"/>
          <w:sz w:val="40"/>
        </w:rPr>
        <w:t>年终奖个人所得税计征办法</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为合理解决个人取得全年一次性奖金征税问题，国家税务总局日前出台了《国家税务总局关于调整个人取得全年一次性奖金等计算征收个人所得税方法问题的通知》，明确规定从</w:t>
      </w:r>
      <w:r>
        <w:rPr>
          <w:rFonts w:ascii="SimHei" w:hAnsi="SimHei" w:eastAsia="黑体" w:cs="SimHei"/>
          <w:color w:val="000000"/>
          <w:spacing w:val="8"/>
          <w:sz w:val="24"/>
          <w:szCs w:val="21"/>
        </w:rPr>
        <w:t>2005</w:t>
      </w:r>
      <w:r>
        <w:rPr>
          <w:rFonts w:ascii="SimHei" w:hAnsi="SimHei" w:eastAsia="黑体" w:cs="SimHei"/>
          <w:color w:val="000000"/>
          <w:spacing w:val="8"/>
          <w:sz w:val="24"/>
          <w:szCs w:val="21"/>
        </w:rPr>
        <w:t>年</w:t>
      </w:r>
      <w:r>
        <w:rPr>
          <w:rFonts w:ascii="SimHei" w:hAnsi="SimHei" w:eastAsia="黑体" w:cs="SimHei"/>
          <w:color w:val="000000"/>
          <w:spacing w:val="8"/>
          <w:sz w:val="24"/>
          <w:szCs w:val="21"/>
        </w:rPr>
        <w:t>1</w:t>
      </w:r>
      <w:r>
        <w:rPr>
          <w:rFonts w:ascii="SimHei" w:hAnsi="SimHei" w:eastAsia="黑体" w:cs="SimHei"/>
          <w:color w:val="000000"/>
          <w:spacing w:val="8"/>
          <w:sz w:val="24"/>
          <w:szCs w:val="21"/>
        </w:rPr>
        <w:t>月</w:t>
      </w:r>
      <w:r>
        <w:rPr>
          <w:rFonts w:ascii="SimHei" w:hAnsi="SimHei" w:eastAsia="黑体" w:cs="SimHei"/>
          <w:color w:val="000000"/>
          <w:spacing w:val="8"/>
          <w:sz w:val="24"/>
          <w:szCs w:val="21"/>
        </w:rPr>
        <w:t>1</w:t>
      </w:r>
      <w:r>
        <w:rPr>
          <w:rFonts w:ascii="SimHei" w:hAnsi="SimHei" w:eastAsia="黑体" w:cs="SimHei"/>
          <w:color w:val="000000"/>
          <w:spacing w:val="8"/>
          <w:sz w:val="24"/>
          <w:szCs w:val="21"/>
        </w:rPr>
        <w:t>日起，对个人当月内取得的全年一次性奖金，除以</w:t>
      </w:r>
      <w:r>
        <w:rPr>
          <w:rFonts w:ascii="SimHei" w:hAnsi="SimHei" w:eastAsia="黑体" w:cs="SimHei"/>
          <w:color w:val="000000"/>
          <w:spacing w:val="8"/>
          <w:sz w:val="24"/>
          <w:szCs w:val="21"/>
        </w:rPr>
        <w:t>12</w:t>
      </w:r>
      <w:r>
        <w:rPr>
          <w:rFonts w:ascii="SimHei" w:hAnsi="SimHei" w:eastAsia="黑体" w:cs="SimHei"/>
          <w:color w:val="000000"/>
          <w:spacing w:val="8"/>
          <w:sz w:val="24"/>
          <w:szCs w:val="21"/>
        </w:rPr>
        <w:t xml:space="preserve">个月，按其商数确定适用税率和速算扣除数。 </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《通知》规定，纳税人取得全年一次性奖金，单独作为一个月工资、薪金所得计算纳税，但在计征时，应先将雇员当月内取得的全年一次性奖金，除以</w:t>
      </w:r>
      <w:r>
        <w:rPr>
          <w:rFonts w:ascii="SimHei" w:hAnsi="SimHei" w:eastAsia="黑体" w:cs="SimHei"/>
          <w:color w:val="000000"/>
          <w:spacing w:val="8"/>
          <w:sz w:val="24"/>
          <w:szCs w:val="21"/>
        </w:rPr>
        <w:t>12</w:t>
      </w:r>
      <w:r>
        <w:rPr>
          <w:rFonts w:ascii="SimHei" w:hAnsi="SimHei" w:eastAsia="黑体" w:cs="SimHei"/>
          <w:color w:val="000000"/>
          <w:spacing w:val="8"/>
          <w:sz w:val="24"/>
          <w:szCs w:val="21"/>
        </w:rPr>
        <w:t xml:space="preserve">个月，按其商数确定适用税率和速算扣除数。如果在发放一次性奖金的当月，雇员工资薪金所得低于税法规定的费用扣除额，还应将全年一次性奖金减除“雇员当月工资薪金所得与费用扣除额的差额”后的余额，按上述办法确定全年一次性奖金的适用税率和速算扣除数。 </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通知》明确，在一个纳税年度里，对每一个纳税人，该计算办法只允许采用一次。同时，雇员取得除全年一次性奖金以外的其他各种名目奖金，如半年奖、季度奖、加班奖、先进奖、考勤奖等，一律与当月工资、薪金合并，按税法规定缴纳个人所得税。 </w:t>
      </w:r>
    </w:p>
    <w:p>
      <w:pPr>
        <w:pStyle w:val="Normal"/>
        <w:spacing w:lineRule="atLeast" w:line="360"/>
        <w:rPr/>
      </w:pPr>
      <w:r>
        <w:rPr>
          <w:rFonts w:ascii="SimHei" w:hAnsi="SimHei" w:eastAsia="黑体" w:cs="SimHei"/>
          <w:color w:val="000000"/>
          <w:spacing w:val="8"/>
          <w:sz w:val="24"/>
          <w:szCs w:val="21"/>
        </w:rPr>
        <w:t>　　全年一次性奖金是指行政机关、企事业单位等扣缴义务人根据其全年经济效益和对雇员全年工作业绩的综合考核情况，向雇员发放的一次性奖金，也包括年终加薪、实行年薪制和</w:t>
      </w:r>
      <w:hyperlink r:id="rId7" w:tgtFrame="_blank">
        <w:r>
          <w:rPr>
            <w:rStyle w:val="InternetLink"/>
            <w:rFonts w:ascii="SimHei" w:hAnsi="SimHei" w:eastAsia="黑体" w:cs="SimHei"/>
            <w:sz w:val="24"/>
          </w:rPr>
          <w:t>绩效工资</w:t>
        </w:r>
      </w:hyperlink>
      <w:r>
        <w:rPr>
          <w:rFonts w:ascii="SimHei" w:hAnsi="SimHei" w:eastAsia="黑体" w:cs="SimHei"/>
          <w:color w:val="000000"/>
          <w:spacing w:val="8"/>
          <w:sz w:val="24"/>
          <w:szCs w:val="21"/>
        </w:rPr>
        <w:t>办法的单位根据考核情况兑现的年薪和绩效工资。 　　据了解，此前，按照个人所得税的有关规定，对境内个人取得的奖金或年终加薪，单独作为一个月工资，不扣除最低免税额，全额作为所得按适用税率计算应纳税款。有关专家表示，年终一次性奖金作为全年劳动成果的奖励回报，新办法将其先除以</w:t>
      </w:r>
      <w:r>
        <w:rPr>
          <w:rFonts w:ascii="SimHei" w:hAnsi="SimHei" w:eastAsia="黑体" w:cs="SimHei"/>
          <w:color w:val="000000"/>
          <w:spacing w:val="8"/>
          <w:sz w:val="24"/>
          <w:szCs w:val="21"/>
        </w:rPr>
        <w:t>12</w:t>
      </w:r>
      <w:r>
        <w:rPr>
          <w:rFonts w:ascii="SimHei" w:hAnsi="SimHei" w:eastAsia="黑体" w:cs="SimHei"/>
          <w:color w:val="000000"/>
          <w:spacing w:val="8"/>
          <w:sz w:val="24"/>
          <w:szCs w:val="21"/>
        </w:rPr>
        <w:t>个月后确定税率和速算扣除数，再以全额计征个人所得税，在一定程度上降低了税率，减轻了相关税负，也进一步体现了公平原则。</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年终奖先除</w:t>
      </w:r>
      <w:r>
        <w:rPr>
          <w:rFonts w:ascii="SimHei" w:hAnsi="SimHei" w:eastAsia="黑体" w:cs="SimHei"/>
          <w:b/>
          <w:bCs/>
          <w:color w:val="000000"/>
          <w:spacing w:val="8"/>
          <w:sz w:val="24"/>
          <w:szCs w:val="21"/>
        </w:rPr>
        <w:t>12</w:t>
      </w:r>
      <w:r>
        <w:rPr>
          <w:rFonts w:ascii="SimHei" w:hAnsi="SimHei" w:eastAsia="黑体" w:cs="SimHei"/>
          <w:b/>
          <w:bCs/>
          <w:color w:val="000000"/>
          <w:spacing w:val="8"/>
          <w:sz w:val="24"/>
          <w:szCs w:val="21"/>
        </w:rPr>
        <w:t>确定税率</w:t>
      </w:r>
      <w:r>
        <w:rPr>
          <w:rFonts w:ascii="SimHei" w:hAnsi="SimHei" w:eastAsia="黑体" w:cs="SimHei"/>
          <w:color w:val="000000"/>
          <w:spacing w:val="8"/>
          <w:sz w:val="24"/>
          <w:szCs w:val="21"/>
        </w:rPr>
        <w:t xml:space="preserve"> </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从有关方面获悉，国家税务总局本月</w:t>
      </w:r>
      <w:r>
        <w:rPr>
          <w:rFonts w:ascii="SimHei" w:hAnsi="SimHei" w:eastAsia="黑体" w:cs="SimHei"/>
          <w:color w:val="000000"/>
          <w:spacing w:val="8"/>
          <w:sz w:val="24"/>
          <w:szCs w:val="21"/>
        </w:rPr>
        <w:t>26</w:t>
      </w:r>
      <w:r>
        <w:rPr>
          <w:rFonts w:ascii="SimHei" w:hAnsi="SimHei" w:eastAsia="黑体" w:cs="SimHei"/>
          <w:color w:val="000000"/>
          <w:spacing w:val="8"/>
          <w:sz w:val="24"/>
          <w:szCs w:val="21"/>
        </w:rPr>
        <w:t>日颁布了《国家税务总局关于调整个人取得全年一次性奖金等计算征收个人所得税方法问题的通知》，按照新办法，从今年开始，纳税人取得的年终奖全额，将先除以</w:t>
      </w:r>
      <w:r>
        <w:rPr>
          <w:rFonts w:ascii="SimHei" w:hAnsi="SimHei" w:eastAsia="黑体" w:cs="SimHei"/>
          <w:color w:val="000000"/>
          <w:spacing w:val="8"/>
          <w:sz w:val="24"/>
          <w:szCs w:val="21"/>
        </w:rPr>
        <w:t>12</w:t>
      </w:r>
      <w:r>
        <w:rPr>
          <w:rFonts w:ascii="SimHei" w:hAnsi="SimHei" w:eastAsia="黑体" w:cs="SimHei"/>
          <w:color w:val="000000"/>
          <w:spacing w:val="8"/>
          <w:sz w:val="24"/>
          <w:szCs w:val="21"/>
        </w:rPr>
        <w:t xml:space="preserve">，据此确定适用税率，再以这个税率计算纳税，此举将大大降低全国纳税人的年终奖税负，年终奖“落袋”将更加实在。 </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据悉，此前的做法是，个人取得的数月奖金或年终加薪、分红等，单独作为一个月的工资，按适用税率计算应纳税款。而新的“通知”规定，行政机关、企事业单位向其雇员发放的全年一次性奖金，仍作为单独一个月工资、薪金所得计算纳税，但当月取得的全年一次性奖金，按先除以</w:t>
      </w:r>
      <w:r>
        <w:rPr>
          <w:rFonts w:ascii="SimHei" w:hAnsi="SimHei" w:eastAsia="黑体" w:cs="SimHei"/>
          <w:color w:val="000000"/>
          <w:spacing w:val="8"/>
          <w:sz w:val="24"/>
          <w:szCs w:val="21"/>
        </w:rPr>
        <w:t>12</w:t>
      </w:r>
      <w:r>
        <w:rPr>
          <w:rFonts w:ascii="SimHei" w:hAnsi="SimHei" w:eastAsia="黑体" w:cs="SimHei"/>
          <w:color w:val="000000"/>
          <w:spacing w:val="8"/>
          <w:sz w:val="24"/>
          <w:szCs w:val="21"/>
        </w:rPr>
        <w:t xml:space="preserve">个月，按其商数确定适用税率和“速算扣除数”。 </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举个例子，张先生年终奖</w:t>
      </w:r>
      <w:r>
        <w:rPr>
          <w:rFonts w:ascii="SimHei" w:hAnsi="SimHei" w:eastAsia="黑体" w:cs="SimHei"/>
          <w:color w:val="000000"/>
          <w:spacing w:val="8"/>
          <w:sz w:val="24"/>
          <w:szCs w:val="21"/>
        </w:rPr>
        <w:t>12000</w:t>
      </w:r>
      <w:r>
        <w:rPr>
          <w:rFonts w:ascii="SimHei" w:hAnsi="SimHei" w:eastAsia="黑体" w:cs="SimHei"/>
          <w:color w:val="000000"/>
          <w:spacing w:val="8"/>
          <w:sz w:val="24"/>
          <w:szCs w:val="21"/>
        </w:rPr>
        <w:t>元，按以前做法，其年终奖应纳个人所得税为</w:t>
      </w:r>
      <w:r>
        <w:rPr>
          <w:rFonts w:ascii="SimHei" w:hAnsi="SimHei" w:eastAsia="黑体" w:cs="SimHei"/>
          <w:color w:val="000000"/>
          <w:spacing w:val="8"/>
          <w:sz w:val="24"/>
          <w:szCs w:val="21"/>
        </w:rPr>
        <w:t>2025</w:t>
      </w:r>
      <w:r>
        <w:rPr>
          <w:rFonts w:ascii="SimHei" w:hAnsi="SimHei" w:eastAsia="黑体" w:cs="SimHei"/>
          <w:color w:val="000000"/>
          <w:spacing w:val="8"/>
          <w:sz w:val="24"/>
          <w:szCs w:val="21"/>
        </w:rPr>
        <w:t>元</w:t>
      </w:r>
      <w:r>
        <w:rPr>
          <w:rFonts w:ascii="SimHei" w:hAnsi="SimHei" w:eastAsia="黑体" w:cs="SimHei"/>
          <w:color w:val="000000"/>
          <w:spacing w:val="8"/>
          <w:sz w:val="24"/>
          <w:szCs w:val="21"/>
        </w:rPr>
        <w:t>=</w:t>
      </w:r>
      <w:r>
        <w:rPr>
          <w:rFonts w:ascii="SimHei" w:hAnsi="SimHei" w:eastAsia="黑体" w:cs="SimHei"/>
          <w:color w:val="000000"/>
          <w:spacing w:val="8"/>
          <w:sz w:val="24"/>
          <w:szCs w:val="21"/>
        </w:rPr>
        <w:t>（</w:t>
      </w:r>
      <w:r>
        <w:rPr>
          <w:rFonts w:ascii="SimHei" w:hAnsi="SimHei" w:eastAsia="黑体" w:cs="SimHei"/>
          <w:color w:val="000000"/>
          <w:spacing w:val="8"/>
          <w:sz w:val="24"/>
          <w:szCs w:val="21"/>
        </w:rPr>
        <w:t>12000×20%-175</w:t>
      </w:r>
      <w:r>
        <w:rPr>
          <w:rFonts w:ascii="SimHei" w:hAnsi="SimHei" w:eastAsia="黑体" w:cs="SimHei"/>
          <w:color w:val="000000"/>
          <w:spacing w:val="8"/>
          <w:sz w:val="24"/>
          <w:szCs w:val="21"/>
        </w:rPr>
        <w:t>），但按照新办法，张先生只需交纳</w:t>
      </w:r>
      <w:r>
        <w:rPr>
          <w:rFonts w:ascii="SimHei" w:hAnsi="SimHei" w:eastAsia="黑体" w:cs="SimHei"/>
          <w:color w:val="000000"/>
          <w:spacing w:val="8"/>
          <w:sz w:val="24"/>
          <w:szCs w:val="21"/>
        </w:rPr>
        <w:t>1175</w:t>
      </w:r>
      <w:r>
        <w:rPr>
          <w:rFonts w:ascii="SimHei" w:hAnsi="SimHei" w:eastAsia="黑体" w:cs="SimHei"/>
          <w:color w:val="000000"/>
          <w:spacing w:val="8"/>
          <w:sz w:val="24"/>
          <w:szCs w:val="21"/>
        </w:rPr>
        <w:t>元</w:t>
      </w:r>
      <w:r>
        <w:rPr>
          <w:rFonts w:ascii="SimHei" w:hAnsi="SimHei" w:eastAsia="黑体" w:cs="SimHei"/>
          <w:color w:val="000000"/>
          <w:spacing w:val="8"/>
          <w:sz w:val="24"/>
          <w:szCs w:val="21"/>
        </w:rPr>
        <w:t>=</w:t>
      </w:r>
      <w:r>
        <w:rPr>
          <w:rFonts w:ascii="SimHei" w:hAnsi="SimHei" w:eastAsia="黑体" w:cs="SimHei"/>
          <w:color w:val="000000"/>
          <w:spacing w:val="8"/>
          <w:sz w:val="24"/>
          <w:szCs w:val="21"/>
        </w:rPr>
        <w:t>（</w:t>
      </w:r>
      <w:r>
        <w:rPr>
          <w:rFonts w:ascii="SimHei" w:hAnsi="SimHei" w:eastAsia="黑体" w:cs="SimHei"/>
          <w:color w:val="000000"/>
          <w:spacing w:val="8"/>
          <w:sz w:val="24"/>
          <w:szCs w:val="21"/>
        </w:rPr>
        <w:t>12000×10%-25</w:t>
      </w:r>
      <w:r>
        <w:rPr>
          <w:rFonts w:ascii="SimHei" w:hAnsi="SimHei" w:eastAsia="黑体" w:cs="SimHei"/>
          <w:color w:val="000000"/>
          <w:spacing w:val="8"/>
          <w:sz w:val="24"/>
          <w:szCs w:val="21"/>
        </w:rPr>
        <w:t>），两者相差</w:t>
      </w:r>
      <w:r>
        <w:rPr>
          <w:rFonts w:ascii="SimHei" w:hAnsi="SimHei" w:eastAsia="黑体" w:cs="SimHei"/>
          <w:color w:val="000000"/>
          <w:spacing w:val="8"/>
          <w:sz w:val="24"/>
          <w:szCs w:val="21"/>
        </w:rPr>
        <w:t>850</w:t>
      </w:r>
      <w:r>
        <w:rPr>
          <w:rFonts w:ascii="SimHei" w:hAnsi="SimHei" w:eastAsia="黑体" w:cs="SimHei"/>
          <w:color w:val="000000"/>
          <w:spacing w:val="8"/>
          <w:sz w:val="24"/>
          <w:szCs w:val="21"/>
        </w:rPr>
        <w:t>元，这是因为以</w:t>
      </w:r>
      <w:r>
        <w:rPr>
          <w:rFonts w:ascii="SimHei" w:hAnsi="SimHei" w:eastAsia="黑体" w:cs="SimHei"/>
          <w:color w:val="000000"/>
          <w:spacing w:val="8"/>
          <w:sz w:val="24"/>
          <w:szCs w:val="21"/>
        </w:rPr>
        <w:t>12000</w:t>
      </w:r>
      <w:r>
        <w:rPr>
          <w:rFonts w:ascii="SimHei" w:hAnsi="SimHei" w:eastAsia="黑体" w:cs="SimHei"/>
          <w:color w:val="000000"/>
          <w:spacing w:val="8"/>
          <w:sz w:val="24"/>
          <w:szCs w:val="21"/>
        </w:rPr>
        <w:t>元计算的适用税率和以单月</w:t>
      </w:r>
      <w:r>
        <w:rPr>
          <w:rFonts w:ascii="SimHei" w:hAnsi="SimHei" w:eastAsia="黑体" w:cs="SimHei"/>
          <w:color w:val="000000"/>
          <w:spacing w:val="8"/>
          <w:sz w:val="24"/>
          <w:szCs w:val="21"/>
        </w:rPr>
        <w:t>1000</w:t>
      </w:r>
      <w:r>
        <w:rPr>
          <w:rFonts w:ascii="SimHei" w:hAnsi="SimHei" w:eastAsia="黑体" w:cs="SimHei"/>
          <w:color w:val="000000"/>
          <w:spacing w:val="8"/>
          <w:sz w:val="24"/>
          <w:szCs w:val="21"/>
        </w:rPr>
        <w:t xml:space="preserve">元计算的适用税率不同。 </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半年奖、季度奖要多交税</w:t>
      </w:r>
      <w:r>
        <w:rPr>
          <w:rFonts w:ascii="SimHei" w:hAnsi="SimHei" w:eastAsia="黑体" w:cs="SimHei"/>
          <w:color w:val="000000"/>
          <w:spacing w:val="8"/>
          <w:sz w:val="24"/>
          <w:szCs w:val="21"/>
        </w:rPr>
        <w:t xml:space="preserve"> </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但按照新《通知》，今后市民取得的半年奖、季度奖，则要比现在“多交税”了。 </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通知》明确，雇员取得除全年一次性奖金以外的其它各种名目奖金，如半年奖、季度奖、加班奖、先进奖、考勤奖等，一律与当月工资、薪金收入合并，按税法规定缴纳个人所得税。而此前的做法是，除年终加薪以外，数月奖金或分红可单独作为一个月以全额确定税率计算个人所得税。两者的区别在于，今年起，纳税人取得半年奖、季度奖，不是单独全额计税，还要加上当月工资收入，这就有可能提高税率档次，税负自然也就增加。 </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例如张先生</w:t>
      </w:r>
      <w:r>
        <w:rPr>
          <w:rFonts w:ascii="SimHei" w:hAnsi="SimHei" w:eastAsia="黑体" w:cs="SimHei"/>
          <w:color w:val="000000"/>
          <w:spacing w:val="8"/>
          <w:sz w:val="24"/>
          <w:szCs w:val="21"/>
        </w:rPr>
        <w:t>7</w:t>
      </w:r>
      <w:r>
        <w:rPr>
          <w:rFonts w:ascii="SimHei" w:hAnsi="SimHei" w:eastAsia="黑体" w:cs="SimHei"/>
          <w:color w:val="000000"/>
          <w:spacing w:val="8"/>
          <w:sz w:val="24"/>
          <w:szCs w:val="21"/>
        </w:rPr>
        <w:t>月工资</w:t>
      </w:r>
      <w:r>
        <w:rPr>
          <w:rFonts w:ascii="SimHei" w:hAnsi="SimHei" w:eastAsia="黑体" w:cs="SimHei"/>
          <w:color w:val="000000"/>
          <w:spacing w:val="8"/>
          <w:sz w:val="24"/>
          <w:szCs w:val="21"/>
        </w:rPr>
        <w:t>4000</w:t>
      </w:r>
      <w:r>
        <w:rPr>
          <w:rFonts w:ascii="SimHei" w:hAnsi="SimHei" w:eastAsia="黑体" w:cs="SimHei"/>
          <w:color w:val="000000"/>
          <w:spacing w:val="8"/>
          <w:sz w:val="24"/>
          <w:szCs w:val="21"/>
        </w:rPr>
        <w:t>元，半年奖</w:t>
      </w:r>
      <w:r>
        <w:rPr>
          <w:rFonts w:ascii="SimHei" w:hAnsi="SimHei" w:eastAsia="黑体" w:cs="SimHei"/>
          <w:color w:val="000000"/>
          <w:spacing w:val="8"/>
          <w:sz w:val="24"/>
          <w:szCs w:val="21"/>
        </w:rPr>
        <w:t>6000</w:t>
      </w:r>
      <w:r>
        <w:rPr>
          <w:rFonts w:ascii="SimHei" w:hAnsi="SimHei" w:eastAsia="黑体" w:cs="SimHei"/>
          <w:color w:val="000000"/>
          <w:spacing w:val="8"/>
          <w:sz w:val="24"/>
          <w:szCs w:val="21"/>
        </w:rPr>
        <w:t>元，按现在的做法，其交纳个人所得税</w:t>
      </w:r>
      <w:r>
        <w:rPr>
          <w:rFonts w:ascii="SimHei" w:hAnsi="SimHei" w:eastAsia="黑体" w:cs="SimHei"/>
          <w:color w:val="000000"/>
          <w:spacing w:val="8"/>
          <w:sz w:val="24"/>
          <w:szCs w:val="21"/>
        </w:rPr>
        <w:t>1180</w:t>
      </w:r>
      <w:r>
        <w:rPr>
          <w:rFonts w:ascii="SimHei" w:hAnsi="SimHei" w:eastAsia="黑体" w:cs="SimHei"/>
          <w:color w:val="000000"/>
          <w:spacing w:val="8"/>
          <w:sz w:val="24"/>
          <w:szCs w:val="21"/>
        </w:rPr>
        <w:t>元</w:t>
      </w:r>
      <w:r>
        <w:rPr>
          <w:rFonts w:ascii="SimHei" w:hAnsi="SimHei" w:eastAsia="黑体" w:cs="SimHei"/>
          <w:color w:val="000000"/>
          <w:spacing w:val="8"/>
          <w:sz w:val="24"/>
          <w:szCs w:val="21"/>
        </w:rPr>
        <w:t>=[</w:t>
      </w:r>
      <w:r>
        <w:rPr>
          <w:rFonts w:ascii="SimHei" w:hAnsi="SimHei" w:eastAsia="黑体" w:cs="SimHei"/>
          <w:color w:val="000000"/>
          <w:spacing w:val="8"/>
          <w:sz w:val="24"/>
          <w:szCs w:val="21"/>
        </w:rPr>
        <w:t>（</w:t>
      </w:r>
      <w:r>
        <w:rPr>
          <w:rFonts w:ascii="SimHei" w:hAnsi="SimHei" w:eastAsia="黑体" w:cs="SimHei"/>
          <w:color w:val="000000"/>
          <w:spacing w:val="8"/>
          <w:sz w:val="24"/>
          <w:szCs w:val="21"/>
        </w:rPr>
        <w:t>4000-800</w:t>
      </w:r>
      <w:r>
        <w:rPr>
          <w:rFonts w:ascii="SimHei" w:hAnsi="SimHei" w:eastAsia="黑体" w:cs="SimHei"/>
          <w:color w:val="000000"/>
          <w:spacing w:val="8"/>
          <w:sz w:val="24"/>
          <w:szCs w:val="21"/>
        </w:rPr>
        <w:t>）</w:t>
      </w:r>
      <w:r>
        <w:rPr>
          <w:rFonts w:ascii="SimHei" w:hAnsi="SimHei" w:eastAsia="黑体" w:cs="SimHei"/>
          <w:color w:val="000000"/>
          <w:spacing w:val="8"/>
          <w:sz w:val="24"/>
          <w:szCs w:val="21"/>
        </w:rPr>
        <w:t>×15%-125+</w:t>
      </w:r>
      <w:r>
        <w:rPr>
          <w:rFonts w:ascii="SimHei" w:hAnsi="SimHei" w:eastAsia="黑体" w:cs="SimHei"/>
          <w:color w:val="000000"/>
          <w:spacing w:val="8"/>
          <w:sz w:val="24"/>
          <w:szCs w:val="21"/>
        </w:rPr>
        <w:t>（</w:t>
      </w:r>
      <w:r>
        <w:rPr>
          <w:rFonts w:ascii="SimHei" w:hAnsi="SimHei" w:eastAsia="黑体" w:cs="SimHei"/>
          <w:color w:val="000000"/>
          <w:spacing w:val="8"/>
          <w:sz w:val="24"/>
          <w:szCs w:val="21"/>
        </w:rPr>
        <w:t>6000×20%-375</w:t>
      </w:r>
      <w:r>
        <w:rPr>
          <w:rFonts w:ascii="SimHei" w:hAnsi="SimHei" w:eastAsia="黑体" w:cs="SimHei"/>
          <w:color w:val="000000"/>
          <w:spacing w:val="8"/>
          <w:sz w:val="24"/>
          <w:szCs w:val="21"/>
        </w:rPr>
        <w:t>）</w:t>
      </w:r>
      <w:r>
        <w:rPr>
          <w:rFonts w:ascii="SimHei" w:hAnsi="SimHei" w:eastAsia="黑体" w:cs="SimHei"/>
          <w:color w:val="000000"/>
          <w:spacing w:val="8"/>
          <w:sz w:val="24"/>
          <w:szCs w:val="21"/>
        </w:rPr>
        <w:t>]</w:t>
      </w:r>
      <w:r>
        <w:rPr>
          <w:rFonts w:ascii="SimHei" w:hAnsi="SimHei" w:eastAsia="黑体" w:cs="SimHei"/>
          <w:color w:val="000000"/>
          <w:spacing w:val="8"/>
          <w:sz w:val="24"/>
          <w:szCs w:val="21"/>
        </w:rPr>
        <w:t>，而按新规定，张先生则要交</w:t>
      </w:r>
      <w:r>
        <w:rPr>
          <w:rFonts w:ascii="SimHei" w:hAnsi="SimHei" w:eastAsia="黑体" w:cs="SimHei"/>
          <w:color w:val="000000"/>
          <w:spacing w:val="8"/>
          <w:sz w:val="24"/>
          <w:szCs w:val="21"/>
        </w:rPr>
        <w:t>1625</w:t>
      </w:r>
      <w:r>
        <w:rPr>
          <w:rFonts w:ascii="SimHei" w:hAnsi="SimHei" w:eastAsia="黑体" w:cs="SimHei"/>
          <w:color w:val="000000"/>
          <w:spacing w:val="8"/>
          <w:sz w:val="24"/>
          <w:szCs w:val="21"/>
        </w:rPr>
        <w:t>元</w:t>
      </w:r>
      <w:r>
        <w:rPr>
          <w:rFonts w:ascii="SimHei" w:hAnsi="SimHei" w:eastAsia="黑体" w:cs="SimHei"/>
          <w:color w:val="000000"/>
          <w:spacing w:val="8"/>
          <w:sz w:val="24"/>
          <w:szCs w:val="21"/>
        </w:rPr>
        <w:t>=[</w:t>
      </w:r>
      <w:r>
        <w:rPr>
          <w:rFonts w:ascii="SimHei" w:hAnsi="SimHei" w:eastAsia="黑体" w:cs="SimHei"/>
          <w:color w:val="000000"/>
          <w:spacing w:val="8"/>
          <w:sz w:val="24"/>
          <w:szCs w:val="21"/>
        </w:rPr>
        <w:t>（</w:t>
      </w:r>
      <w:r>
        <w:rPr>
          <w:rFonts w:ascii="SimHei" w:hAnsi="SimHei" w:eastAsia="黑体" w:cs="SimHei"/>
          <w:color w:val="000000"/>
          <w:spacing w:val="8"/>
          <w:sz w:val="24"/>
          <w:szCs w:val="21"/>
        </w:rPr>
        <w:t>6000+4000</w:t>
      </w:r>
      <w:r>
        <w:rPr>
          <w:rFonts w:ascii="SimHei" w:hAnsi="SimHei" w:eastAsia="黑体" w:cs="SimHei"/>
          <w:color w:val="000000"/>
          <w:spacing w:val="8"/>
          <w:sz w:val="24"/>
          <w:szCs w:val="21"/>
        </w:rPr>
        <w:t>）</w:t>
      </w:r>
      <w:r>
        <w:rPr>
          <w:rFonts w:ascii="SimHei" w:hAnsi="SimHei" w:eastAsia="黑体" w:cs="SimHei"/>
          <w:color w:val="000000"/>
          <w:spacing w:val="8"/>
          <w:sz w:val="24"/>
          <w:szCs w:val="21"/>
        </w:rPr>
        <w:t>×20%-375]</w:t>
      </w:r>
      <w:r>
        <w:rPr>
          <w:rFonts w:ascii="SimHei" w:hAnsi="SimHei" w:eastAsia="黑体" w:cs="SimHei"/>
          <w:color w:val="000000"/>
          <w:spacing w:val="8"/>
          <w:sz w:val="24"/>
          <w:szCs w:val="21"/>
        </w:rPr>
        <w:t>，两者相差</w:t>
      </w:r>
      <w:r>
        <w:rPr>
          <w:rFonts w:ascii="SimHei" w:hAnsi="SimHei" w:eastAsia="黑体" w:cs="SimHei"/>
          <w:color w:val="000000"/>
          <w:spacing w:val="8"/>
          <w:sz w:val="24"/>
          <w:szCs w:val="21"/>
        </w:rPr>
        <w:t>445</w:t>
      </w:r>
      <w:r>
        <w:rPr>
          <w:rFonts w:ascii="SimHei" w:hAnsi="SimHei" w:eastAsia="黑体" w:cs="SimHei"/>
          <w:color w:val="000000"/>
          <w:spacing w:val="8"/>
          <w:sz w:val="24"/>
          <w:szCs w:val="21"/>
        </w:rPr>
        <w:t xml:space="preserve">元。 </w:t>
      </w:r>
    </w:p>
    <w:p>
      <w:pPr>
        <w:pStyle w:val="Normal"/>
        <w:spacing w:lineRule="atLeast" w:line="360"/>
        <w:rPr/>
      </w:pPr>
      <w:r>
        <w:rPr>
          <w:rFonts w:ascii="SimHei" w:hAnsi="SimHei" w:eastAsia="黑体" w:cs="SimHei"/>
          <w:color w:val="000000"/>
          <w:spacing w:val="8"/>
          <w:sz w:val="24"/>
          <w:szCs w:val="21"/>
        </w:rPr>
        <w:t>　　</w:t>
      </w:r>
      <w:r>
        <w:rPr>
          <w:rFonts w:ascii="SimHei" w:hAnsi="SimHei" w:eastAsia="黑体" w:cs="SimHei"/>
          <w:b/>
          <w:bCs/>
          <w:color w:val="000000"/>
          <w:spacing w:val="8"/>
          <w:sz w:val="24"/>
          <w:szCs w:val="21"/>
        </w:rPr>
        <w:t>部分城市已采用新算法</w:t>
      </w:r>
      <w:r>
        <w:rPr>
          <w:rFonts w:ascii="SimHei" w:hAnsi="SimHei" w:eastAsia="黑体" w:cs="SimHei"/>
          <w:color w:val="000000"/>
          <w:spacing w:val="8"/>
          <w:sz w:val="24"/>
          <w:szCs w:val="21"/>
        </w:rPr>
        <w:t xml:space="preserve"> </w:t>
      </w:r>
    </w:p>
    <w:p>
      <w:pPr>
        <w:pStyle w:val="Normal"/>
        <w:spacing w:lineRule="atLeast" w:line="360"/>
        <w:rPr>
          <w:rFonts w:ascii="SimHei" w:hAnsi="SimHei" w:eastAsia="黑体" w:cs="SimHei"/>
          <w:color w:val="000000"/>
          <w:spacing w:val="8"/>
          <w:sz w:val="24"/>
          <w:szCs w:val="21"/>
        </w:rPr>
      </w:pPr>
      <w:r>
        <w:rPr>
          <w:rFonts w:ascii="SimHei" w:hAnsi="SimHei" w:eastAsia="黑体" w:cs="SimHei"/>
          <w:color w:val="000000"/>
          <w:spacing w:val="8"/>
          <w:sz w:val="24"/>
          <w:szCs w:val="21"/>
        </w:rPr>
        <w:t xml:space="preserve">　　按照新规定，在一个纳税年度内，对每一个纳税人，全年一次性奖金的计税办法只能采用一次。实行年薪制和绩效工资的单位，个人取得年薪和绩效工资也按此法施行。 </w:t>
      </w:r>
    </w:p>
    <w:p>
      <w:pPr>
        <w:pStyle w:val="Normal"/>
        <w:spacing w:lineRule="atLeast" w:line="360"/>
        <w:rPr/>
      </w:pPr>
      <w:r>
        <w:rPr>
          <w:rFonts w:ascii="SimHei" w:hAnsi="SimHei" w:eastAsia="黑体" w:cs="SimHei"/>
          <w:color w:val="000000"/>
          <w:spacing w:val="8"/>
          <w:sz w:val="24"/>
          <w:szCs w:val="21"/>
        </w:rPr>
        <w:t>　　按照新办法，从节税的角度考虑，企业发放奖金以年终一次性的形式发放，将比分开按季度奖、半年奖的形式“合算”。以张先生月收入</w:t>
      </w:r>
      <w:r>
        <w:rPr>
          <w:rFonts w:ascii="SimHei" w:hAnsi="SimHei" w:eastAsia="黑体" w:cs="SimHei"/>
          <w:color w:val="000000"/>
          <w:spacing w:val="8"/>
          <w:sz w:val="24"/>
          <w:szCs w:val="21"/>
        </w:rPr>
        <w:t>4000</w:t>
      </w:r>
      <w:r>
        <w:rPr>
          <w:rFonts w:ascii="SimHei" w:hAnsi="SimHei" w:eastAsia="黑体" w:cs="SimHei"/>
          <w:color w:val="000000"/>
          <w:spacing w:val="8"/>
          <w:sz w:val="24"/>
          <w:szCs w:val="21"/>
        </w:rPr>
        <w:t>元，年终奖</w:t>
      </w:r>
      <w:r>
        <w:rPr>
          <w:rFonts w:ascii="SimHei" w:hAnsi="SimHei" w:eastAsia="黑体" w:cs="SimHei"/>
          <w:color w:val="000000"/>
          <w:spacing w:val="8"/>
          <w:sz w:val="24"/>
          <w:szCs w:val="21"/>
        </w:rPr>
        <w:t>12000</w:t>
      </w:r>
      <w:r>
        <w:rPr>
          <w:rFonts w:ascii="SimHei" w:hAnsi="SimHei" w:eastAsia="黑体" w:cs="SimHei"/>
          <w:color w:val="000000"/>
          <w:spacing w:val="8"/>
          <w:sz w:val="24"/>
          <w:szCs w:val="21"/>
        </w:rPr>
        <w:t>元为例，如果年终奖分成每季度</w:t>
      </w:r>
      <w:r>
        <w:rPr>
          <w:rFonts w:ascii="SimHei" w:hAnsi="SimHei" w:eastAsia="黑体" w:cs="SimHei"/>
          <w:color w:val="000000"/>
          <w:spacing w:val="8"/>
          <w:sz w:val="24"/>
          <w:szCs w:val="21"/>
        </w:rPr>
        <w:t>2000</w:t>
      </w:r>
      <w:r>
        <w:rPr>
          <w:rFonts w:ascii="SimHei" w:hAnsi="SimHei" w:eastAsia="黑体" w:cs="SimHei"/>
          <w:color w:val="000000"/>
          <w:spacing w:val="8"/>
          <w:sz w:val="24"/>
          <w:szCs w:val="21"/>
        </w:rPr>
        <w:t>元，年终</w:t>
      </w:r>
      <w:r>
        <w:rPr>
          <w:rFonts w:ascii="SimHei" w:hAnsi="SimHei" w:eastAsia="黑体" w:cs="SimHei"/>
          <w:color w:val="000000"/>
          <w:spacing w:val="8"/>
          <w:sz w:val="24"/>
          <w:szCs w:val="21"/>
        </w:rPr>
        <w:t>4000</w:t>
      </w:r>
      <w:r>
        <w:rPr>
          <w:rFonts w:ascii="SimHei" w:hAnsi="SimHei" w:eastAsia="黑体" w:cs="SimHei"/>
          <w:color w:val="000000"/>
          <w:spacing w:val="8"/>
          <w:sz w:val="24"/>
          <w:szCs w:val="21"/>
        </w:rPr>
        <w:t>元计算，二者交个税相差</w:t>
      </w:r>
      <w:r>
        <w:rPr>
          <w:rFonts w:ascii="SimHei" w:hAnsi="SimHei" w:eastAsia="黑体" w:cs="SimHei"/>
          <w:color w:val="000000"/>
          <w:spacing w:val="8"/>
          <w:sz w:val="24"/>
          <w:szCs w:val="21"/>
        </w:rPr>
        <w:t>1180</w:t>
      </w:r>
      <w:r>
        <w:rPr>
          <w:rFonts w:ascii="SimHei" w:hAnsi="SimHei" w:eastAsia="黑体" w:cs="SimHei"/>
          <w:color w:val="000000"/>
          <w:spacing w:val="8"/>
          <w:sz w:val="24"/>
          <w:szCs w:val="21"/>
        </w:rPr>
        <w:t>元。</w:t>
      </w:r>
      <w:r>
        <w:rPr>
          <w:rFonts w:ascii="SimHei" w:hAnsi="SimHei" w:eastAsia="黑体" w:cs="SimHei"/>
          <w:color w:val="000000"/>
          <w:spacing w:val="8"/>
          <w:sz w:val="22"/>
          <w:szCs w:val="21"/>
        </w:rPr>
        <w:t xml:space="preserve"> </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宋体">
    <w:altName w:val="SimSun"/>
    <w:charset w:val="86"/>
    <w:family w:val="auto"/>
    <w:pitch w:val="variable"/>
  </w:font>
  <w:font w:name="Courier New">
    <w:charset w:val="00"/>
    <w:family w:val="modern"/>
    <w:pitch w:val="default"/>
  </w:font>
  <w:font w:name="Wingdings">
    <w:charset w:val="02"/>
    <w:family w:val="auto"/>
    <w:pitch w:val="variable"/>
  </w:font>
  <w:font w:name="Liberation Sans">
    <w:altName w:val="Arial"/>
    <w:charset w:val="01"/>
    <w:family w:val="swiss"/>
    <w:pitch w:val="variable"/>
  </w:font>
  <w:font w:name="黑体">
    <w:altName w:val="SimHei"/>
    <w:charset w:val="86"/>
    <w:family w:val="modern"/>
    <w:pitch w:val="default"/>
  </w:font>
  <w:font w:name="某企业雅黑">
    <w:charset w:val="86"/>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2">
    <w:name w:val="Heading 2"/>
    <w:basedOn w:val="Normal"/>
    <w:next w:val="TextBody"/>
    <w:qFormat/>
    <w:pPr>
      <w:widowControl/>
      <w:numPr>
        <w:ilvl w:val="1"/>
        <w:numId w:val="1"/>
      </w:numPr>
      <w:jc w:val="left"/>
      <w:outlineLvl w:val="1"/>
    </w:pPr>
    <w:rPr>
      <w:rFonts w:ascii="SimHei" w:hAnsi="SimHei" w:eastAsia="黑体" w:cs="SimHei"/>
      <w:b/>
      <w:bCs/>
      <w:kern w:val="0"/>
      <w:sz w:val="32"/>
      <w:szCs w:val="36"/>
    </w:rPr>
  </w:style>
  <w:style w:type="character" w:styleId="WW8Num1z0">
    <w:name w:val="WW8Num1z0"/>
    <w:qFormat/>
    <w:rPr>
      <w:rFonts w:ascii="SimHei" w:hAnsi="SimHei" w:eastAsia="黑体" w:cs="SimHei"/>
      <w:sz w:val="20"/>
    </w:rPr>
  </w:style>
  <w:style w:type="character" w:styleId="WW8Num1z1">
    <w:name w:val="WW8Num1z1"/>
    <w:qFormat/>
    <w:rPr>
      <w:rFonts w:ascii="SimHei" w:hAnsi="SimHei" w:eastAsia="黑体" w:cs="SimHei"/>
      <w:sz w:val="20"/>
    </w:rPr>
  </w:style>
  <w:style w:type="character" w:styleId="WW8Num1z2">
    <w:name w:val="WW8Num1z2"/>
    <w:qFormat/>
    <w:rPr>
      <w:rFonts w:ascii="SimHei" w:hAnsi="SimHei" w:eastAsia="黑体" w:cs="SimHei"/>
      <w:sz w:val="20"/>
    </w:rPr>
  </w:style>
  <w:style w:type="character" w:styleId="WW8Num2z0">
    <w:name w:val="WW8Num2z0"/>
    <w:qFormat/>
    <w:rPr>
      <w:rFonts w:ascii="SimHei" w:hAnsi="SimHei" w:eastAsia="黑体" w:cs="SimHei"/>
      <w:sz w:val="20"/>
    </w:rPr>
  </w:style>
  <w:style w:type="character" w:styleId="WW8Num2z1">
    <w:name w:val="WW8Num2z1"/>
    <w:qFormat/>
    <w:rPr>
      <w:rFonts w:ascii="SimHei" w:hAnsi="SimHei" w:eastAsia="黑体" w:cs="SimHei"/>
      <w:sz w:val="20"/>
    </w:rPr>
  </w:style>
  <w:style w:type="character" w:styleId="WW8Num2z2">
    <w:name w:val="WW8Num2z2"/>
    <w:qFormat/>
    <w:rPr>
      <w:rFonts w:ascii="SimHei" w:hAnsi="SimHei" w:eastAsia="黑体" w:cs="SimHei"/>
      <w:sz w:val="20"/>
    </w:rPr>
  </w:style>
  <w:style w:type="character" w:styleId="Style13">
    <w:name w:val="默认段落字体"/>
    <w:qFormat/>
    <w:rPr/>
  </w:style>
  <w:style w:type="character" w:styleId="InternetLink">
    <w:name w:val="Hyperlink"/>
    <w:rPr>
      <w:strike w:val="false"/>
      <w:dstrike w:val="false"/>
      <w:color w:val="000000"/>
      <w:sz w:val="18"/>
      <w:szCs w:val="18"/>
      <w:u w:val="none"/>
    </w:rPr>
  </w:style>
  <w:style w:type="character" w:styleId="Char">
    <w:name w:val="页眉 Char"/>
    <w:qFormat/>
    <w:rPr>
      <w:kern w:val="2"/>
      <w:sz w:val="18"/>
      <w:szCs w:val="18"/>
    </w:rPr>
  </w:style>
  <w:style w:type="character" w:styleId="Char1">
    <w:name w:val="页脚 Char"/>
    <w:qFormat/>
    <w:rPr>
      <w:kern w:val="2"/>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4">
    <w:name w:val="普通(网站)"/>
    <w:basedOn w:val="Normal"/>
    <w:qFormat/>
    <w:pPr>
      <w:widowControl/>
      <w:spacing w:before="280" w:after="280"/>
      <w:jc w:val="left"/>
    </w:pPr>
    <w:rPr>
      <w:rFonts w:ascii="SimHei" w:hAnsi="SimHei" w:eastAsia="黑体" w:cs="SimHei"/>
      <w:kern w:val="0"/>
      <w:sz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aike.baidu.com/view/2770792.htm" TargetMode="External"/><Relationship Id="rId3" Type="http://schemas.openxmlformats.org/officeDocument/2006/relationships/hyperlink" Target="http://baike.baidu.com/view/1150885.htm" TargetMode="External"/><Relationship Id="rId4" Type="http://schemas.openxmlformats.org/officeDocument/2006/relationships/hyperlink" Target="http://baike.baidu.com/view/3029824.htm" TargetMode="External"/><Relationship Id="rId5" Type="http://schemas.openxmlformats.org/officeDocument/2006/relationships/hyperlink" Target="http://baike.baidu.com/view/2089385.htm" TargetMode="External"/><Relationship Id="rId6" Type="http://schemas.openxmlformats.org/officeDocument/2006/relationships/hyperlink" Target="http://baike.baidu.com/view/412980.htm" TargetMode="External"/><Relationship Id="rId7" Type="http://schemas.openxmlformats.org/officeDocument/2006/relationships/hyperlink" Target="http://baike.baidu.com/view/1092533.htm"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2010-01-05T21:23:00Z</dcterms:created>
  <dc:creator>User</dc:creator>
  <dc:description/>
  <cp:keywords> </cp:keywords>
  <dc:language>en-US</dc:language>
  <cp:lastModifiedBy>Client</cp:lastModifiedBy>
  <dcterms:modified xsi:type="dcterms:W3CDTF">2016-11-11T17:48:00Z</dcterms:modified>
  <cp:revision>13</cp:revision>
  <dc:subject/>
  <dc:title/>
</cp:coreProperties>
</file>