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4" w:name="_GoBack"/>
      <w:bookmarkEnd w:id="4"/>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企业文化保障体系构建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企业文化保障体系构建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0478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047875"/>
                        </a:xfrm>
                        <a:prstGeom prst="rect">
                          <a:avLst/>
                        </a:prstGeom>
                        <a:solidFill>
                          <a:srgbClr val="FFFFFF">
                            <a:alpha val="0"/>
                          </a:srgbClr>
                        </a:solidFill>
                        <a:ln>
                          <a:noFill/>
                        </a:ln>
                      </wps:spPr>
                      <wps:txb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w:t>
                            </w:r>
                          </w:p>
                          <w:p>
                            <w:pPr>
                              <w:spacing w:line="1400" w:lineRule="exact"/>
                              <w:jc w:val="center"/>
                              <w:rPr>
                                <w:sz w:val="96"/>
                                <w:szCs w:val="96"/>
                              </w:rPr>
                            </w:pPr>
                            <w:r>
                              <w:rPr>
                                <w:rFonts w:ascii="SimHei" w:hAnsi="SimHei" w:eastAsia="黑体" w:cs="SimHei"/>
                                <w:b/>
                                <w:sz w:val="96"/>
                                <w:szCs w:val="96"/>
                              </w:rPr>
                              <w:t>管理办法内容纲要</w:t>
                            </w:r>
                          </w:p>
                        </w:txbxContent>
                      </wps:txbx>
                      <wps:bodyPr wrap="square" upright="1"/>
                    </wps:wsp>
                  </a:graphicData>
                </a:graphic>
              </wp:anchor>
            </w:drawing>
          </mc:Choice>
          <mc:Fallback>
            <w:pict>
              <v:shape id="文本框 10" o:spid="_x0000_s1026" o:spt="202" type="#_x0000_t202" style="position:absolute;left:0pt;margin-left:-67.05pt;margin-top:2.1pt;height:161.25pt;width:564pt;z-index:251664384;mso-width-relative:page;mso-height-relative:page;" fillcolor="#FFFFFF" filled="t" stroked="f" coordsize="21600,21600" o:gfxdata="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8z/vu2gAAAAoBAAAPAAAAAAAAAAEAIAAAACIAAABkcnMvZG93bnJldi54bWxQ&#10;SwECFAAUAAAACACHTuJA5v+IcrwBAABWAwAADgAAAAAAAAABACAAAAApAQAAZHJzL2Uyb0RvYy54&#10;bWxQSwUGAAAAAAYABgBZAQAAVwUAAAAA&#10;">
                <v:fill on="t" opacity="0f" focussize="0,0"/>
                <v:stroke on="f"/>
                <v:imagedata o:title=""/>
                <o:lock v:ext="edit" aspectratio="f"/>
                <v:textbo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w:t>
                      </w:r>
                    </w:p>
                    <w:p>
                      <w:pPr>
                        <w:spacing w:line="1400" w:lineRule="exact"/>
                        <w:jc w:val="center"/>
                        <w:rPr>
                          <w:sz w:val="96"/>
                          <w:szCs w:val="96"/>
                        </w:rPr>
                      </w:pPr>
                      <w:r>
                        <w:rPr>
                          <w:rFonts w:ascii="SimHei" w:hAnsi="SimHei" w:eastAsia="黑体" w:cs="SimHei"/>
                          <w:b/>
                          <w:sz w:val="96"/>
                          <w:szCs w:val="96"/>
                        </w:rPr>
                        <w:t>管理办法内容纲要</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企业文化保障体系构建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工具1：</w:t>
      </w:r>
      <w:bookmarkEnd w:id="1"/>
      <w:bookmarkEnd w:id="2"/>
      <w:bookmarkStart w:id="3" w:name="_Toc395878716"/>
      <w:r>
        <w:rPr>
          <w:rFonts w:ascii="SimHei" w:hAnsi="SimHei" w:eastAsia="黑体" w:cs="SimHei"/>
          <w:bCs w:val="0"/>
        </w:rPr>
        <w:t>企业文化建设管理办法内容纲要</w:t>
      </w:r>
      <w:bookmarkEnd w:id="3"/>
    </w:p>
    <w:p>
      <w:pPr>
        <w:tabs>
          <w:tab w:val="left" w:pos="720"/>
        </w:tabs>
        <w:spacing w:line="500" w:lineRule="exact"/>
        <w:ind w:firstLine="548" w:firstLineChars="196"/>
        <w:rPr>
          <w:rFonts w:ascii="SimHei" w:hAnsi="SimHei" w:eastAsia="黑体" w:cs="SimHei"/>
          <w:sz w:val="28"/>
          <w:szCs w:val="28"/>
        </w:rPr>
      </w:pPr>
      <w:r>
        <w:rPr>
          <w:rFonts w:ascii="SimHei" w:hAnsi="SimHei" w:eastAsia="黑体" w:cs="SimHei"/>
          <w:sz w:val="28"/>
          <w:szCs w:val="28"/>
        </w:rPr>
        <w:t>企业文化建设管理办法，主要通过明确公司企业文化建设的目标、原则、组织机构、队伍管理、工作内容（企业文化建设规划及实施方案）、日常工作管理措施以及考核方法等，对公司的企业文化建设工作进行规范化管理，从而确保企业文化建设工作得以健康有序的推行，并形成良好的企业文化建设氛围。管理办法中，如果衍生出更详细、更具体的企业文化内训师管理办法、企业文化培训管理办法、企业文化宣传管理办法、企业文化评价考核管理办法等，可以根据其重要程度以附件形式体现，或者独立成为管理文件。</w:t>
      </w:r>
    </w:p>
    <w:p>
      <w:pPr>
        <w:tabs>
          <w:tab w:val="left" w:pos="720"/>
        </w:tabs>
        <w:spacing w:line="500" w:lineRule="exact"/>
        <w:ind w:firstLine="548" w:firstLineChars="196"/>
        <w:rPr>
          <w:rFonts w:ascii="SimHei" w:hAnsi="SimHei" w:eastAsia="黑体" w:cs="SimHei"/>
          <w:sz w:val="28"/>
          <w:szCs w:val="28"/>
        </w:rPr>
      </w:pPr>
    </w:p>
    <w:p>
      <w:pPr>
        <w:tabs>
          <w:tab w:val="left" w:pos="720"/>
        </w:tabs>
        <w:spacing w:line="360" w:lineRule="exact"/>
        <w:ind w:firstLine="470" w:firstLineChars="196"/>
        <w:rPr>
          <w:rFonts w:ascii="SimHei" w:hAnsi="SimHei" w:eastAsia="黑体" w:cs="SimHei"/>
          <w:sz w:val="24"/>
        </w:rPr>
      </w:pPr>
    </w:p>
    <w:p>
      <w:pPr>
        <w:tabs>
          <w:tab w:val="left" w:pos="720"/>
        </w:tabs>
        <w:spacing w:line="360" w:lineRule="exact"/>
        <w:ind w:firstLine="470" w:firstLineChars="196"/>
        <w:rPr>
          <w:rFonts w:ascii="SimHei" w:hAnsi="SimHei" w:eastAsia="黑体" w:cs="SimHei"/>
          <w:sz w:val="24"/>
        </w:rPr>
      </w:pPr>
    </w:p>
    <w:tbl>
      <w:tblPr>
        <w:tblStyle w:val="11"/>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1"/>
        <w:gridCol w:w="6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shd w:val="clear" w:color="auto" w:fill="FFFF00"/>
            <w:noWrap w:val="0"/>
            <w:vAlign w:val="top"/>
          </w:tcPr>
          <w:p>
            <w:pPr>
              <w:tabs>
                <w:tab w:val="left" w:pos="720"/>
              </w:tabs>
              <w:spacing w:line="460" w:lineRule="exact"/>
              <w:jc w:val="center"/>
              <w:rPr>
                <w:rFonts w:ascii="SimHei" w:hAnsi="SimHei" w:eastAsia="黑体" w:cs="SimHei"/>
                <w:b/>
                <w:szCs w:val="21"/>
              </w:rPr>
            </w:pPr>
            <w:r>
              <w:rPr>
                <w:rFonts w:ascii="SimHei" w:hAnsi="SimHei" w:eastAsia="黑体" w:cs="SimHei"/>
                <w:b/>
                <w:szCs w:val="21"/>
              </w:rPr>
              <w:t>提纲</w:t>
            </w:r>
          </w:p>
        </w:tc>
        <w:tc>
          <w:tcPr>
            <w:tcW w:w="6946" w:type="dxa"/>
            <w:shd w:val="clear" w:color="auto" w:fill="FFFF00"/>
            <w:noWrap w:val="0"/>
            <w:vAlign w:val="top"/>
          </w:tcPr>
          <w:p>
            <w:pPr>
              <w:tabs>
                <w:tab w:val="left" w:pos="720"/>
              </w:tabs>
              <w:spacing w:line="460" w:lineRule="exact"/>
              <w:jc w:val="center"/>
              <w:rPr>
                <w:rFonts w:ascii="SimHei" w:hAnsi="SimHei" w:eastAsia="黑体" w:cs="SimHei"/>
                <w:b/>
                <w:szCs w:val="21"/>
              </w:rPr>
            </w:pPr>
            <w:r>
              <w:rPr>
                <w:rFonts w:ascii="SimHei" w:hAnsi="SimHei" w:eastAsia="黑体" w:cs="SimHei"/>
                <w:b/>
                <w:szCs w:val="21"/>
              </w:rPr>
              <w:t>主要内容说明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一、企业文化建设总则</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1.1 目的/宗旨。</w:t>
            </w:r>
            <w:r>
              <w:rPr>
                <w:rFonts w:ascii="SimHei" w:hAnsi="SimHei" w:eastAsia="黑体" w:cs="SimHei"/>
                <w:szCs w:val="21"/>
              </w:rPr>
              <w:t>可以用企业文化战略目标相关内容。明确为了达到什么目标而制定本办法。</w:t>
            </w:r>
          </w:p>
          <w:p>
            <w:pPr>
              <w:tabs>
                <w:tab w:val="left" w:pos="720"/>
              </w:tabs>
              <w:spacing w:line="460" w:lineRule="exact"/>
              <w:rPr>
                <w:rFonts w:ascii="SimHei" w:hAnsi="SimHei" w:eastAsia="黑体" w:cs="SimHei"/>
                <w:szCs w:val="21"/>
              </w:rPr>
            </w:pPr>
            <w:r>
              <w:rPr>
                <w:rFonts w:ascii="SimHei" w:hAnsi="SimHei" w:eastAsia="黑体" w:cs="SimHei"/>
                <w:b/>
                <w:szCs w:val="21"/>
              </w:rPr>
              <w:t>1.2 基本原则。</w:t>
            </w:r>
            <w:r>
              <w:rPr>
                <w:rFonts w:ascii="SimHei" w:hAnsi="SimHei" w:eastAsia="黑体" w:cs="SimHei"/>
                <w:szCs w:val="21"/>
              </w:rPr>
              <w:t>例如以人为本、统筹兼顾、持续改进、注重实效、全员参与等。</w:t>
            </w:r>
          </w:p>
          <w:p>
            <w:pPr>
              <w:tabs>
                <w:tab w:val="left" w:pos="720"/>
              </w:tabs>
              <w:spacing w:line="460" w:lineRule="exact"/>
              <w:rPr>
                <w:rFonts w:ascii="SimHei" w:hAnsi="SimHei" w:eastAsia="黑体" w:cs="SimHei"/>
                <w:szCs w:val="21"/>
              </w:rPr>
            </w:pPr>
            <w:r>
              <w:rPr>
                <w:rFonts w:ascii="SimHei" w:hAnsi="SimHei" w:eastAsia="黑体" w:cs="SimHei"/>
                <w:b/>
                <w:szCs w:val="21"/>
              </w:rPr>
              <w:t>1.3 内容范围。</w:t>
            </w:r>
            <w:r>
              <w:rPr>
                <w:rFonts w:ascii="SimHei" w:hAnsi="SimHei" w:eastAsia="黑体" w:cs="SimHei"/>
                <w:szCs w:val="21"/>
              </w:rPr>
              <w:t>对企业文化建设管理工作的主要内容进行简单描述，从而界定企业文化建设管理工作的内容范围。</w:t>
            </w:r>
          </w:p>
          <w:p>
            <w:pPr>
              <w:tabs>
                <w:tab w:val="left" w:pos="720"/>
              </w:tabs>
              <w:spacing w:line="460" w:lineRule="exact"/>
              <w:rPr>
                <w:rFonts w:ascii="SimHei" w:hAnsi="SimHei" w:eastAsia="黑体" w:cs="SimHei"/>
                <w:szCs w:val="21"/>
              </w:rPr>
            </w:pPr>
            <w:r>
              <w:rPr>
                <w:rFonts w:ascii="SimHei" w:hAnsi="SimHei" w:eastAsia="黑体" w:cs="SimHei"/>
                <w:b/>
                <w:szCs w:val="21"/>
              </w:rPr>
              <w:t>1.4 适用范围。</w:t>
            </w:r>
            <w:r>
              <w:rPr>
                <w:rFonts w:ascii="SimHei" w:hAnsi="SimHei" w:eastAsia="黑体" w:cs="SimHei"/>
                <w:szCs w:val="21"/>
              </w:rPr>
              <w:t>本办法适用的部门、对象范围。</w:t>
            </w:r>
          </w:p>
          <w:p>
            <w:pPr>
              <w:tabs>
                <w:tab w:val="left" w:pos="720"/>
              </w:tabs>
              <w:spacing w:line="460" w:lineRule="exact"/>
              <w:rPr>
                <w:rFonts w:ascii="SimHei" w:hAnsi="SimHei" w:eastAsia="黑体" w:cs="SimHei"/>
                <w:szCs w:val="21"/>
              </w:rPr>
            </w:pPr>
            <w:r>
              <w:rPr>
                <w:rFonts w:ascii="SimHei" w:hAnsi="SimHei" w:eastAsia="黑体" w:cs="SimHei"/>
                <w:b/>
                <w:szCs w:val="21"/>
              </w:rPr>
              <w:t>1.5 术语释义。</w:t>
            </w:r>
            <w:r>
              <w:rPr>
                <w:rFonts w:ascii="SimHei" w:hAnsi="SimHei" w:eastAsia="黑体" w:cs="SimHei"/>
                <w:szCs w:val="21"/>
              </w:rPr>
              <w:t>例如企业文化定义、企业文化建设体系等。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二、企业文化建设组织</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2.1组织机构设置。</w:t>
            </w:r>
            <w:r>
              <w:rPr>
                <w:rFonts w:ascii="SimHei" w:hAnsi="SimHei" w:eastAsia="黑体" w:cs="SimHei"/>
                <w:szCs w:val="21"/>
              </w:rPr>
              <w:t>例如企业文化建设领导小组、实施小组、各部门等。</w:t>
            </w:r>
          </w:p>
          <w:p>
            <w:pPr>
              <w:tabs>
                <w:tab w:val="left" w:pos="720"/>
              </w:tabs>
              <w:spacing w:line="460" w:lineRule="exact"/>
              <w:rPr>
                <w:rFonts w:ascii="SimHei" w:hAnsi="SimHei" w:eastAsia="黑体" w:cs="SimHei"/>
                <w:i/>
                <w:szCs w:val="21"/>
              </w:rPr>
            </w:pPr>
            <w:r>
              <w:rPr>
                <w:rFonts w:ascii="SimHei" w:hAnsi="SimHei" w:eastAsia="黑体" w:cs="SimHei"/>
                <w:b/>
                <w:szCs w:val="21"/>
              </w:rPr>
              <w:t>2.2 职责与权利。</w:t>
            </w:r>
            <w:r>
              <w:rPr>
                <w:rFonts w:ascii="SimHei" w:hAnsi="SimHei" w:eastAsia="黑体" w:cs="SimHei"/>
                <w:szCs w:val="21"/>
              </w:rPr>
              <w:t>对各机构、各部门、员工在企业文化建设过程中的职责与权利进行明确。</w:t>
            </w:r>
            <w:r>
              <w:rPr>
                <w:rFonts w:ascii="SimHei" w:hAnsi="SimHei" w:eastAsia="黑体" w:cs="SimHei"/>
                <w:i/>
                <w:szCs w:val="21"/>
              </w:rPr>
              <w:t>（针对部门，主要参与部门可以单独列出，但是大部分部门可以统一列出其相同的职责与权利；针对员工权责，也应该进行统一的说明）</w:t>
            </w:r>
          </w:p>
          <w:p>
            <w:pPr>
              <w:tabs>
                <w:tab w:val="left" w:pos="720"/>
              </w:tabs>
              <w:spacing w:line="460" w:lineRule="exact"/>
              <w:rPr>
                <w:rFonts w:ascii="SimHei" w:hAnsi="SimHei" w:eastAsia="黑体" w:cs="SimHei"/>
                <w:szCs w:val="21"/>
              </w:rPr>
            </w:pPr>
            <w:r>
              <w:rPr>
                <w:rFonts w:ascii="SimHei" w:hAnsi="SimHei" w:eastAsia="黑体" w:cs="SimHei"/>
                <w:b/>
                <w:szCs w:val="21"/>
              </w:rPr>
              <w:t>2.3 宣贯队伍建设。</w:t>
            </w:r>
            <w:r>
              <w:rPr>
                <w:rFonts w:ascii="SimHei" w:hAnsi="SimHei" w:eastAsia="黑体" w:cs="SimHei"/>
                <w:szCs w:val="21"/>
              </w:rPr>
              <w:t>可从队伍组建、队伍权责、队伍培训、队伍考核等方面进行简单说明。若内容过多，可以以附件形式体现。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三、企业文化建设规划/内容</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3.1 具体目标与任务：</w:t>
            </w:r>
            <w:r>
              <w:rPr>
                <w:rFonts w:ascii="SimHei" w:hAnsi="SimHei" w:eastAsia="黑体" w:cs="SimHei"/>
                <w:szCs w:val="21"/>
              </w:rPr>
              <w:t>指分阶段的目标，例如长期目标、中期目标、短期目标。要求突出各阶段的工作重点。</w:t>
            </w:r>
          </w:p>
          <w:p>
            <w:pPr>
              <w:tabs>
                <w:tab w:val="left" w:pos="720"/>
              </w:tabs>
              <w:spacing w:line="460" w:lineRule="exact"/>
              <w:rPr>
                <w:rFonts w:ascii="SimHei" w:hAnsi="SimHei" w:eastAsia="黑体" w:cs="SimHei"/>
                <w:szCs w:val="21"/>
              </w:rPr>
            </w:pPr>
            <w:r>
              <w:rPr>
                <w:rFonts w:ascii="SimHei" w:hAnsi="SimHei" w:eastAsia="黑体" w:cs="SimHei"/>
                <w:b/>
                <w:szCs w:val="21"/>
              </w:rPr>
              <w:t>3.2 建设思路：</w:t>
            </w:r>
            <w:r>
              <w:rPr>
                <w:rFonts w:ascii="SimHei" w:hAnsi="SimHei" w:eastAsia="黑体" w:cs="SimHei"/>
                <w:szCs w:val="21"/>
              </w:rPr>
              <w:t>就企业文化建设的总体思路进行相关说明。例如，通过什么路径与方法来实现预定目标。</w:t>
            </w:r>
          </w:p>
          <w:p>
            <w:pPr>
              <w:tabs>
                <w:tab w:val="left" w:pos="720"/>
              </w:tabs>
              <w:spacing w:line="460" w:lineRule="exact"/>
              <w:rPr>
                <w:rFonts w:ascii="SimHei" w:hAnsi="SimHei" w:eastAsia="黑体" w:cs="SimHei"/>
                <w:i/>
                <w:szCs w:val="21"/>
              </w:rPr>
            </w:pPr>
            <w:r>
              <w:rPr>
                <w:rFonts w:ascii="SimHei" w:hAnsi="SimHei" w:eastAsia="黑体" w:cs="SimHei"/>
                <w:b/>
                <w:szCs w:val="21"/>
              </w:rPr>
              <w:t>3.3 总体实施计划。</w:t>
            </w:r>
            <w:r>
              <w:rPr>
                <w:rFonts w:ascii="SimHei" w:hAnsi="SimHei" w:eastAsia="黑体" w:cs="SimHei"/>
                <w:szCs w:val="21"/>
              </w:rPr>
              <w:t>主要指企业文化建设实施方案的相关内容，即企业文化建设的具体措施。例如，按照“企业文化建设八大体系”的构建内容来简单描述。</w:t>
            </w:r>
            <w:r>
              <w:rPr>
                <w:rFonts w:ascii="SimHei" w:hAnsi="SimHei" w:eastAsia="黑体" w:cs="SimHei"/>
                <w:i/>
                <w:szCs w:val="21"/>
              </w:rPr>
              <w:t>（该部分内容是本办法中的重要内容之一，详细方案可作为附件）</w:t>
            </w:r>
          </w:p>
          <w:p>
            <w:pPr>
              <w:tabs>
                <w:tab w:val="left" w:pos="720"/>
              </w:tabs>
              <w:spacing w:line="460" w:lineRule="exact"/>
              <w:rPr>
                <w:rFonts w:ascii="SimHei" w:hAnsi="SimHei" w:eastAsia="黑体" w:cs="SimHei"/>
                <w:b/>
                <w:szCs w:val="21"/>
              </w:rPr>
            </w:pPr>
            <w:r>
              <w:rPr>
                <w:rFonts w:ascii="SimHei" w:hAnsi="SimHei" w:eastAsia="黑体" w:cs="SimHei"/>
                <w:b/>
                <w:szCs w:val="21"/>
              </w:rPr>
              <w:t>3.4 近期工作计划。</w:t>
            </w:r>
            <w:r>
              <w:rPr>
                <w:rFonts w:ascii="SimHei" w:hAnsi="SimHei" w:eastAsia="黑体" w:cs="SimHei"/>
                <w:szCs w:val="21"/>
              </w:rPr>
              <w:t>主要就短期内的工作目标、工作重点、主要工作内容、工作任务分配、工作进度等进行明确。在内容呈现形式上，可以相对灵活一些，例如，可以按照“重点工程”的形式分别列出。</w:t>
            </w:r>
            <w:r>
              <w:rPr>
                <w:rFonts w:ascii="SimHei" w:hAnsi="SimHei" w:eastAsia="黑体" w:cs="SimHei"/>
                <w:i/>
                <w:szCs w:val="21"/>
              </w:rPr>
              <w:t>（该部分内容是本办法中的重要内容之一，详细方案可作为附件）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四、企业文化建设管理</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szCs w:val="21"/>
              </w:rPr>
              <w:t>主要指日常工作的管理。例如</w:t>
            </w:r>
            <w:r>
              <w:rPr>
                <w:rFonts w:ascii="SimHei" w:hAnsi="SimHei" w:eastAsia="黑体" w:cs="SimHei"/>
                <w:b/>
                <w:szCs w:val="21"/>
              </w:rPr>
              <w:t>工作计划管理/目标管理、工作总结与改进管理、工作监督与考核管理、案例征集管理、重要活动报批管理、重点项目建设管理、企业文化宣传管理、企业文化培训管理、数据与信息管理、经费预算管理、保障措施</w:t>
            </w:r>
            <w:r>
              <w:rPr>
                <w:rFonts w:ascii="SimHei" w:hAnsi="SimHei" w:eastAsia="黑体" w:cs="SimHei"/>
                <w:szCs w:val="21"/>
              </w:rPr>
              <w:t>等。其中涉及流程管理的表格，可以以附件形式体现。</w:t>
            </w:r>
          </w:p>
          <w:p>
            <w:pPr>
              <w:tabs>
                <w:tab w:val="left" w:pos="720"/>
              </w:tabs>
              <w:spacing w:line="460" w:lineRule="exact"/>
              <w:rPr>
                <w:rFonts w:ascii="SimHei" w:hAnsi="SimHei" w:eastAsia="黑体" w:cs="SimHei"/>
                <w:szCs w:val="21"/>
              </w:rPr>
            </w:pPr>
            <w:r>
              <w:rPr>
                <w:rFonts w:ascii="SimHei" w:hAnsi="SimHei" w:eastAsia="黑体" w:cs="SimHei"/>
                <w:i/>
                <w:szCs w:val="21"/>
              </w:rPr>
              <w:t>（由于每个企业规模及其组织结构不一样，具体的管理措施内容，这里就不一一列出了，尤其是一些中小企业，本身组织结构简单且企业文化建设工作内容相对简单，只需将日常管理的一些事项与要求一一列出即可，无需复杂的宣传管理、培训管理以及流程表，等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五、企业文化建设考核</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5.1 考核目标</w:t>
            </w:r>
            <w:r>
              <w:rPr>
                <w:rFonts w:ascii="SimHei" w:hAnsi="SimHei" w:eastAsia="黑体" w:cs="SimHei"/>
                <w:szCs w:val="21"/>
              </w:rPr>
              <w:t>：企业文化建设考核工作的目的。</w:t>
            </w:r>
          </w:p>
          <w:p>
            <w:pPr>
              <w:tabs>
                <w:tab w:val="left" w:pos="720"/>
              </w:tabs>
              <w:spacing w:line="460" w:lineRule="exact"/>
              <w:rPr>
                <w:rFonts w:ascii="SimHei" w:hAnsi="SimHei" w:eastAsia="黑体" w:cs="SimHei"/>
                <w:szCs w:val="21"/>
              </w:rPr>
            </w:pPr>
            <w:r>
              <w:rPr>
                <w:rFonts w:ascii="SimHei" w:hAnsi="SimHei" w:eastAsia="黑体" w:cs="SimHei"/>
                <w:b/>
                <w:szCs w:val="21"/>
              </w:rPr>
              <w:t>5.2 考核原则：</w:t>
            </w:r>
            <w:r>
              <w:rPr>
                <w:rFonts w:ascii="SimHei" w:hAnsi="SimHei" w:eastAsia="黑体" w:cs="SimHei"/>
                <w:szCs w:val="21"/>
              </w:rPr>
              <w:t>例如公平公正、绩效优先。</w:t>
            </w:r>
          </w:p>
          <w:p>
            <w:pPr>
              <w:tabs>
                <w:tab w:val="left" w:pos="720"/>
              </w:tabs>
              <w:spacing w:line="460" w:lineRule="exact"/>
              <w:rPr>
                <w:rFonts w:ascii="SimHei" w:hAnsi="SimHei" w:eastAsia="黑体" w:cs="SimHei"/>
                <w:szCs w:val="21"/>
              </w:rPr>
            </w:pPr>
            <w:r>
              <w:rPr>
                <w:rFonts w:ascii="SimHei" w:hAnsi="SimHei" w:eastAsia="黑体" w:cs="SimHei"/>
                <w:b/>
                <w:szCs w:val="21"/>
              </w:rPr>
              <w:t>5.3 考核对象：</w:t>
            </w:r>
            <w:r>
              <w:rPr>
                <w:rFonts w:ascii="SimHei" w:hAnsi="SimHei" w:eastAsia="黑体" w:cs="SimHei"/>
                <w:szCs w:val="21"/>
              </w:rPr>
              <w:t>企业文化建设考核的对象一般包括部门、员工。</w:t>
            </w:r>
          </w:p>
          <w:p>
            <w:pPr>
              <w:tabs>
                <w:tab w:val="left" w:pos="720"/>
              </w:tabs>
              <w:spacing w:line="460" w:lineRule="exact"/>
              <w:rPr>
                <w:rFonts w:ascii="SimHei" w:hAnsi="SimHei" w:eastAsia="黑体" w:cs="SimHei"/>
                <w:szCs w:val="21"/>
              </w:rPr>
            </w:pPr>
            <w:r>
              <w:rPr>
                <w:rFonts w:ascii="SimHei" w:hAnsi="SimHei" w:eastAsia="黑体" w:cs="SimHei"/>
                <w:b/>
                <w:szCs w:val="21"/>
              </w:rPr>
              <w:t>5.4 考核办法：</w:t>
            </w:r>
            <w:r>
              <w:rPr>
                <w:rFonts w:ascii="SimHei" w:hAnsi="SimHei" w:eastAsia="黑体" w:cs="SimHei"/>
                <w:szCs w:val="21"/>
              </w:rPr>
              <w:t>采取的考核方式（例如定性考核与定量考核、自我评估与他人评估等）、考核周期、考核指标等具体考核工作实施的内容。</w:t>
            </w:r>
          </w:p>
          <w:p>
            <w:pPr>
              <w:tabs>
                <w:tab w:val="left" w:pos="720"/>
              </w:tabs>
              <w:spacing w:line="460" w:lineRule="exact"/>
              <w:rPr>
                <w:rFonts w:ascii="SimHei" w:hAnsi="SimHei" w:eastAsia="黑体" w:cs="SimHei"/>
                <w:szCs w:val="21"/>
              </w:rPr>
            </w:pPr>
            <w:r>
              <w:rPr>
                <w:rFonts w:ascii="SimHei" w:hAnsi="SimHei" w:eastAsia="黑体" w:cs="SimHei"/>
                <w:b/>
                <w:szCs w:val="21"/>
              </w:rPr>
              <w:t>5.5 考核激励：</w:t>
            </w:r>
            <w:r>
              <w:rPr>
                <w:rFonts w:ascii="SimHei" w:hAnsi="SimHei" w:eastAsia="黑体" w:cs="SimHei"/>
                <w:szCs w:val="21"/>
              </w:rPr>
              <w:t xml:space="preserve">主要指考核结果与薪酬、晋升、评先评优之间关系的说明。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六、附则</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szCs w:val="21"/>
              </w:rPr>
              <w:t>6.1 本办法解释权归属说明。</w:t>
            </w:r>
          </w:p>
          <w:p>
            <w:pPr>
              <w:tabs>
                <w:tab w:val="left" w:pos="720"/>
              </w:tabs>
              <w:spacing w:line="460" w:lineRule="exact"/>
              <w:rPr>
                <w:rFonts w:ascii="SimHei" w:hAnsi="SimHei" w:eastAsia="黑体" w:cs="SimHei"/>
                <w:szCs w:val="21"/>
              </w:rPr>
            </w:pPr>
            <w:r>
              <w:rPr>
                <w:rFonts w:ascii="SimHei" w:hAnsi="SimHei" w:eastAsia="黑体" w:cs="SimHei"/>
                <w:szCs w:val="21"/>
              </w:rPr>
              <w:t>6.2 本办法拟定、修改、审批说明。</w:t>
            </w:r>
          </w:p>
          <w:p>
            <w:pPr>
              <w:tabs>
                <w:tab w:val="left" w:pos="720"/>
              </w:tabs>
              <w:spacing w:line="460" w:lineRule="exact"/>
              <w:rPr>
                <w:rFonts w:ascii="SimHei" w:hAnsi="SimHei" w:eastAsia="黑体" w:cs="SimHei"/>
                <w:szCs w:val="21"/>
              </w:rPr>
            </w:pPr>
            <w:r>
              <w:rPr>
                <w:rFonts w:ascii="SimHei" w:hAnsi="SimHei" w:eastAsia="黑体" w:cs="SimHei"/>
                <w:szCs w:val="21"/>
              </w:rPr>
              <w:t>6.3 本办法生效说明。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七、附件</w:t>
            </w:r>
          </w:p>
        </w:tc>
        <w:tc>
          <w:tcPr>
            <w:tcW w:w="6946" w:type="dxa"/>
            <w:noWrap w:val="0"/>
            <w:vAlign w:val="top"/>
          </w:tcPr>
          <w:p>
            <w:pPr>
              <w:tabs>
                <w:tab w:val="left" w:pos="720"/>
              </w:tabs>
              <w:spacing w:line="460" w:lineRule="exact"/>
              <w:rPr>
                <w:rFonts w:ascii="SimHei" w:hAnsi="SimHei" w:eastAsia="黑体" w:cs="SimHei"/>
                <w:i/>
                <w:szCs w:val="21"/>
              </w:rPr>
            </w:pPr>
            <w:r>
              <w:rPr>
                <w:rFonts w:ascii="SimHei" w:hAnsi="SimHei" w:eastAsia="黑体" w:cs="SimHei"/>
                <w:i/>
                <w:szCs w:val="21"/>
              </w:rPr>
              <w:t>以下为有关附件清单，仅供参考，企业根据实际需求来安排内容：</w:t>
            </w:r>
          </w:p>
          <w:p>
            <w:pPr>
              <w:tabs>
                <w:tab w:val="left" w:pos="720"/>
              </w:tabs>
              <w:spacing w:line="460" w:lineRule="exact"/>
              <w:rPr>
                <w:rFonts w:ascii="SimHei" w:hAnsi="SimHei" w:eastAsia="黑体" w:cs="SimHei"/>
                <w:szCs w:val="21"/>
              </w:rPr>
            </w:pPr>
            <w:r>
              <w:rPr>
                <w:rFonts w:ascii="SimHei" w:hAnsi="SimHei" w:eastAsia="黑体" w:cs="SimHei"/>
                <w:szCs w:val="21"/>
              </w:rPr>
              <w:t>7.1 企业文化建设三年规划（详细版）</w:t>
            </w:r>
          </w:p>
          <w:p>
            <w:pPr>
              <w:tabs>
                <w:tab w:val="left" w:pos="720"/>
              </w:tabs>
              <w:spacing w:line="460" w:lineRule="exact"/>
              <w:rPr>
                <w:rFonts w:ascii="SimHei" w:hAnsi="SimHei" w:eastAsia="黑体" w:cs="SimHei"/>
                <w:szCs w:val="21"/>
              </w:rPr>
            </w:pPr>
            <w:r>
              <w:rPr>
                <w:rFonts w:ascii="SimHei" w:hAnsi="SimHei" w:eastAsia="黑体" w:cs="SimHei"/>
                <w:szCs w:val="21"/>
              </w:rPr>
              <w:t>7.2 企业文化宣贯队伍建设管理办法</w:t>
            </w:r>
          </w:p>
          <w:p>
            <w:pPr>
              <w:tabs>
                <w:tab w:val="left" w:pos="720"/>
              </w:tabs>
              <w:spacing w:line="460" w:lineRule="exact"/>
              <w:rPr>
                <w:rFonts w:ascii="SimHei" w:hAnsi="SimHei" w:eastAsia="黑体" w:cs="SimHei"/>
                <w:szCs w:val="21"/>
              </w:rPr>
            </w:pPr>
            <w:r>
              <w:rPr>
                <w:rFonts w:ascii="SimHei" w:hAnsi="SimHei" w:eastAsia="黑体" w:cs="SimHei"/>
                <w:szCs w:val="21"/>
              </w:rPr>
              <w:t>7.3 企业文化培训管理办法</w:t>
            </w:r>
          </w:p>
          <w:p>
            <w:pPr>
              <w:tabs>
                <w:tab w:val="left" w:pos="720"/>
              </w:tabs>
              <w:spacing w:line="460" w:lineRule="exact"/>
              <w:rPr>
                <w:rFonts w:ascii="SimHei" w:hAnsi="SimHei" w:eastAsia="黑体" w:cs="SimHei"/>
                <w:szCs w:val="21"/>
              </w:rPr>
            </w:pPr>
            <w:r>
              <w:rPr>
                <w:rFonts w:ascii="SimHei" w:hAnsi="SimHei" w:eastAsia="黑体" w:cs="SimHei"/>
                <w:szCs w:val="21"/>
              </w:rPr>
              <w:t>7.4 企业文化宣传管理办法</w:t>
            </w:r>
          </w:p>
          <w:p>
            <w:pPr>
              <w:tabs>
                <w:tab w:val="left" w:pos="720"/>
              </w:tabs>
              <w:spacing w:line="460" w:lineRule="exact"/>
              <w:rPr>
                <w:rFonts w:ascii="SimHei" w:hAnsi="SimHei" w:eastAsia="黑体" w:cs="SimHei"/>
                <w:szCs w:val="21"/>
              </w:rPr>
            </w:pPr>
            <w:r>
              <w:rPr>
                <w:rFonts w:ascii="SimHei" w:hAnsi="SimHei" w:eastAsia="黑体" w:cs="SimHei"/>
                <w:szCs w:val="21"/>
              </w:rPr>
              <w:t>7.5 企业文化评价与考核管理办法</w:t>
            </w:r>
          </w:p>
          <w:p>
            <w:pPr>
              <w:tabs>
                <w:tab w:val="left" w:pos="720"/>
              </w:tabs>
              <w:spacing w:line="460" w:lineRule="exact"/>
              <w:rPr>
                <w:rFonts w:ascii="SimHei" w:hAnsi="SimHei" w:eastAsia="黑体" w:cs="SimHei"/>
                <w:szCs w:val="21"/>
              </w:rPr>
            </w:pPr>
            <w:r>
              <w:rPr>
                <w:rFonts w:ascii="SimHei" w:hAnsi="SimHei" w:eastAsia="黑体" w:cs="SimHei"/>
                <w:szCs w:val="21"/>
              </w:rPr>
              <w:t>7.6 企业文化日常工作管理流程表</w:t>
            </w:r>
          </w:p>
          <w:p>
            <w:pPr>
              <w:tabs>
                <w:tab w:val="left" w:pos="720"/>
              </w:tabs>
              <w:spacing w:line="460" w:lineRule="exact"/>
              <w:rPr>
                <w:rFonts w:ascii="SimHei" w:hAnsi="SimHei" w:eastAsia="黑体" w:cs="SimHei"/>
                <w:szCs w:val="21"/>
              </w:rPr>
            </w:pPr>
            <w:r>
              <w:rPr>
                <w:rFonts w:ascii="SimHei" w:hAnsi="SimHei" w:eastAsia="黑体" w:cs="SimHei"/>
                <w:szCs w:val="21"/>
              </w:rPr>
              <w:t>7.7 企业文化案例征集表</w:t>
            </w:r>
          </w:p>
          <w:p>
            <w:pPr>
              <w:tabs>
                <w:tab w:val="left" w:pos="720"/>
              </w:tabs>
              <w:spacing w:line="460" w:lineRule="exact"/>
              <w:rPr>
                <w:rFonts w:ascii="SimHei" w:hAnsi="SimHei" w:eastAsia="黑体" w:cs="SimHei"/>
                <w:szCs w:val="21"/>
              </w:rPr>
            </w:pPr>
            <w:r>
              <w:rPr>
                <w:rFonts w:ascii="SimHei" w:hAnsi="SimHei" w:eastAsia="黑体" w:cs="SimHei"/>
                <w:szCs w:val="21"/>
              </w:rPr>
              <w:t>7.8 企业文化建设预算表</w:t>
            </w:r>
          </w:p>
        </w:tc>
      </w:tr>
    </w:tbl>
    <w:p>
      <w:pPr>
        <w:jc w:val="center"/>
        <w:rPr>
          <w:rFonts w:ascii="SimHei" w:hAnsi="SimHei" w:eastAsia="黑体" w:cs="SimHei"/>
          <w:b/>
          <w:sz w:val="24"/>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企业文化建设实务——企业文化保障体系构建——实用工具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6442A"/>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740B5A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4</Pages>
  <Words>307</Words>
  <Characters>1750</Characters>
  <Lines>14</Lines>
  <Paragraphs>4</Paragraphs>
  <TotalTime>0</TotalTime>
  <ScaleCrop>false</ScaleCrop>
  <LinksUpToDate>false</LinksUpToDate>
  <CharactersWithSpaces>2053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2020-05-27T14:06:26Z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v1.0_mb_ZL+K4HfURToIsydPgwDdSw==</vt:lpwstr>
  </property>
</Properties>
</file>