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-1079500</wp:posOffset>
                </wp:positionH>
                <wp:positionV relativeFrom="paragraph">
                  <wp:posOffset>-902335</wp:posOffset>
                </wp:positionV>
                <wp:extent cx="7601585" cy="10671810"/>
                <wp:effectExtent l="0" t="0" r="0" b="0"/>
                <wp:wrapSquare wrapText="bothSides"/>
                <wp:docPr id="1" name="图片框 12"/>
                <a:graphic xmlns:a="http://schemas.openxmlformats.org/drawingml/2006/main">
                  <a:graphicData uri="http://schemas.openxmlformats.org/drawingml/2006/picture">
                    <pic:pic xmlns:pic="http://schemas.openxmlformats.org/drawingml/2006/picture">
                      <pic:nvPicPr>
                        <pic:cNvPr id="0" name="图片框 12" descr=""/>
                        <pic:cNvPicPr/>
                      </pic:nvPicPr>
                      <pic:blipFill>
                        <a:blip r:embed="rId2"/>
                        <a:stretch/>
                      </pic:blipFill>
                      <pic:spPr>
                        <a:xfrm>
                          <a:off x="0" y="0"/>
                          <a:ext cx="7601040" cy="1067112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2" stroked="f" style="position:absolute;margin-left:-85pt;margin-top:-71.05pt;width:598.45pt;height:840.2pt;mso-wrap-style:none;v-text-anchor:middle" type="shapetype_75">
                <v:imagedata r:id="rId2" o:detectmouseclick="t"/>
                <v:stroke color="#3465a4" joinstyle="round" endcap="flat"/>
                <w10:wrap type="square"/>
              </v:shape>
            </w:pict>
          </mc:Fallback>
        </mc:AlternateContent>
      </w:r>
      <w:bookmarkStart w:id="0" w:name="_GoBack"/>
      <w:bookmarkStart w:id="1" w:name="_GoBack"/>
      <w:bookmarkEnd w:id="1"/>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eastAsia="微软雅黑" w:ascii="微软雅黑" w:hAnsi="微软雅黑"/>
          <w:b/>
          <w:color w:val="0070C0"/>
          <w:sz w:val="44"/>
          <w:szCs w:val="44"/>
        </w:rPr>
        <w:t xml:space="preserve"> </w:t>
      </w:r>
      <w:r>
        <w:rPr>
          <w:rFonts w:ascii="微软雅黑" w:hAnsi="微软雅黑" w:eastAsia="微软雅黑"/>
          <w:b/>
          <w:color w:val="0070C0"/>
          <w:sz w:val="44"/>
          <w:szCs w:val="44"/>
        </w:rPr>
        <w:t>行政管理部门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本表格列出了行政管理部门常用的关键绩效考核指标（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60</w:t>
      </w:r>
      <w:r>
        <w:rPr>
          <w:rFonts w:ascii="微软雅黑" w:hAnsi="微软雅黑" w:eastAsia="微软雅黑"/>
          <w:b/>
          <w:color w:val="FF0000"/>
          <w:sz w:val="32"/>
          <w:szCs w:val="32"/>
        </w:rPr>
        <w:t>余项</w:t>
      </w:r>
      <w:r>
        <w:rPr>
          <w:rFonts w:ascii="微软雅黑" w:hAnsi="微软雅黑" w:eastAsia="微软雅黑"/>
          <w:sz w:val="32"/>
          <w:szCs w:val="32"/>
        </w:rPr>
        <w:t>。</w:t>
      </w:r>
      <w:r>
        <w:rPr>
          <w:rFonts w:ascii="微软雅黑" w:hAnsi="微软雅黑" w:eastAsia="微软雅黑"/>
          <w:b/>
          <w:sz w:val="32"/>
          <w:szCs w:val="32"/>
        </w:rPr>
        <w:t>具体包括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700"/>
        <w:ind w:start="-424" w:end="-567" w:firstLine="624"/>
        <w:jc w:val="start"/>
        <w:rPr>
          <w:rFonts w:ascii="微软雅黑" w:hAnsi="微软雅黑" w:eastAsia="微软雅黑"/>
          <w:sz w:val="32"/>
          <w:szCs w:val="32"/>
        </w:rPr>
      </w:pPr>
      <w:r>
        <w:rPr>
          <w:rFonts w:eastAsia="微软雅黑" w:ascii="微软雅黑" w:hAnsi="微软雅黑"/>
          <w:sz w:val="32"/>
          <w:szCs w:val="32"/>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018" w:type="dxa"/>
        <w:jc w:val="start"/>
        <w:tblInd w:w="-459" w:type="dxa"/>
        <w:tblLayout w:type="fixed"/>
        <w:tblCellMar>
          <w:top w:w="0" w:type="dxa"/>
          <w:start w:w="108" w:type="dxa"/>
          <w:bottom w:w="0" w:type="dxa"/>
          <w:end w:w="108" w:type="dxa"/>
        </w:tblCellMar>
      </w:tblPr>
      <w:tblGrid>
        <w:gridCol w:w="1300"/>
        <w:gridCol w:w="1240"/>
        <w:gridCol w:w="1570"/>
        <w:gridCol w:w="3828"/>
        <w:gridCol w:w="2976"/>
        <w:gridCol w:w="1134"/>
        <w:gridCol w:w="851"/>
        <w:gridCol w:w="1134"/>
        <w:gridCol w:w="1134"/>
        <w:gridCol w:w="849"/>
      </w:tblGrid>
      <w:tr>
        <w:trPr>
          <w:tblHeader w:val="true"/>
          <w:trHeight w:val="660" w:hRule="atLeast"/>
        </w:trPr>
        <w:tc>
          <w:tcPr>
            <w:tcW w:w="1300"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7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3828"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2976"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851"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134"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849"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1515" w:hRule="atLeast"/>
        </w:trPr>
        <w:tc>
          <w:tcPr>
            <w:tcW w:w="1300"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文件、档案及信息管理</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文件完成及信息传递</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文件完成以及信息提交及时性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未及时办理或者完成规定提交的文件、信息，一次扣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文件、档案及信息包括公司拟定的管理规定、领导发言稿、重要电话记录、会议记录、各类工作报告、信息报告、公司资质文件、合同审批、领导要求整理的有关信息数据等等。</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文件及信息提交完成合格率</w:t>
            </w:r>
            <w:r>
              <w:rPr>
                <w:rFonts w:cs="宋体" w:ascii="宋体" w:hAnsi="宋体"/>
                <w:color w:val="000000"/>
                <w:kern w:val="0"/>
                <w:sz w:val="22"/>
                <w:szCs w:val="22"/>
              </w:rPr>
              <w:t>/</w:t>
            </w:r>
            <w:r>
              <w:rPr>
                <w:rFonts w:ascii="宋体" w:hAnsi="宋体" w:cs="宋体"/>
                <w:color w:val="000000"/>
                <w:kern w:val="0"/>
                <w:sz w:val="22"/>
                <w:szCs w:val="22"/>
              </w:rPr>
              <w:t>质量</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文件、信息提交完成质量不合格，一次扣</w:t>
            </w:r>
            <w:r>
              <w:rPr>
                <w:rFonts w:cs="宋体" w:ascii="宋体" w:hAnsi="宋体"/>
                <w:color w:val="000000"/>
                <w:kern w:val="0"/>
                <w:sz w:val="22"/>
                <w:szCs w:val="22"/>
              </w:rPr>
              <w:t>2</w:t>
            </w:r>
            <w:r>
              <w:rPr>
                <w:rFonts w:ascii="宋体" w:hAnsi="宋体" w:cs="宋体"/>
                <w:color w:val="000000"/>
                <w:kern w:val="0"/>
                <w:sz w:val="22"/>
                <w:szCs w:val="22"/>
              </w:rPr>
              <w:t>分，扣完为止。合格标准依据公司相关管理规定或者领导的评判意见。</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8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信息传递及时性及准确性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主要指各类通知、文件资料、数据报告、重要信息等上传下达的及时性及准确性，一次不及时或者不准确，扣</w:t>
            </w:r>
            <w:r>
              <w:rPr>
                <w:rFonts w:cs="宋体" w:ascii="宋体" w:hAnsi="宋体"/>
                <w:color w:val="000000"/>
                <w:kern w:val="0"/>
                <w:sz w:val="22"/>
                <w:szCs w:val="22"/>
              </w:rPr>
              <w:t>2</w:t>
            </w:r>
            <w:r>
              <w:rPr>
                <w:rFonts w:ascii="宋体" w:hAnsi="宋体" w:cs="宋体"/>
                <w:color w:val="000000"/>
                <w:kern w:val="0"/>
                <w:sz w:val="22"/>
                <w:szCs w:val="22"/>
              </w:rPr>
              <w:t>分，扣完为止。</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6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文件归档管理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各类文件、材料、信息归档及时性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未及时归档或整理，一次扣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分。具体归档、整理要求，依据公司相关管理规定，不同的文件、材料要求应该有所不同。</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档案资料完整性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分类准确无误，且完整、无遗漏。未按要求分类归档，每次扣</w:t>
            </w:r>
            <w:r>
              <w:rPr>
                <w:rFonts w:cs="宋体" w:ascii="宋体" w:hAnsi="宋体"/>
                <w:color w:val="000000"/>
                <w:kern w:val="0"/>
                <w:sz w:val="22"/>
                <w:szCs w:val="22"/>
              </w:rPr>
              <w:t>2</w:t>
            </w:r>
            <w:r>
              <w:rPr>
                <w:rFonts w:ascii="宋体" w:hAnsi="宋体" w:cs="宋体"/>
                <w:color w:val="000000"/>
                <w:kern w:val="0"/>
                <w:sz w:val="22"/>
                <w:szCs w:val="22"/>
              </w:rPr>
              <w:t>分，扣完为止；未能有效地保管，则此项配分全扣。</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档案资料保管的规范性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出现不规范现象一次，扣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分。不规范是指没有按照公司《档案管理规定》进行档案资料保管。</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各类文件、材料、信息归档准确性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归档、整理出现错误，一次扣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分。错误主要指文档归档记录、存档位置等出现差错。</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7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数据库管理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公司数据库建设（包括在线数据库）</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包括各类数据、信息的归类整理。未按《数据信息管理规定》完成工作，一次扣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行政管理部、信息部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档案管理员、行政主管以上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65"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保密管理</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数据信息（包括法律相关信息与文件）泄露发生一次，影响不大的扣</w:t>
            </w:r>
            <w:r>
              <w:rPr>
                <w:rFonts w:cs="宋体" w:ascii="宋体" w:hAnsi="宋体"/>
                <w:color w:val="000000"/>
                <w:kern w:val="0"/>
                <w:sz w:val="22"/>
                <w:szCs w:val="22"/>
              </w:rPr>
              <w:t>5</w:t>
            </w:r>
            <w:r>
              <w:rPr>
                <w:rFonts w:ascii="宋体" w:hAnsi="宋体" w:cs="宋体"/>
                <w:color w:val="000000"/>
                <w:kern w:val="0"/>
                <w:sz w:val="22"/>
                <w:szCs w:val="22"/>
              </w:rPr>
              <w:t>分，造成公司严重损失的，此项配分全无，且追求其法律责任。</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restart"/>
            <w:tcBorders>
              <w:top w:val="single" w:sz="4" w:space="0" w:color="000000"/>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会议及活动（内部活动，例如年会、员工活动）组织与管理</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组织与安排</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组织与安排的及时性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未及时组织并安排公司定期及不定期的会议以及各类活动，一次扣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行政秘书、行政主管以上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65"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组织与安排的准确性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会议或者活动组织、安排出现错误，一次扣</w:t>
            </w:r>
            <w:r>
              <w:rPr>
                <w:rFonts w:cs="宋体" w:ascii="宋体" w:hAnsi="宋体"/>
                <w:color w:val="000000"/>
                <w:kern w:val="0"/>
                <w:sz w:val="22"/>
                <w:szCs w:val="22"/>
              </w:rPr>
              <w:t>2</w:t>
            </w:r>
            <w:r>
              <w:rPr>
                <w:rFonts w:ascii="宋体" w:hAnsi="宋体" w:cs="宋体"/>
                <w:color w:val="000000"/>
                <w:kern w:val="0"/>
                <w:sz w:val="22"/>
                <w:szCs w:val="22"/>
              </w:rPr>
              <w:t>分，扣完为止。错误主要指会议室安排冲突、通知错误等。</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行政秘书、行政主管以上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65"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会议及活动执行情况</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完成质量</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会议及活动的完成符合计划要求，且达到预期效果。未达成，一次扣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行政秘书、行政主管以上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服务能力</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会议及活动服务遭员工投诉，一次扣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行政秘书、行政主管以上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95" w:hRule="atLeast"/>
        </w:trPr>
        <w:tc>
          <w:tcPr>
            <w:tcW w:w="1300" w:type="dxa"/>
            <w:vMerge w:val="restart"/>
            <w:tcBorders>
              <w:top w:val="single" w:sz="4" w:space="0" w:color="000000"/>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来客接待与内部领导、员工差旅安排</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来客接待</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接待的及时性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未及时接待来访客人，一次扣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行政管理部、客户满意度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行政秘书、前台、司机、行政主管以上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接待的工作质量</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接待工作不符合标准与要求，一次扣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行政管理部、客户满意度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行政秘书、前台、司机、行政主管以上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差旅安排</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差旅安排工作完成质量</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出现不及时或者预订差错等，一次扣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分。（严重影响公司的业务谈判或者重要事项安排，除了扣分以外，还将另行惩罚）</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行政秘书、前台、行政主管以上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top w:val="single" w:sz="4" w:space="0" w:color="000000"/>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内部服务态度</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工作服务态度</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工作过程中遭内部员工或者客户投诉，一次扣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行政秘书、前台、司机、行政主管以上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495" w:hRule="atLeast"/>
        </w:trPr>
        <w:tc>
          <w:tcPr>
            <w:tcW w:w="1300"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车辆使用管理</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车辆运行管理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出车及时性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投诉一次不及时扣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3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油耗控制率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油耗控制率</w:t>
            </w:r>
            <w:r>
              <w:rPr>
                <w:rFonts w:cs="宋体" w:ascii="宋体" w:hAnsi="宋体"/>
                <w:color w:val="000000"/>
                <w:kern w:val="0"/>
                <w:sz w:val="22"/>
                <w:szCs w:val="22"/>
              </w:rPr>
              <w:t>=</w:t>
            </w:r>
            <w:r>
              <w:rPr>
                <w:rFonts w:ascii="宋体" w:hAnsi="宋体" w:cs="宋体"/>
                <w:color w:val="000000"/>
                <w:kern w:val="0"/>
                <w:sz w:val="22"/>
                <w:szCs w:val="22"/>
              </w:rPr>
              <w:t>单次实际油耗</w:t>
            </w:r>
            <w:r>
              <w:rPr>
                <w:rFonts w:cs="宋体" w:ascii="宋体" w:hAnsi="宋体"/>
                <w:color w:val="000000"/>
                <w:kern w:val="0"/>
                <w:sz w:val="22"/>
                <w:szCs w:val="22"/>
              </w:rPr>
              <w:t>÷</w:t>
            </w:r>
            <w:r>
              <w:rPr>
                <w:rFonts w:ascii="宋体" w:hAnsi="宋体" w:cs="宋体"/>
                <w:color w:val="000000"/>
                <w:kern w:val="0"/>
                <w:sz w:val="22"/>
                <w:szCs w:val="22"/>
              </w:rPr>
              <w:t>单次油耗标准</w:t>
            </w:r>
            <w:r>
              <w:rPr>
                <w:rFonts w:cs="宋体" w:ascii="宋体" w:hAnsi="宋体"/>
                <w:color w:val="000000"/>
                <w:kern w:val="0"/>
                <w:sz w:val="22"/>
                <w:szCs w:val="22"/>
              </w:rPr>
              <w:t>×100</w:t>
            </w:r>
            <w:r>
              <w:rPr>
                <w:rFonts w:ascii="宋体" w:hAnsi="宋体" w:cs="宋体"/>
                <w:color w:val="000000"/>
                <w:kern w:val="0"/>
                <w:sz w:val="22"/>
                <w:szCs w:val="22"/>
              </w:rPr>
              <w:t>％（单次油耗标准</w:t>
            </w:r>
            <w:r>
              <w:rPr>
                <w:rFonts w:cs="宋体" w:ascii="宋体" w:hAnsi="宋体"/>
                <w:color w:val="000000"/>
                <w:kern w:val="0"/>
                <w:sz w:val="22"/>
                <w:szCs w:val="22"/>
              </w:rPr>
              <w:t>=</w:t>
            </w:r>
            <w:r>
              <w:rPr>
                <w:rFonts w:ascii="宋体" w:hAnsi="宋体" w:cs="宋体"/>
                <w:color w:val="000000"/>
                <w:kern w:val="0"/>
                <w:sz w:val="22"/>
                <w:szCs w:val="22"/>
              </w:rPr>
              <w:t>每公里油耗标准</w:t>
            </w:r>
            <w:r>
              <w:rPr>
                <w:rFonts w:cs="宋体" w:ascii="宋体" w:hAnsi="宋体"/>
                <w:color w:val="000000"/>
                <w:kern w:val="0"/>
                <w:sz w:val="22"/>
                <w:szCs w:val="22"/>
              </w:rPr>
              <w:t>×</w:t>
            </w:r>
            <w:r>
              <w:rPr>
                <w:rFonts w:ascii="宋体" w:hAnsi="宋体" w:cs="宋体"/>
                <w:color w:val="000000"/>
                <w:kern w:val="0"/>
                <w:sz w:val="22"/>
                <w:szCs w:val="22"/>
              </w:rPr>
              <w:t>该次里程）</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车辆使用超时率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车辆使用超时率</w:t>
            </w:r>
            <w:r>
              <w:rPr>
                <w:rFonts w:cs="宋体" w:ascii="宋体" w:hAnsi="宋体"/>
                <w:color w:val="000000"/>
                <w:kern w:val="0"/>
                <w:sz w:val="22"/>
                <w:szCs w:val="22"/>
              </w:rPr>
              <w:t>=</w:t>
            </w:r>
            <w:r>
              <w:rPr>
                <w:rFonts w:ascii="宋体" w:hAnsi="宋体" w:cs="宋体"/>
                <w:color w:val="000000"/>
                <w:kern w:val="0"/>
                <w:sz w:val="22"/>
                <w:szCs w:val="22"/>
              </w:rPr>
              <w:t>超时次数</w:t>
            </w:r>
            <w:r>
              <w:rPr>
                <w:rFonts w:cs="宋体" w:ascii="宋体" w:hAnsi="宋体"/>
                <w:color w:val="000000"/>
                <w:kern w:val="0"/>
                <w:sz w:val="22"/>
                <w:szCs w:val="22"/>
              </w:rPr>
              <w:t>÷</w:t>
            </w:r>
            <w:r>
              <w:rPr>
                <w:rFonts w:ascii="宋体" w:hAnsi="宋体" w:cs="宋体"/>
                <w:color w:val="000000"/>
                <w:kern w:val="0"/>
                <w:sz w:val="22"/>
                <w:szCs w:val="22"/>
              </w:rPr>
              <w:t>出车总次数</w:t>
            </w:r>
            <w:r>
              <w:rPr>
                <w:rFonts w:cs="宋体" w:ascii="宋体" w:hAnsi="宋体"/>
                <w:color w:val="000000"/>
                <w:kern w:val="0"/>
                <w:sz w:val="22"/>
                <w:szCs w:val="22"/>
              </w:rPr>
              <w:t>×100</w:t>
            </w:r>
            <w:r>
              <w:rPr>
                <w:rFonts w:ascii="宋体" w:hAnsi="宋体" w:cs="宋体"/>
                <w:color w:val="000000"/>
                <w:kern w:val="0"/>
                <w:sz w:val="22"/>
                <w:szCs w:val="22"/>
              </w:rPr>
              <w:t>％</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车辆保养</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车辆保养</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发现一次异常扣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分。要求按照《车辆保养规定》保养</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0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车辆管理资料及信息管理</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建立车辆档案，记录并保存车辆初始状况、运行现状、维修记录、保养记录、运输作业报表、</w:t>
            </w:r>
            <w:r>
              <w:rPr>
                <w:rFonts w:cs="宋体" w:ascii="宋体" w:hAnsi="宋体"/>
                <w:color w:val="000000"/>
                <w:kern w:val="0"/>
                <w:sz w:val="22"/>
                <w:szCs w:val="22"/>
              </w:rPr>
              <w:t>6S</w:t>
            </w:r>
            <w:r>
              <w:rPr>
                <w:rFonts w:ascii="宋体" w:hAnsi="宋体" w:cs="宋体"/>
                <w:color w:val="000000"/>
                <w:kern w:val="0"/>
                <w:sz w:val="22"/>
                <w:szCs w:val="22"/>
              </w:rPr>
              <w:t>检查表，等等。做到资料完整、信息全面、及时更新、记录准确无误，并及时向上级领导或者相关部门反馈相关数据与信息。</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57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车辆故障率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故障率应该控制在</w:t>
            </w:r>
            <w:r>
              <w:rPr>
                <w:rFonts w:cs="宋体" w:ascii="宋体" w:hAnsi="宋体"/>
                <w:color w:val="000000"/>
                <w:kern w:val="0"/>
                <w:sz w:val="22"/>
                <w:szCs w:val="22"/>
              </w:rPr>
              <w:t>5%</w:t>
            </w:r>
            <w:r>
              <w:rPr>
                <w:rFonts w:ascii="宋体" w:hAnsi="宋体" w:cs="宋体"/>
                <w:color w:val="000000"/>
                <w:kern w:val="0"/>
                <w:sz w:val="22"/>
                <w:szCs w:val="22"/>
              </w:rPr>
              <w:t>范围内。（故障率</w:t>
            </w:r>
            <w:r>
              <w:rPr>
                <w:rFonts w:cs="宋体" w:ascii="宋体" w:hAnsi="宋体"/>
                <w:color w:val="000000"/>
                <w:kern w:val="0"/>
                <w:sz w:val="22"/>
                <w:szCs w:val="22"/>
              </w:rPr>
              <w:t>=</w:t>
            </w:r>
            <w:r>
              <w:rPr>
                <w:rFonts w:ascii="宋体" w:hAnsi="宋体" w:cs="宋体"/>
                <w:color w:val="000000"/>
                <w:kern w:val="0"/>
                <w:sz w:val="22"/>
                <w:szCs w:val="22"/>
              </w:rPr>
              <w:t>故障车辆数量</w:t>
            </w:r>
            <w:r>
              <w:rPr>
                <w:rFonts w:cs="宋体" w:ascii="宋体" w:hAnsi="宋体"/>
                <w:color w:val="000000"/>
                <w:kern w:val="0"/>
                <w:sz w:val="22"/>
                <w:szCs w:val="22"/>
              </w:rPr>
              <w:t>÷</w:t>
            </w:r>
            <w:r>
              <w:rPr>
                <w:rFonts w:ascii="宋体" w:hAnsi="宋体" w:cs="宋体"/>
                <w:color w:val="000000"/>
                <w:kern w:val="0"/>
                <w:sz w:val="22"/>
                <w:szCs w:val="22"/>
              </w:rPr>
              <w:t>车辆总数</w:t>
            </w:r>
            <w:r>
              <w:rPr>
                <w:rFonts w:cs="宋体" w:ascii="宋体" w:hAnsi="宋体"/>
                <w:color w:val="000000"/>
                <w:kern w:val="0"/>
                <w:sz w:val="22"/>
                <w:szCs w:val="22"/>
              </w:rPr>
              <w:t>×100%</w:t>
            </w:r>
            <w:r>
              <w:rPr>
                <w:rFonts w:ascii="宋体" w:hAnsi="宋体" w:cs="宋体"/>
                <w:color w:val="000000"/>
                <w:kern w:val="0"/>
                <w:sz w:val="22"/>
                <w:szCs w:val="22"/>
              </w:rPr>
              <w:t>）</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车辆故障问题处理的及时性及准确性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发现一次不及时，扣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分；发现一次处理不恰当，扣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10"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后勤保障</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办公物品供给</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办公用品及设备提供到位</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因办公用品或者设备提供不到位，出现员工投诉一次，扣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总务科长、行政秘书、行政主管以上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设备及工程维护</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办公设备及工程维护、维修的及时率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维修的及时率</w:t>
            </w:r>
            <w:r>
              <w:rPr>
                <w:rFonts w:cs="宋体" w:ascii="宋体" w:hAnsi="宋体"/>
                <w:color w:val="000000"/>
                <w:kern w:val="0"/>
                <w:sz w:val="22"/>
                <w:szCs w:val="22"/>
              </w:rPr>
              <w:t>=</w:t>
            </w:r>
            <w:r>
              <w:rPr>
                <w:rFonts w:ascii="宋体" w:hAnsi="宋体" w:cs="宋体"/>
                <w:color w:val="000000"/>
                <w:kern w:val="0"/>
                <w:sz w:val="22"/>
                <w:szCs w:val="22"/>
              </w:rPr>
              <w:t>实际及时维修次数</w:t>
            </w:r>
            <w:r>
              <w:rPr>
                <w:rFonts w:cs="宋体" w:ascii="宋体" w:hAnsi="宋体"/>
                <w:color w:val="000000"/>
                <w:kern w:val="0"/>
                <w:sz w:val="22"/>
                <w:szCs w:val="22"/>
              </w:rPr>
              <w:t>÷</w:t>
            </w:r>
            <w:r>
              <w:rPr>
                <w:rFonts w:ascii="宋体" w:hAnsi="宋体" w:cs="宋体"/>
                <w:color w:val="000000"/>
                <w:kern w:val="0"/>
                <w:sz w:val="22"/>
                <w:szCs w:val="22"/>
              </w:rPr>
              <w:t>报修总次数</w:t>
            </w:r>
            <w:r>
              <w:rPr>
                <w:rFonts w:cs="宋体" w:ascii="宋体" w:hAnsi="宋体"/>
                <w:color w:val="000000"/>
                <w:kern w:val="0"/>
                <w:sz w:val="22"/>
                <w:szCs w:val="22"/>
              </w:rPr>
              <w:t>×100</w:t>
            </w:r>
            <w:r>
              <w:rPr>
                <w:rFonts w:ascii="宋体" w:hAnsi="宋体" w:cs="宋体"/>
                <w:color w:val="000000"/>
                <w:kern w:val="0"/>
                <w:sz w:val="22"/>
                <w:szCs w:val="22"/>
              </w:rPr>
              <w:t>％</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办公设备及工程维护、维修的合格率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维修的合格率</w:t>
            </w:r>
            <w:r>
              <w:rPr>
                <w:rFonts w:cs="宋体" w:ascii="宋体" w:hAnsi="宋体"/>
                <w:color w:val="000000"/>
                <w:kern w:val="0"/>
                <w:sz w:val="22"/>
                <w:szCs w:val="22"/>
              </w:rPr>
              <w:t>=</w:t>
            </w:r>
            <w:r>
              <w:rPr>
                <w:rFonts w:ascii="宋体" w:hAnsi="宋体" w:cs="宋体"/>
                <w:color w:val="000000"/>
                <w:kern w:val="0"/>
                <w:sz w:val="22"/>
                <w:szCs w:val="22"/>
              </w:rPr>
              <w:t>实际维修合格次数</w:t>
            </w:r>
            <w:r>
              <w:rPr>
                <w:rFonts w:cs="宋体" w:ascii="宋体" w:hAnsi="宋体"/>
                <w:color w:val="000000"/>
                <w:kern w:val="0"/>
                <w:sz w:val="22"/>
                <w:szCs w:val="22"/>
              </w:rPr>
              <w:t>÷</w:t>
            </w:r>
            <w:r>
              <w:rPr>
                <w:rFonts w:ascii="宋体" w:hAnsi="宋体" w:cs="宋体"/>
                <w:color w:val="000000"/>
                <w:kern w:val="0"/>
                <w:sz w:val="22"/>
                <w:szCs w:val="22"/>
              </w:rPr>
              <w:t>维修总次数</w:t>
            </w:r>
            <w:r>
              <w:rPr>
                <w:rFonts w:cs="宋体" w:ascii="宋体" w:hAnsi="宋体"/>
                <w:color w:val="000000"/>
                <w:kern w:val="0"/>
                <w:sz w:val="22"/>
                <w:szCs w:val="22"/>
              </w:rPr>
              <w:t>×100</w:t>
            </w:r>
            <w:r>
              <w:rPr>
                <w:rFonts w:ascii="宋体" w:hAnsi="宋体" w:cs="宋体"/>
                <w:color w:val="000000"/>
                <w:kern w:val="0"/>
                <w:sz w:val="22"/>
                <w:szCs w:val="22"/>
              </w:rPr>
              <w:t>％</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9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后勤服务态度</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后勤保障服务态度</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后勤保障服务遭内部员工投诉，一次扣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安全管理</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安全管理的规范性及成效性</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安全管理的规范性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出现一次不规范，扣</w:t>
            </w:r>
            <w:r>
              <w:rPr>
                <w:rFonts w:cs="宋体" w:ascii="宋体" w:hAnsi="宋体"/>
                <w:color w:val="000000"/>
                <w:kern w:val="0"/>
                <w:sz w:val="22"/>
                <w:szCs w:val="22"/>
              </w:rPr>
              <w:t>2</w:t>
            </w:r>
            <w:r>
              <w:rPr>
                <w:rFonts w:ascii="宋体" w:hAnsi="宋体" w:cs="宋体"/>
                <w:color w:val="000000"/>
                <w:kern w:val="0"/>
                <w:sz w:val="22"/>
                <w:szCs w:val="22"/>
              </w:rPr>
              <w:t>分。（规范性，是指严格按照公司相关安全管理规定执行相应的安全管理工作，包括安全管理措施、安全设备设施配备、安全培训、安全人员管理等等）</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w:t>
            </w:r>
            <w:r>
              <w:rPr>
                <w:rFonts w:cs="宋体" w:ascii="宋体" w:hAnsi="宋体"/>
                <w:color w:val="000000"/>
                <w:kern w:val="0"/>
                <w:sz w:val="20"/>
                <w:szCs w:val="20"/>
              </w:rPr>
              <w:t>/</w:t>
            </w:r>
            <w:r>
              <w:rPr>
                <w:rFonts w:ascii="宋体" w:hAnsi="宋体" w:cs="宋体"/>
                <w:color w:val="000000"/>
                <w:kern w:val="0"/>
                <w:sz w:val="20"/>
                <w:szCs w:val="20"/>
              </w:rPr>
              <w:t>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安全管理成效</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安全事故发生一次扣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分。（造成经济损失的，依据损失金额进行进一步的惩罚。）</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w:t>
            </w:r>
            <w:r>
              <w:rPr>
                <w:rFonts w:cs="宋体" w:ascii="宋体" w:hAnsi="宋体"/>
                <w:color w:val="000000"/>
                <w:kern w:val="0"/>
                <w:sz w:val="20"/>
                <w:szCs w:val="20"/>
              </w:rPr>
              <w:t>/</w:t>
            </w:r>
            <w:r>
              <w:rPr>
                <w:rFonts w:ascii="宋体" w:hAnsi="宋体" w:cs="宋体"/>
                <w:color w:val="000000"/>
                <w:kern w:val="0"/>
                <w:sz w:val="20"/>
                <w:szCs w:val="20"/>
              </w:rPr>
              <w:t>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环境卫生管理</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管理实施与成效</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不达标，一次扣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分。（要求</w:t>
            </w:r>
            <w:r>
              <w:rPr>
                <w:rFonts w:cs="宋体" w:ascii="宋体" w:hAnsi="宋体"/>
                <w:color w:val="000000"/>
                <w:kern w:val="0"/>
                <w:sz w:val="22"/>
                <w:szCs w:val="22"/>
              </w:rPr>
              <w:t>5S</w:t>
            </w:r>
            <w:r>
              <w:rPr>
                <w:rFonts w:ascii="宋体" w:hAnsi="宋体" w:cs="宋体"/>
                <w:color w:val="000000"/>
                <w:kern w:val="0"/>
                <w:sz w:val="22"/>
                <w:szCs w:val="22"/>
              </w:rPr>
              <w:t>检查成绩达标或者评优成绩突出，具体工作包括日常环境卫生的保持、环境布置与建设）</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w:t>
            </w:r>
            <w:r>
              <w:rPr>
                <w:rFonts w:cs="宋体" w:ascii="宋体" w:hAnsi="宋体"/>
                <w:color w:val="000000"/>
                <w:kern w:val="0"/>
                <w:sz w:val="20"/>
                <w:szCs w:val="20"/>
              </w:rPr>
              <w:t>/</w:t>
            </w:r>
            <w:r>
              <w:rPr>
                <w:rFonts w:ascii="宋体" w:hAnsi="宋体" w:cs="宋体"/>
                <w:color w:val="000000"/>
                <w:kern w:val="0"/>
                <w:sz w:val="20"/>
                <w:szCs w:val="20"/>
              </w:rPr>
              <w:t>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1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法律事务管理</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法律风险防范</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制度与文件法律风险防范</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监督并确保公司各项规章制度、合同、法律文书等制度与文件的合法性。制度或者文件出现法律漏洞问题，一次扣</w:t>
            </w:r>
            <w:r>
              <w:rPr>
                <w:rFonts w:cs="宋体" w:ascii="宋体" w:hAnsi="宋体"/>
                <w:color w:val="000000"/>
                <w:kern w:val="0"/>
                <w:sz w:val="22"/>
                <w:szCs w:val="22"/>
              </w:rPr>
              <w:t>5</w:t>
            </w:r>
            <w:r>
              <w:rPr>
                <w:rFonts w:ascii="宋体" w:hAnsi="宋体" w:cs="宋体"/>
                <w:color w:val="000000"/>
                <w:kern w:val="0"/>
                <w:sz w:val="22"/>
                <w:szCs w:val="22"/>
              </w:rPr>
              <w:t>分，若因此引起法律纠纷，则此项配分全无；最多扣</w:t>
            </w:r>
            <w:r>
              <w:rPr>
                <w:rFonts w:cs="宋体" w:ascii="宋体" w:hAnsi="宋体"/>
                <w:color w:val="000000"/>
                <w:kern w:val="0"/>
                <w:sz w:val="22"/>
                <w:szCs w:val="22"/>
              </w:rPr>
              <w:t>30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行政管理部／法律事务部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法律事务专员</w:t>
            </w:r>
            <w:r>
              <w:rPr>
                <w:rFonts w:cs="宋体" w:ascii="宋体" w:hAnsi="宋体"/>
                <w:color w:val="000000"/>
                <w:kern w:val="0"/>
                <w:sz w:val="20"/>
                <w:szCs w:val="20"/>
              </w:rPr>
              <w:t>/</w:t>
            </w:r>
            <w:r>
              <w:rPr>
                <w:rFonts w:ascii="宋体" w:hAnsi="宋体" w:cs="宋体"/>
                <w:color w:val="000000"/>
                <w:kern w:val="0"/>
                <w:sz w:val="20"/>
                <w:szCs w:val="20"/>
              </w:rPr>
              <w:t>行政经理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经营活动法律风险防范</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监督并确保公司各项经营活动与行为的合法性。经营行为出现法律漏洞问题，一次扣</w:t>
            </w:r>
            <w:r>
              <w:rPr>
                <w:rFonts w:cs="宋体" w:ascii="宋体" w:hAnsi="宋体"/>
                <w:color w:val="000000"/>
                <w:kern w:val="0"/>
                <w:sz w:val="22"/>
                <w:szCs w:val="22"/>
              </w:rPr>
              <w:t>5</w:t>
            </w:r>
            <w:r>
              <w:rPr>
                <w:rFonts w:ascii="宋体" w:hAnsi="宋体" w:cs="宋体"/>
                <w:color w:val="000000"/>
                <w:kern w:val="0"/>
                <w:sz w:val="22"/>
                <w:szCs w:val="22"/>
              </w:rPr>
              <w:t>分，若因此引起法律纠纷，则此项配分全无；最多扣</w:t>
            </w:r>
            <w:r>
              <w:rPr>
                <w:rFonts w:cs="宋体" w:ascii="宋体" w:hAnsi="宋体"/>
                <w:color w:val="000000"/>
                <w:kern w:val="0"/>
                <w:sz w:val="22"/>
                <w:szCs w:val="22"/>
              </w:rPr>
              <w:t>30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行政管理部／法律事务部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法律事务专员</w:t>
            </w:r>
            <w:r>
              <w:rPr>
                <w:rFonts w:cs="宋体" w:ascii="宋体" w:hAnsi="宋体"/>
                <w:color w:val="000000"/>
                <w:kern w:val="0"/>
                <w:sz w:val="20"/>
                <w:szCs w:val="20"/>
              </w:rPr>
              <w:t>/</w:t>
            </w:r>
            <w:r>
              <w:rPr>
                <w:rFonts w:ascii="宋体" w:hAnsi="宋体" w:cs="宋体"/>
                <w:color w:val="000000"/>
                <w:kern w:val="0"/>
                <w:sz w:val="20"/>
                <w:szCs w:val="20"/>
              </w:rPr>
              <w:t>行政经理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法律事务处理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处理的及时性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及时有效处理各项法律事务。若未能及时有效的处理，一次扣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行政管理部／法律事务部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法律事务专员</w:t>
            </w:r>
            <w:r>
              <w:rPr>
                <w:rFonts w:cs="宋体" w:ascii="宋体" w:hAnsi="宋体"/>
                <w:color w:val="000000"/>
                <w:kern w:val="0"/>
                <w:sz w:val="20"/>
                <w:szCs w:val="20"/>
              </w:rPr>
              <w:t>/</w:t>
            </w:r>
            <w:r>
              <w:rPr>
                <w:rFonts w:ascii="宋体" w:hAnsi="宋体" w:cs="宋体"/>
                <w:color w:val="000000"/>
                <w:kern w:val="0"/>
                <w:sz w:val="20"/>
                <w:szCs w:val="20"/>
              </w:rPr>
              <w:t>行政经理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2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处理的有效性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及时有效处理各项法律事务，并达到维护好公司权益的目的。若未能有效的处理，一次扣</w:t>
            </w:r>
            <w:r>
              <w:rPr>
                <w:rFonts w:cs="宋体" w:ascii="宋体" w:hAnsi="宋体"/>
                <w:color w:val="000000"/>
                <w:kern w:val="0"/>
                <w:sz w:val="22"/>
                <w:szCs w:val="22"/>
              </w:rPr>
              <w:t>5</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分。（具体的有效性，由主管领导或者公司领导判定）</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行政管理部／法律事务部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法律事务专员</w:t>
            </w:r>
            <w:r>
              <w:rPr>
                <w:rFonts w:cs="宋体" w:ascii="宋体" w:hAnsi="宋体"/>
                <w:color w:val="000000"/>
                <w:kern w:val="0"/>
                <w:sz w:val="20"/>
                <w:szCs w:val="20"/>
              </w:rPr>
              <w:t>/</w:t>
            </w:r>
            <w:r>
              <w:rPr>
                <w:rFonts w:ascii="宋体" w:hAnsi="宋体" w:cs="宋体"/>
                <w:color w:val="000000"/>
                <w:kern w:val="0"/>
                <w:sz w:val="20"/>
                <w:szCs w:val="20"/>
              </w:rPr>
              <w:t>行政经理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法律宣传与培训</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培训宣传工作执行的及时性及完成量</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未按照计划执行法律培训与宣传工作，一次扣</w:t>
            </w:r>
            <w:r>
              <w:rPr>
                <w:rFonts w:cs="宋体" w:ascii="宋体" w:hAnsi="宋体"/>
                <w:color w:val="000000"/>
                <w:kern w:val="0"/>
                <w:sz w:val="22"/>
                <w:szCs w:val="22"/>
              </w:rPr>
              <w:t>1</w:t>
            </w:r>
            <w:r>
              <w:rPr>
                <w:rFonts w:ascii="宋体" w:hAnsi="宋体" w:cs="宋体"/>
                <w:color w:val="000000"/>
                <w:kern w:val="0"/>
                <w:sz w:val="22"/>
                <w:szCs w:val="22"/>
              </w:rPr>
              <w:t>分，扣完为止。</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行政管理部／法律事务部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法律事务专员</w:t>
            </w:r>
            <w:r>
              <w:rPr>
                <w:rFonts w:cs="宋体" w:ascii="宋体" w:hAnsi="宋体"/>
                <w:color w:val="000000"/>
                <w:kern w:val="0"/>
                <w:sz w:val="20"/>
                <w:szCs w:val="20"/>
              </w:rPr>
              <w:t>/</w:t>
            </w:r>
            <w:r>
              <w:rPr>
                <w:rFonts w:ascii="宋体" w:hAnsi="宋体" w:cs="宋体"/>
                <w:color w:val="000000"/>
                <w:kern w:val="0"/>
                <w:sz w:val="20"/>
                <w:szCs w:val="20"/>
              </w:rPr>
              <w:t>行政经理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7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培训宣传效果</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未达到预期目标，或者遭到员工投诉，一次扣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行政管理部／法律事务部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法律事务专员</w:t>
            </w:r>
            <w:r>
              <w:rPr>
                <w:rFonts w:cs="宋体" w:ascii="宋体" w:hAnsi="宋体"/>
                <w:color w:val="000000"/>
                <w:kern w:val="0"/>
                <w:sz w:val="20"/>
                <w:szCs w:val="20"/>
              </w:rPr>
              <w:t>/</w:t>
            </w:r>
            <w:r>
              <w:rPr>
                <w:rFonts w:ascii="宋体" w:hAnsi="宋体" w:cs="宋体"/>
                <w:color w:val="000000"/>
                <w:kern w:val="0"/>
                <w:sz w:val="20"/>
                <w:szCs w:val="20"/>
              </w:rPr>
              <w:t>行政经理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50"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人事工作</w:t>
            </w:r>
            <w:r>
              <w:rPr>
                <w:rFonts w:ascii="宋体" w:hAnsi="宋体" w:cs="宋体"/>
                <w:color w:val="000000"/>
                <w:kern w:val="0"/>
                <w:sz w:val="20"/>
                <w:szCs w:val="20"/>
              </w:rPr>
              <w:t>（协助人力资源部门，主要指招聘、入职、调动、离职、奖惩、薪资调整等相关审核或评价工作）</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人事工作协助完成情况</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完成的及时性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未及时完成相应的工作，一次扣</w:t>
            </w:r>
            <w:r>
              <w:rPr>
                <w:rFonts w:cs="宋体" w:ascii="宋体" w:hAnsi="宋体"/>
                <w:color w:val="000000"/>
                <w:kern w:val="0"/>
                <w:sz w:val="22"/>
                <w:szCs w:val="22"/>
              </w:rPr>
              <w:t>1</w:t>
            </w:r>
            <w:r>
              <w:rPr>
                <w:rFonts w:ascii="宋体" w:hAnsi="宋体" w:cs="宋体"/>
                <w:color w:val="000000"/>
                <w:kern w:val="0"/>
                <w:sz w:val="22"/>
                <w:szCs w:val="22"/>
              </w:rPr>
              <w:t>分，扣完为止。</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9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完成的准确性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审核工作出现错误，一次扣</w:t>
            </w:r>
            <w:r>
              <w:rPr>
                <w:rFonts w:cs="宋体" w:ascii="宋体" w:hAnsi="宋体"/>
                <w:color w:val="000000"/>
                <w:kern w:val="0"/>
                <w:sz w:val="22"/>
                <w:szCs w:val="22"/>
              </w:rPr>
              <w:t>1</w:t>
            </w:r>
            <w:r>
              <w:rPr>
                <w:rFonts w:ascii="宋体" w:hAnsi="宋体" w:cs="宋体"/>
                <w:color w:val="000000"/>
                <w:kern w:val="0"/>
                <w:sz w:val="22"/>
                <w:szCs w:val="22"/>
              </w:rPr>
              <w:t>分，扣完为止。</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6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完成的客观公正性</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主要指相关绩效考核、人事调整、薪资调整等审核、评价工作出现不公正现象，一次扣</w:t>
            </w:r>
            <w:r>
              <w:rPr>
                <w:rFonts w:cs="宋体" w:ascii="宋体" w:hAnsi="宋体"/>
                <w:color w:val="000000"/>
                <w:kern w:val="0"/>
                <w:sz w:val="22"/>
                <w:szCs w:val="22"/>
              </w:rPr>
              <w:t>2</w:t>
            </w:r>
            <w:r>
              <w:rPr>
                <w:rFonts w:ascii="宋体" w:hAnsi="宋体" w:cs="宋体"/>
                <w:color w:val="000000"/>
                <w:kern w:val="0"/>
                <w:sz w:val="22"/>
                <w:szCs w:val="22"/>
              </w:rPr>
              <w:t>分，扣完为止。</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成本控制</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行政管理成本控制</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行政管理费用控制率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行政部门费用控制率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％（行政管理费用主要指：行政人员工资、各项行政开支、办公费费用等等）</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工程、维修成本控制</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工程、维修费用控制率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工程、维修费用控制率</w:t>
            </w:r>
            <w:r>
              <w:rPr>
                <w:rFonts w:cs="宋体" w:ascii="宋体" w:hAnsi="宋体"/>
                <w:color w:val="000000"/>
                <w:kern w:val="0"/>
                <w:sz w:val="22"/>
                <w:szCs w:val="22"/>
              </w:rPr>
              <w:t>=</w:t>
            </w:r>
            <w:r>
              <w:rPr>
                <w:rFonts w:ascii="宋体" w:hAnsi="宋体" w:cs="宋体"/>
                <w:color w:val="000000"/>
                <w:kern w:val="0"/>
                <w:sz w:val="22"/>
                <w:szCs w:val="22"/>
              </w:rPr>
              <w:t>当期实际发生的费用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×100</w:t>
            </w:r>
            <w:r>
              <w:rPr>
                <w:rFonts w:ascii="宋体" w:hAnsi="宋体" w:cs="宋体"/>
                <w:color w:val="000000"/>
                <w:kern w:val="0"/>
                <w:sz w:val="22"/>
                <w:szCs w:val="22"/>
              </w:rPr>
              <w:t>％</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5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车辆管理成本控制</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维修保养费用控制率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维修保养费用控制率</w:t>
            </w:r>
            <w:r>
              <w:rPr>
                <w:rFonts w:cs="宋体" w:ascii="宋体" w:hAnsi="宋体"/>
                <w:color w:val="000000"/>
                <w:kern w:val="0"/>
                <w:sz w:val="22"/>
                <w:szCs w:val="22"/>
              </w:rPr>
              <w:t>=</w:t>
            </w:r>
            <w:r>
              <w:rPr>
                <w:rFonts w:ascii="宋体" w:hAnsi="宋体" w:cs="宋体"/>
                <w:color w:val="000000"/>
                <w:kern w:val="0"/>
                <w:sz w:val="22"/>
                <w:szCs w:val="22"/>
              </w:rPr>
              <w:t>当期实际发生的费用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×100</w:t>
            </w:r>
            <w:r>
              <w:rPr>
                <w:rFonts w:ascii="宋体" w:hAnsi="宋体" w:cs="宋体"/>
                <w:color w:val="000000"/>
                <w:kern w:val="0"/>
                <w:sz w:val="22"/>
                <w:szCs w:val="22"/>
              </w:rPr>
              <w:t>％</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油耗控制率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油耗控制率</w:t>
            </w:r>
            <w:r>
              <w:rPr>
                <w:rFonts w:cs="宋体" w:ascii="宋体" w:hAnsi="宋体"/>
                <w:color w:val="000000"/>
                <w:kern w:val="0"/>
                <w:sz w:val="22"/>
                <w:szCs w:val="22"/>
              </w:rPr>
              <w:t>=</w:t>
            </w:r>
            <w:r>
              <w:rPr>
                <w:rFonts w:ascii="宋体" w:hAnsi="宋体" w:cs="宋体"/>
                <w:color w:val="000000"/>
                <w:kern w:val="0"/>
                <w:sz w:val="22"/>
                <w:szCs w:val="22"/>
              </w:rPr>
              <w:t>单次实际油耗</w:t>
            </w:r>
            <w:r>
              <w:rPr>
                <w:rFonts w:cs="宋体" w:ascii="宋体" w:hAnsi="宋体"/>
                <w:color w:val="000000"/>
                <w:kern w:val="0"/>
                <w:sz w:val="22"/>
                <w:szCs w:val="22"/>
              </w:rPr>
              <w:t>÷</w:t>
            </w:r>
            <w:r>
              <w:rPr>
                <w:rFonts w:ascii="宋体" w:hAnsi="宋体" w:cs="宋体"/>
                <w:color w:val="000000"/>
                <w:kern w:val="0"/>
                <w:sz w:val="22"/>
                <w:szCs w:val="22"/>
              </w:rPr>
              <w:t>单次油耗标准</w:t>
            </w:r>
            <w:r>
              <w:rPr>
                <w:rFonts w:cs="宋体" w:ascii="宋体" w:hAnsi="宋体"/>
                <w:color w:val="000000"/>
                <w:kern w:val="0"/>
                <w:sz w:val="22"/>
                <w:szCs w:val="22"/>
              </w:rPr>
              <w:t>×100</w:t>
            </w:r>
            <w:r>
              <w:rPr>
                <w:rFonts w:ascii="宋体" w:hAnsi="宋体" w:cs="宋体"/>
                <w:color w:val="000000"/>
                <w:kern w:val="0"/>
                <w:sz w:val="22"/>
                <w:szCs w:val="22"/>
              </w:rPr>
              <w:t>％（单次油耗标准</w:t>
            </w:r>
            <w:r>
              <w:rPr>
                <w:rFonts w:cs="宋体" w:ascii="宋体" w:hAnsi="宋体"/>
                <w:color w:val="000000"/>
                <w:kern w:val="0"/>
                <w:sz w:val="22"/>
                <w:szCs w:val="22"/>
              </w:rPr>
              <w:t>=</w:t>
            </w:r>
            <w:r>
              <w:rPr>
                <w:rFonts w:ascii="宋体" w:hAnsi="宋体" w:cs="宋体"/>
                <w:color w:val="000000"/>
                <w:kern w:val="0"/>
                <w:sz w:val="22"/>
                <w:szCs w:val="22"/>
              </w:rPr>
              <w:t>每公里油耗标准</w:t>
            </w:r>
            <w:r>
              <w:rPr>
                <w:rFonts w:cs="宋体" w:ascii="宋体" w:hAnsi="宋体"/>
                <w:color w:val="000000"/>
                <w:kern w:val="0"/>
                <w:sz w:val="22"/>
                <w:szCs w:val="22"/>
              </w:rPr>
              <w:t>×</w:t>
            </w:r>
            <w:r>
              <w:rPr>
                <w:rFonts w:ascii="宋体" w:hAnsi="宋体" w:cs="宋体"/>
                <w:color w:val="000000"/>
                <w:kern w:val="0"/>
                <w:sz w:val="22"/>
                <w:szCs w:val="22"/>
              </w:rPr>
              <w:t>该次里程）</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总务科长、司机、行政主管以上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法律成本控制</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法律费用控制率</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法律费用控制率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当期平均费用（按照去年平均水平计算）</w:t>
            </w:r>
            <w:r>
              <w:rPr>
                <w:rFonts w:cs="宋体" w:ascii="宋体" w:hAnsi="宋体"/>
                <w:color w:val="000000"/>
                <w:kern w:val="0"/>
                <w:sz w:val="22"/>
                <w:szCs w:val="22"/>
              </w:rPr>
              <w:t>×lOO</w:t>
            </w:r>
            <w:r>
              <w:rPr>
                <w:rFonts w:ascii="宋体" w:hAnsi="宋体" w:cs="宋体"/>
                <w:color w:val="000000"/>
                <w:kern w:val="0"/>
                <w:sz w:val="22"/>
                <w:szCs w:val="22"/>
              </w:rPr>
              <w:t>％</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法律事务专员</w:t>
            </w:r>
            <w:r>
              <w:rPr>
                <w:rFonts w:cs="宋体" w:ascii="宋体" w:hAnsi="宋体"/>
                <w:color w:val="000000"/>
                <w:kern w:val="0"/>
                <w:sz w:val="20"/>
                <w:szCs w:val="20"/>
              </w:rPr>
              <w:t>/</w:t>
            </w:r>
            <w:r>
              <w:rPr>
                <w:rFonts w:ascii="宋体" w:hAnsi="宋体" w:cs="宋体"/>
                <w:color w:val="000000"/>
                <w:kern w:val="0"/>
                <w:sz w:val="20"/>
                <w:szCs w:val="20"/>
              </w:rPr>
              <w:t>行政主管以上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25"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日常工作管理</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1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45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制度建立与执行</w:t>
            </w:r>
          </w:p>
        </w:tc>
        <w:tc>
          <w:tcPr>
            <w:tcW w:w="1570" w:type="dxa"/>
            <w:tcBorders>
              <w:top w:val="single" w:sz="4" w:space="0" w:color="000000"/>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制度与流程建设</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制度的完善性与有效性，流程的简化程度以及高效性。具体包括档案管理制度、办公室管理规定、办公用品管理制度、车辆使用管理制度、会议室使用管理制度、员工奖惩制度、合同管理制度，等等。</w:t>
            </w:r>
          </w:p>
        </w:tc>
        <w:tc>
          <w:tcPr>
            <w:tcW w:w="2976" w:type="dxa"/>
            <w:tcBorders>
              <w:bottom w:val="single" w:sz="4" w:space="0" w:color="000000"/>
              <w:end w:val="single" w:sz="4" w:space="0" w:color="000000"/>
            </w:tcBorders>
            <w:shd w:color="000000" w:fill="FFFFFF" w:val="clea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（应根据不同职位、不同岗位要求明确具体的制度建设内容。）</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行政管理制度的执行</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严格按照行政管理制度与流程执行工作。</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59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团队管理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员工满意度达到</w:t>
            </w:r>
            <w:r>
              <w:rPr>
                <w:rFonts w:ascii="宋体" w:hAnsi="宋体" w:cs="宋体"/>
                <w:color w:val="000000"/>
                <w:kern w:val="0"/>
                <w:sz w:val="22"/>
                <w:szCs w:val="22"/>
                <w:u w:val="single"/>
              </w:rPr>
              <w:t xml:space="preserve">         。</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团队管理主要指培育、指导、考核部门员工；员工满意度是指团队成员对该公司或者部门的工作氛围、工作环境、领导风格、领导支持（学习发展、生活关爱、成长辅导支持）等方面的满意程度。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8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部门绩效考核</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绩效考核数据的准确率、完成的及时率。</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84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组织或部门的凝聚力</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组织表现为较强的凝聚力，员工协同能力强。</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73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组织执行力</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执行力强，计划、制度得到严格、高效执行。</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员工能力提升及个人职业生涯规划发展</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员工能力得到大幅度提升，或者员工对个人职业生涯规划发展满意。</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行政管理部、人力资源部、员工满意度</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部门主管以上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945"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内部沟通管理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沟通活动</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定期或者不定期举行工作例会、沟通会议、报告会议、问题协调讨论会等等，并及时解决各项问题。</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0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关系协调</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与其它部门、供应商、合作伙伴、客户等保持良好关系。</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主要表现为内部部门之间关系和谐、协同性强；与外部机构保持良好的沟通机制。企业内外部客户没有投诉现象。</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行政管理部、其它部门反馈、客户反馈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2976"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382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2976"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382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2976"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382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2976"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382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2976"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382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2976"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60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3828"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2976"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1155"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3828"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2976"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51"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117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3828"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2976"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134"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851"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行政管理部、人力资源部</w:t>
            </w:r>
          </w:p>
        </w:tc>
        <w:tc>
          <w:tcPr>
            <w:tcW w:w="1134"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qFormat="1"/>
    <w:lsdException w:name="toc 2" w:uiPriority="39" w:semiHidden="0" w:unhideWhenUsed="0" w:qFormat="1"/>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qFormat="1"/>
    <w:lsdException w:name="annotation text" w:uiPriority="0" w:semiHidden="0" w:unhideWhenUsed="0"/>
    <w:lsdException w:name="header" w:uiPriority="0" w:semiHidden="0" w:unhideWhenUsed="0" w:qFormat="1"/>
    <w:lsdException w:name="footer" w:uiPriority="0" w:semiHidden="0" w:unhideWhenUsed="0" w:qFormat="1"/>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lsdException w:name="Body Text" w:uiPriority="0" w:semiHidden="0" w:unhideWhenUsed="0" w:qFormat="1"/>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lsdException w:name="FollowedHyperlink" w:uiPriority="99" w:semiHidden="0" w:qFormat="1"/>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qFormat/>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qFormat/>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qFormat/>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qFormat/>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qFormat/>
    <w:pPr>
      <w:snapToGrid w:val="false"/>
      <w:jc w:val="start"/>
    </w:pPr>
    <w:rPr>
      <w:sz w:val="18"/>
      <w:szCs w:val="18"/>
    </w:rPr>
  </w:style>
  <w:style w:type="paragraph" w:styleId="Contents2">
    <w:name w:val="TOC 2"/>
    <w:basedOn w:val="Normal"/>
    <w:next w:val="Normal"/>
    <w:uiPriority w:val="39"/>
    <w:qFormat/>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12</Pages>
  <Words>5683</Words>
  <Characters>5752</Characters>
  <CharactersWithSpaces>5887</CharactersWithSpaces>
  <Paragraphs>448</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2015-05-20T08:41:00Z</dcterms:created>
  <dc:creator>未名潮</dc:creator>
  <dc:description/>
  <dc:language>en-US</dc:language>
  <cp:lastModifiedBy>李想</cp:lastModifiedBy>
  <cp:lastPrinted>2009-02-17T05:21:00Z</cp:lastPrinted>
  <dcterms:modified xsi:type="dcterms:W3CDTF">2019-11-26T14:25:07Z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558036</vt:lpwstr>
  </property>
  <property fmtid="{D5CDD505-2E9C-101B-9397-08002B2CF9AE}" pid="4" name="name">
    <vt:lpwstr>k6pe2g7ynz34922.doc</vt:lpwstr>
  </property>
</Properties>
</file>