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headerReference w:type="default" r:id="rId3"/>
          <w:footerReference w:type="default" r:id="rId4"/>
          <w:type w:val="nextPage"/>
          <w:pgSz w:w="11906" w:h="16838"/>
          <w:pgMar w:left="1701" w:right="1701" w:header="567" w:top="1440" w:footer="992" w:bottom="1049" w:gutter="0"/>
          <w:pgNumType w:fmt="decimal"/>
          <w:formProt w:val="false"/>
          <w:textDirection w:val="lrTb"/>
          <w:docGrid w:type="lines" w:linePitch="312" w:charSpace="0"/>
        </w:sectPr>
        <w:pStyle w:val="Normal"/>
        <w:bidi w:val="0"/>
        <w:jc w:val="center"/>
        <w:rPr>
          <w:rFonts w:ascii="黑体" w:hAnsi="黑体" w:eastAsia="黑体"/>
          <w:color w:val="0070C0"/>
          <w:sz w:val="24"/>
        </w:rPr>
      </w:pPr>
      <w:r>
        <w:rPr>
          <w:rFonts w:eastAsia="黑体" w:ascii="黑体" w:hAnsi="黑体"/>
          <w:color w:val="0070C0"/>
          <w:sz w:val="24"/>
        </w:rPr>
        <mc:AlternateContent>
          <mc:Choice Requires="wps">
            <w:drawing>
              <wp:anchor behindDoc="0" distT="0" distB="0" distL="114300" distR="114300" simplePos="0" locked="0" layoutInCell="0" allowOverlap="1" relativeHeight="2">
                <wp:simplePos x="0" y="0"/>
                <wp:positionH relativeFrom="column">
                  <wp:posOffset>-1079500</wp:posOffset>
                </wp:positionH>
                <wp:positionV relativeFrom="paragraph">
                  <wp:posOffset>-911860</wp:posOffset>
                </wp:positionV>
                <wp:extent cx="7607935" cy="10709910"/>
                <wp:effectExtent l="0" t="0" r="0" b="0"/>
                <wp:wrapSquare wrapText="bothSides"/>
                <wp:docPr id="1" name="图片框 13"/>
                <a:graphic xmlns:a="http://schemas.openxmlformats.org/drawingml/2006/main">
                  <a:graphicData uri="http://schemas.openxmlformats.org/drawingml/2006/picture">
                    <pic:pic xmlns:pic="http://schemas.openxmlformats.org/drawingml/2006/picture">
                      <pic:nvPicPr>
                        <pic:cNvPr id="0" name="图片框 13" descr=""/>
                        <pic:cNvPicPr/>
                      </pic:nvPicPr>
                      <pic:blipFill>
                        <a:blip r:embed="rId2"/>
                        <a:stretch/>
                      </pic:blipFill>
                      <pic:spPr>
                        <a:xfrm>
                          <a:off x="0" y="0"/>
                          <a:ext cx="7607160" cy="1070928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图片框 13" stroked="f" style="position:absolute;margin-left:-85pt;margin-top:-71.8pt;width:598.95pt;height:843.2pt;mso-wrap-style:none;v-text-anchor:middle" type="shapetype_75">
                <v:imagedata r:id="rId2" o:detectmouseclick="t"/>
                <v:stroke color="#3465a4" joinstyle="round" endcap="flat"/>
                <w10:wrap type="square"/>
              </v:shape>
            </w:pict>
          </mc:Fallback>
        </mc:AlternateContent>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楷体_GB2312" w:hAnsi="楷体_GB2312" w:eastAsia="楷体_GB2312"/>
          <w:b/>
          <w:b/>
          <w:color w:val="FF0000"/>
          <w:sz w:val="28"/>
          <w:szCs w:val="28"/>
        </w:rPr>
      </w:pPr>
      <w:r>
        <w:rPr>
          <w:rFonts w:ascii="微软雅黑" w:hAnsi="微软雅黑" w:eastAsia="微软雅黑"/>
          <w:b/>
          <w:color w:val="0070C0"/>
          <w:sz w:val="44"/>
          <w:szCs w:val="44"/>
        </w:rPr>
        <w:t>人力资源部门</w:t>
      </w:r>
      <w:r>
        <w:rPr>
          <w:rFonts w:eastAsia="微软雅黑" w:ascii="微软雅黑" w:hAnsi="微软雅黑"/>
          <w:b/>
          <w:color w:val="0070C0"/>
          <w:sz w:val="44"/>
          <w:szCs w:val="44"/>
        </w:rPr>
        <w:t>KPI</w:t>
      </w:r>
      <w:r>
        <w:rPr>
          <w:rFonts w:ascii="微软雅黑" w:hAnsi="微软雅黑" w:eastAsia="微软雅黑"/>
          <w:b/>
          <w:color w:val="0070C0"/>
          <w:sz w:val="44"/>
          <w:szCs w:val="44"/>
        </w:rPr>
        <w:t>指标（结合</w:t>
      </w:r>
      <w:r>
        <w:rPr>
          <w:rFonts w:eastAsia="微软雅黑" w:ascii="微软雅黑" w:hAnsi="微软雅黑"/>
          <w:b/>
          <w:color w:val="0070C0"/>
          <w:sz w:val="44"/>
          <w:szCs w:val="44"/>
        </w:rPr>
        <w:t>BSC</w:t>
      </w:r>
      <w:r>
        <w:rPr>
          <w:rFonts w:ascii="微软雅黑" w:hAnsi="微软雅黑" w:eastAsia="微软雅黑"/>
          <w:b/>
          <w:color w:val="0070C0"/>
          <w:sz w:val="44"/>
          <w:szCs w:val="44"/>
        </w:rPr>
        <w:t>）</w:t>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600"/>
        <w:ind w:start="-424" w:end="-567" w:firstLine="624"/>
        <w:jc w:val="start"/>
        <w:rPr>
          <w:rFonts w:ascii="微软雅黑" w:hAnsi="微软雅黑" w:eastAsia="微软雅黑"/>
          <w:sz w:val="32"/>
          <w:szCs w:val="32"/>
        </w:rPr>
      </w:pPr>
      <w:r>
        <w:rPr>
          <w:rFonts w:ascii="微软雅黑" w:hAnsi="微软雅黑" w:eastAsia="微软雅黑"/>
          <w:b/>
          <w:sz w:val="32"/>
          <w:szCs w:val="32"/>
        </w:rPr>
        <w:t>说明：</w:t>
      </w:r>
      <w:r>
        <w:rPr>
          <w:rFonts w:ascii="微软雅黑" w:hAnsi="微软雅黑" w:eastAsia="微软雅黑"/>
          <w:sz w:val="32"/>
          <w:szCs w:val="32"/>
        </w:rPr>
        <w:t>本表格列出了人力资源部门常用的关键绩效考核指标（</w:t>
      </w:r>
      <w:r>
        <w:rPr>
          <w:rFonts w:eastAsia="微软雅黑" w:ascii="微软雅黑" w:hAnsi="微软雅黑"/>
          <w:sz w:val="32"/>
          <w:szCs w:val="32"/>
        </w:rPr>
        <w:t>KPI</w:t>
      </w:r>
      <w:r>
        <w:rPr>
          <w:rFonts w:ascii="微软雅黑" w:hAnsi="微软雅黑" w:eastAsia="微软雅黑"/>
          <w:sz w:val="32"/>
          <w:szCs w:val="32"/>
        </w:rPr>
        <w:t>指标）内容，共</w:t>
      </w:r>
      <w:r>
        <w:rPr>
          <w:rFonts w:eastAsia="微软雅黑" w:ascii="微软雅黑" w:hAnsi="微软雅黑"/>
          <w:b/>
          <w:color w:val="FF0000"/>
          <w:sz w:val="32"/>
          <w:szCs w:val="32"/>
        </w:rPr>
        <w:t>70</w:t>
      </w:r>
      <w:r>
        <w:rPr>
          <w:rFonts w:ascii="微软雅黑" w:hAnsi="微软雅黑" w:eastAsia="微软雅黑"/>
          <w:b/>
          <w:color w:val="FF0000"/>
          <w:sz w:val="32"/>
          <w:szCs w:val="32"/>
        </w:rPr>
        <w:t>余项</w:t>
      </w:r>
      <w:r>
        <w:rPr>
          <w:rFonts w:ascii="微软雅黑" w:hAnsi="微软雅黑" w:eastAsia="微软雅黑"/>
          <w:sz w:val="32"/>
          <w:szCs w:val="32"/>
        </w:rPr>
        <w:t>。具体包括各项</w:t>
      </w:r>
      <w:r>
        <w:rPr>
          <w:rFonts w:ascii="微软雅黑" w:hAnsi="微软雅黑" w:eastAsia="微软雅黑"/>
          <w:b/>
          <w:sz w:val="32"/>
          <w:szCs w:val="32"/>
        </w:rPr>
        <w:t>指标的名称、指标定义或者计算公式、指标详细说明、指标性质（基于平衡计分卡分类）、考核周期、适用范围（主要指职位）以及数据来源说明，所列指标还按照该部门的工作职能进行了科学分类。</w:t>
      </w:r>
      <w:r>
        <w:rPr>
          <w:rFonts w:ascii="微软雅黑" w:hAnsi="微软雅黑" w:eastAsia="微软雅黑"/>
          <w:sz w:val="32"/>
          <w:szCs w:val="32"/>
        </w:rPr>
        <w:t>这样，使用者就可以根据工作职能范畴或者具体的工作岗位迅速找到对应的</w:t>
      </w:r>
      <w:r>
        <w:rPr>
          <w:rFonts w:eastAsia="微软雅黑" w:ascii="微软雅黑" w:hAnsi="微软雅黑"/>
          <w:sz w:val="32"/>
          <w:szCs w:val="32"/>
        </w:rPr>
        <w:t>KPI</w:t>
      </w:r>
      <w:r>
        <w:rPr>
          <w:rFonts w:ascii="微软雅黑" w:hAnsi="微软雅黑" w:eastAsia="微软雅黑"/>
          <w:sz w:val="32"/>
          <w:szCs w:val="32"/>
        </w:rPr>
        <w:t>指标，同时还可以按照平衡计分卡的形式对所选指标进行重新组合，从而快速、准确、有效的为某岗位设置基于平衡计分卡的</w:t>
      </w:r>
      <w:r>
        <w:rPr>
          <w:rFonts w:eastAsia="微软雅黑" w:ascii="微软雅黑" w:hAnsi="微软雅黑"/>
          <w:sz w:val="32"/>
          <w:szCs w:val="32"/>
        </w:rPr>
        <w:t>KPI</w:t>
      </w:r>
      <w:r>
        <w:rPr>
          <w:rFonts w:ascii="微软雅黑" w:hAnsi="微软雅黑" w:eastAsia="微软雅黑"/>
          <w:sz w:val="32"/>
          <w:szCs w:val="32"/>
        </w:rPr>
        <w:t>指标。</w:t>
      </w:r>
    </w:p>
    <w:p>
      <w:pPr>
        <w:pStyle w:val="Normal"/>
        <w:bidi w:val="0"/>
        <w:spacing w:lineRule="exact" w:line="600"/>
        <w:ind w:start="-424" w:end="-567" w:firstLine="624"/>
        <w:jc w:val="start"/>
        <w:rPr>
          <w:rFonts w:ascii="微软雅黑" w:hAnsi="微软雅黑" w:eastAsia="微软雅黑"/>
          <w:sz w:val="32"/>
          <w:szCs w:val="32"/>
        </w:rPr>
      </w:pPr>
      <w:r>
        <w:rPr>
          <w:rFonts w:ascii="微软雅黑" w:hAnsi="微软雅黑" w:eastAsia="微软雅黑"/>
          <w:sz w:val="32"/>
          <w:szCs w:val="32"/>
        </w:rPr>
        <w:t>当然，需要注意的是，所列指标的分类方式、具体内容仅供参考，使用者不可盲目的选取使用。尤其是在</w:t>
      </w:r>
      <w:r>
        <w:rPr>
          <w:rFonts w:eastAsia="微软雅黑" w:ascii="微软雅黑" w:hAnsi="微软雅黑"/>
          <w:sz w:val="32"/>
          <w:szCs w:val="32"/>
        </w:rPr>
        <w:t>KPI</w:t>
      </w:r>
      <w:r>
        <w:rPr>
          <w:rFonts w:ascii="微软雅黑" w:hAnsi="微软雅黑" w:eastAsia="微软雅黑"/>
          <w:sz w:val="32"/>
          <w:szCs w:val="32"/>
        </w:rPr>
        <w:t>指标设定工作中，一方面需要遵循胜任力素质模型、</w:t>
      </w:r>
      <w:r>
        <w:rPr>
          <w:rFonts w:eastAsia="微软雅黑" w:ascii="微软雅黑" w:hAnsi="微软雅黑"/>
          <w:sz w:val="32"/>
          <w:szCs w:val="32"/>
        </w:rPr>
        <w:t>BSC</w:t>
      </w:r>
      <w:r>
        <w:rPr>
          <w:rFonts w:ascii="微软雅黑" w:hAnsi="微软雅黑" w:eastAsia="微软雅黑"/>
          <w:sz w:val="32"/>
          <w:szCs w:val="32"/>
        </w:rPr>
        <w:t>、</w:t>
      </w:r>
      <w:r>
        <w:rPr>
          <w:rFonts w:eastAsia="微软雅黑" w:ascii="微软雅黑" w:hAnsi="微软雅黑"/>
          <w:sz w:val="32"/>
          <w:szCs w:val="32"/>
        </w:rPr>
        <w:t>MBO</w:t>
      </w:r>
      <w:r>
        <w:rPr>
          <w:rFonts w:ascii="微软雅黑" w:hAnsi="微软雅黑" w:eastAsia="微软雅黑"/>
          <w:sz w:val="32"/>
          <w:szCs w:val="32"/>
        </w:rPr>
        <w:t>管理、</w:t>
      </w:r>
      <w:r>
        <w:rPr>
          <w:rFonts w:eastAsia="微软雅黑" w:ascii="微软雅黑" w:hAnsi="微软雅黑"/>
          <w:sz w:val="32"/>
          <w:szCs w:val="32"/>
        </w:rPr>
        <w:t>KPI</w:t>
      </w:r>
      <w:r>
        <w:rPr>
          <w:rFonts w:ascii="微软雅黑" w:hAnsi="微软雅黑" w:eastAsia="微软雅黑"/>
          <w:sz w:val="32"/>
          <w:szCs w:val="32"/>
        </w:rPr>
        <w:t>设定原则等基本理论而进行操作使用；另一方面应根据企业性质特征、具体职位要求就所列指标进行适当的调整或者灵活选取应用。</w:t>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sectPr>
          <w:headerReference w:type="default" r:id="rId5"/>
          <w:footerReference w:type="default" r:id="rId6"/>
          <w:type w:val="nextPage"/>
          <w:pgSz w:w="11906" w:h="16838"/>
          <w:pgMar w:left="1701" w:right="1701" w:header="567" w:top="1440" w:footer="992" w:bottom="1049" w:gutter="0"/>
          <w:pgNumType w:fmt="decimal"/>
          <w:formProt w:val="false"/>
          <w:textDirection w:val="lrTb"/>
          <w:docGrid w:type="lines" w:linePitch="312" w:charSpace="0"/>
        </w:sect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tbl>
      <w:tblPr>
        <w:tblStyle w:val="19"/>
        <w:tblW w:w="16131" w:type="dxa"/>
        <w:jc w:val="center"/>
        <w:tblInd w:w="0" w:type="dxa"/>
        <w:tblLayout w:type="fixed"/>
        <w:tblCellMar>
          <w:top w:w="0" w:type="dxa"/>
          <w:start w:w="108" w:type="dxa"/>
          <w:bottom w:w="0" w:type="dxa"/>
          <w:end w:w="108" w:type="dxa"/>
        </w:tblCellMar>
      </w:tblPr>
      <w:tblGrid>
        <w:gridCol w:w="1242"/>
        <w:gridCol w:w="1119"/>
        <w:gridCol w:w="1581"/>
        <w:gridCol w:w="3449"/>
        <w:gridCol w:w="3515"/>
        <w:gridCol w:w="1240"/>
        <w:gridCol w:w="744"/>
        <w:gridCol w:w="1276"/>
        <w:gridCol w:w="1140"/>
        <w:gridCol w:w="823"/>
      </w:tblGrid>
      <w:tr>
        <w:trPr>
          <w:tblHeader w:val="true"/>
          <w:trHeight w:val="660" w:hRule="atLeast"/>
        </w:trPr>
        <w:tc>
          <w:tcPr>
            <w:tcW w:w="1242" w:type="dxa"/>
            <w:tcBorders>
              <w:top w:val="single" w:sz="8" w:space="0" w:color="000000"/>
              <w:start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职能维度</w:t>
            </w:r>
            <w:r>
              <w:rPr>
                <w:rFonts w:cs="宋体" w:ascii="宋体" w:hAnsi="宋体"/>
                <w:b/>
                <w:bCs/>
                <w:color w:val="000000"/>
                <w:kern w:val="0"/>
                <w:sz w:val="22"/>
                <w:szCs w:val="22"/>
              </w:rPr>
              <w:t>/</w:t>
            </w:r>
            <w:r>
              <w:rPr>
                <w:rFonts w:ascii="宋体" w:hAnsi="宋体" w:cs="宋体"/>
                <w:b/>
                <w:bCs/>
                <w:color w:val="000000"/>
                <w:kern w:val="0"/>
                <w:sz w:val="22"/>
                <w:szCs w:val="22"/>
              </w:rPr>
              <w:t>考核项目</w:t>
            </w:r>
          </w:p>
        </w:tc>
        <w:tc>
          <w:tcPr>
            <w:tcW w:w="111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指标分类</w:t>
            </w:r>
          </w:p>
        </w:tc>
        <w:tc>
          <w:tcPr>
            <w:tcW w:w="1581"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cs="宋体" w:ascii="宋体" w:hAnsi="宋体"/>
                <w:b/>
                <w:bCs/>
                <w:color w:val="000000"/>
                <w:kern w:val="0"/>
                <w:sz w:val="22"/>
                <w:szCs w:val="22"/>
              </w:rPr>
              <w:t>KPI</w:t>
            </w:r>
            <w:r>
              <w:rPr>
                <w:rFonts w:ascii="宋体" w:hAnsi="宋体" w:cs="宋体"/>
                <w:b/>
                <w:bCs/>
                <w:color w:val="000000"/>
                <w:kern w:val="0"/>
                <w:sz w:val="22"/>
                <w:szCs w:val="22"/>
              </w:rPr>
              <w:t>指标名称</w:t>
            </w:r>
          </w:p>
        </w:tc>
        <w:tc>
          <w:tcPr>
            <w:tcW w:w="344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指标计算公式或者定义</w:t>
            </w:r>
          </w:p>
        </w:tc>
        <w:tc>
          <w:tcPr>
            <w:tcW w:w="3515"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说明</w:t>
            </w:r>
          </w:p>
        </w:tc>
        <w:tc>
          <w:tcPr>
            <w:tcW w:w="124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指标性质（</w:t>
            </w:r>
            <w:r>
              <w:rPr>
                <w:rFonts w:cs="宋体" w:ascii="宋体" w:hAnsi="宋体"/>
                <w:b/>
                <w:bCs/>
                <w:color w:val="000000"/>
                <w:kern w:val="0"/>
                <w:sz w:val="22"/>
                <w:szCs w:val="22"/>
              </w:rPr>
              <w:t>BSC</w:t>
            </w:r>
            <w:r>
              <w:rPr>
                <w:rFonts w:ascii="宋体" w:hAnsi="宋体" w:cs="宋体"/>
                <w:b/>
                <w:bCs/>
                <w:color w:val="000000"/>
                <w:kern w:val="0"/>
                <w:sz w:val="22"/>
                <w:szCs w:val="22"/>
              </w:rPr>
              <w:t>）</w:t>
            </w:r>
          </w:p>
        </w:tc>
        <w:tc>
          <w:tcPr>
            <w:tcW w:w="744"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考核周期</w:t>
            </w:r>
          </w:p>
        </w:tc>
        <w:tc>
          <w:tcPr>
            <w:tcW w:w="1276"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数据来源</w:t>
            </w:r>
          </w:p>
        </w:tc>
        <w:tc>
          <w:tcPr>
            <w:tcW w:w="1140" w:type="dxa"/>
            <w:tcBorders>
              <w:top w:val="single" w:sz="8" w:space="0" w:color="000000"/>
              <w:bottom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适合范围</w:t>
            </w:r>
          </w:p>
        </w:tc>
        <w:tc>
          <w:tcPr>
            <w:tcW w:w="823" w:type="dxa"/>
            <w:tcBorders>
              <w:top w:val="single" w:sz="8" w:space="0" w:color="000000"/>
              <w:start w:val="single" w:sz="4" w:space="0" w:color="000000"/>
              <w:bottom w:val="single" w:sz="4" w:space="0" w:color="000000"/>
              <w:end w:val="single" w:sz="8"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备注</w:t>
            </w:r>
          </w:p>
        </w:tc>
      </w:tr>
      <w:tr>
        <w:trPr>
          <w:trHeight w:val="930" w:hRule="atLeast"/>
        </w:trPr>
        <w:tc>
          <w:tcPr>
            <w:tcW w:w="1242"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人力资源管理综合效益</w:t>
            </w:r>
          </w:p>
        </w:tc>
        <w:tc>
          <w:tcPr>
            <w:tcW w:w="111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人力资源投入回报</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人工成本率（人力资源投资回报率）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单位人力成本收益率</w:t>
            </w:r>
            <w:r>
              <w:rPr>
                <w:rFonts w:cs="宋体" w:ascii="宋体" w:hAnsi="宋体"/>
                <w:color w:val="000000"/>
                <w:kern w:val="0"/>
                <w:sz w:val="22"/>
                <w:szCs w:val="22"/>
              </w:rPr>
              <w:t>=</w:t>
            </w:r>
            <w:r>
              <w:rPr>
                <w:rFonts w:ascii="宋体" w:hAnsi="宋体" w:cs="宋体"/>
                <w:color w:val="000000"/>
                <w:kern w:val="0"/>
                <w:sz w:val="22"/>
                <w:szCs w:val="22"/>
              </w:rPr>
              <w:t>毛利总额</w:t>
            </w:r>
            <w:r>
              <w:rPr>
                <w:rFonts w:cs="宋体" w:ascii="宋体" w:hAnsi="宋体"/>
                <w:color w:val="000000"/>
                <w:kern w:val="0"/>
                <w:sz w:val="22"/>
                <w:szCs w:val="22"/>
              </w:rPr>
              <w:t>÷</w:t>
            </w:r>
            <w:r>
              <w:rPr>
                <w:rFonts w:ascii="宋体" w:hAnsi="宋体" w:cs="宋体"/>
                <w:color w:val="000000"/>
                <w:kern w:val="0"/>
                <w:sz w:val="22"/>
                <w:szCs w:val="22"/>
              </w:rPr>
              <w:t>（工资总额</w:t>
            </w:r>
            <w:r>
              <w:rPr>
                <w:rFonts w:cs="宋体" w:ascii="宋体" w:hAnsi="宋体"/>
                <w:color w:val="000000"/>
                <w:kern w:val="0"/>
                <w:sz w:val="22"/>
                <w:szCs w:val="22"/>
              </w:rPr>
              <w:t>+</w:t>
            </w:r>
            <w:r>
              <w:rPr>
                <w:rFonts w:ascii="宋体" w:hAnsi="宋体" w:cs="宋体"/>
                <w:color w:val="000000"/>
                <w:kern w:val="0"/>
                <w:sz w:val="22"/>
                <w:szCs w:val="22"/>
              </w:rPr>
              <w:t>其他人力成本投入）</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人力资源部、财务部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　</w:t>
            </w:r>
          </w:p>
        </w:tc>
      </w:tr>
      <w:tr>
        <w:trPr>
          <w:trHeight w:val="660" w:hRule="atLeast"/>
        </w:trPr>
        <w:tc>
          <w:tcPr>
            <w:tcW w:w="1242"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员工保有</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核心员工保有率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核心员工保有率达到</w:t>
            </w:r>
            <w:r>
              <w:rPr>
                <w:rFonts w:cs="宋体" w:ascii="宋体" w:hAnsi="宋体"/>
                <w:color w:val="000000"/>
                <w:kern w:val="0"/>
                <w:sz w:val="22"/>
                <w:szCs w:val="22"/>
              </w:rPr>
              <w:t>____%</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　</w:t>
            </w:r>
          </w:p>
        </w:tc>
      </w:tr>
      <w:tr>
        <w:trPr>
          <w:trHeight w:val="660" w:hRule="atLeast"/>
        </w:trPr>
        <w:tc>
          <w:tcPr>
            <w:tcW w:w="1242"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员工流失率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员工流失率控制在</w:t>
            </w:r>
            <w:r>
              <w:rPr>
                <w:rFonts w:cs="宋体" w:ascii="宋体" w:hAnsi="宋体"/>
                <w:color w:val="000000"/>
                <w:kern w:val="0"/>
                <w:sz w:val="22"/>
                <w:szCs w:val="22"/>
              </w:rPr>
              <w:t>____%</w:t>
            </w:r>
            <w:r>
              <w:rPr>
                <w:rFonts w:ascii="宋体" w:hAnsi="宋体" w:cs="宋体"/>
                <w:color w:val="000000"/>
                <w:kern w:val="0"/>
                <w:sz w:val="22"/>
                <w:szCs w:val="22"/>
              </w:rPr>
              <w:t>以内</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　</w:t>
            </w:r>
          </w:p>
        </w:tc>
      </w:tr>
      <w:tr>
        <w:trPr>
          <w:trHeight w:val="660" w:hRule="atLeast"/>
        </w:trPr>
        <w:tc>
          <w:tcPr>
            <w:tcW w:w="1242"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员工成长</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人均业绩提升率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业绩提升率</w:t>
            </w:r>
            <w:r>
              <w:rPr>
                <w:rFonts w:cs="宋体" w:ascii="宋体" w:hAnsi="宋体"/>
                <w:color w:val="000000"/>
                <w:kern w:val="0"/>
                <w:sz w:val="22"/>
                <w:szCs w:val="22"/>
              </w:rPr>
              <w:t>=</w:t>
            </w:r>
            <w:r>
              <w:rPr>
                <w:rFonts w:ascii="宋体" w:hAnsi="宋体" w:cs="宋体"/>
                <w:color w:val="000000"/>
                <w:kern w:val="0"/>
                <w:sz w:val="22"/>
                <w:szCs w:val="22"/>
              </w:rPr>
              <w:t>当期人均产出</w:t>
            </w:r>
            <w:r>
              <w:rPr>
                <w:rFonts w:cs="宋体" w:ascii="宋体" w:hAnsi="宋体"/>
                <w:color w:val="000000"/>
                <w:kern w:val="0"/>
                <w:sz w:val="22"/>
                <w:szCs w:val="22"/>
              </w:rPr>
              <w:t>÷</w:t>
            </w:r>
            <w:r>
              <w:rPr>
                <w:rFonts w:ascii="宋体" w:hAnsi="宋体" w:cs="宋体"/>
                <w:color w:val="000000"/>
                <w:kern w:val="0"/>
                <w:sz w:val="22"/>
                <w:szCs w:val="22"/>
              </w:rPr>
              <w:t>上期人均产出</w:t>
            </w:r>
            <w:r>
              <w:rPr>
                <w:rFonts w:cs="宋体" w:ascii="宋体" w:hAnsi="宋体"/>
                <w:color w:val="000000"/>
                <w:kern w:val="0"/>
                <w:sz w:val="22"/>
                <w:szCs w:val="22"/>
              </w:rPr>
              <w:t>×100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　</w:t>
            </w:r>
          </w:p>
        </w:tc>
      </w:tr>
      <w:tr>
        <w:trPr>
          <w:trHeight w:val="960" w:hRule="atLeast"/>
        </w:trPr>
        <w:tc>
          <w:tcPr>
            <w:tcW w:w="1242"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员工个人职业发展达成率</w:t>
            </w:r>
            <w:r>
              <w:rPr>
                <w:rFonts w:cs="宋体" w:ascii="宋体" w:hAnsi="宋体"/>
                <w:color w:val="000000"/>
                <w:kern w:val="0"/>
                <w:sz w:val="22"/>
                <w:szCs w:val="22"/>
              </w:rPr>
              <w:t>/</w:t>
            </w:r>
            <w:r>
              <w:rPr>
                <w:rFonts w:ascii="宋体" w:hAnsi="宋体" w:cs="宋体"/>
                <w:color w:val="000000"/>
                <w:kern w:val="0"/>
                <w:sz w:val="22"/>
                <w:szCs w:val="22"/>
              </w:rPr>
              <w:t>员工能力提升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员工个人职业规划实现状况。</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根据员工职业生涯发展规划拟定及实际达成情况的比较结果进行评价，包括员工能力提升状况。</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　</w:t>
            </w:r>
          </w:p>
        </w:tc>
      </w:tr>
      <w:tr>
        <w:trPr>
          <w:trHeight w:val="825" w:hRule="atLeast"/>
        </w:trPr>
        <w:tc>
          <w:tcPr>
            <w:tcW w:w="1242"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公司员工素质结构情况</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员工素质结构合理，符合企业战略发展需求。</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员工素质结构涵盖知识结构、专业结构、技能结构、性别结构、年龄结构、部门结构、职务结构、管理权限结构、性格结构等方面内容。</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　</w:t>
            </w:r>
          </w:p>
        </w:tc>
      </w:tr>
      <w:tr>
        <w:trPr>
          <w:trHeight w:val="675" w:hRule="atLeast"/>
        </w:trPr>
        <w:tc>
          <w:tcPr>
            <w:tcW w:w="1242"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人均工资增长率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人均工资增长率</w:t>
            </w:r>
            <w:r>
              <w:rPr>
                <w:rFonts w:cs="宋体" w:ascii="宋体" w:hAnsi="宋体"/>
                <w:color w:val="000000"/>
                <w:kern w:val="0"/>
                <w:sz w:val="22"/>
                <w:szCs w:val="22"/>
              </w:rPr>
              <w:t>=</w:t>
            </w:r>
            <w:r>
              <w:rPr>
                <w:rFonts w:ascii="宋体" w:hAnsi="宋体" w:cs="宋体"/>
                <w:color w:val="000000"/>
                <w:kern w:val="0"/>
                <w:sz w:val="22"/>
                <w:szCs w:val="22"/>
              </w:rPr>
              <w:t>当期人均工资</w:t>
            </w:r>
            <w:r>
              <w:rPr>
                <w:rFonts w:cs="宋体" w:ascii="宋体" w:hAnsi="宋体"/>
                <w:color w:val="000000"/>
                <w:kern w:val="0"/>
                <w:sz w:val="22"/>
                <w:szCs w:val="22"/>
              </w:rPr>
              <w:t>÷</w:t>
            </w:r>
            <w:r>
              <w:rPr>
                <w:rFonts w:ascii="宋体" w:hAnsi="宋体" w:cs="宋体"/>
                <w:color w:val="000000"/>
                <w:kern w:val="0"/>
                <w:sz w:val="22"/>
                <w:szCs w:val="22"/>
              </w:rPr>
              <w:t>上期人均工资</w:t>
            </w:r>
            <w:r>
              <w:rPr>
                <w:rFonts w:cs="宋体" w:ascii="宋体" w:hAnsi="宋体"/>
                <w:color w:val="000000"/>
                <w:kern w:val="0"/>
                <w:sz w:val="22"/>
                <w:szCs w:val="22"/>
              </w:rPr>
              <w:t>×100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　</w:t>
            </w:r>
          </w:p>
        </w:tc>
      </w:tr>
      <w:tr>
        <w:trPr>
          <w:trHeight w:val="825" w:hRule="atLeast"/>
        </w:trPr>
        <w:tc>
          <w:tcPr>
            <w:tcW w:w="1242"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组织效率改善以及员工满意度</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组织凝聚力与执行力</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组织凝聚力与执行力得到提升，且整体组织工作效率提高。</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组织表现为较强的凝聚力，员工认同公司企业文化且员工协同能力强；执行力强，有效执行公司战略、各项具体工作计划、以及各项管理制度。</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人力资源部、企业文化建设部门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　</w:t>
            </w:r>
          </w:p>
        </w:tc>
      </w:tr>
      <w:tr>
        <w:trPr>
          <w:trHeight w:val="1095" w:hRule="atLeast"/>
        </w:trPr>
        <w:tc>
          <w:tcPr>
            <w:tcW w:w="1242"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员工对组织满意度评价。</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员工对于公司未来发展、组织运作有效性、组织凝聚力、工作氛围、团队合作、工作环境、组织形象、员工关爱、学习成长等方面的满意程度；且员工关系得到不断改善。</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人力资源部、企业文化建设部门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　</w:t>
            </w:r>
          </w:p>
        </w:tc>
      </w:tr>
      <w:tr>
        <w:trPr>
          <w:trHeight w:val="1095" w:hRule="atLeast"/>
        </w:trPr>
        <w:tc>
          <w:tcPr>
            <w:tcW w:w="1242"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招聘</w:t>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招聘工作</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招聘及时率</w:t>
            </w:r>
          </w:p>
        </w:tc>
        <w:tc>
          <w:tcPr>
            <w:tcW w:w="3449" w:type="dxa"/>
            <w:tcBorders>
              <w:bottom w:val="single" w:sz="4" w:space="0" w:color="000000"/>
              <w:end w:val="single" w:sz="4" w:space="0" w:color="000000"/>
            </w:tcBorders>
            <w:shd w:color="000000" w:fill="FFFFFF"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按期录用人数</w:t>
            </w:r>
            <w:r>
              <w:rPr>
                <w:rFonts w:cs="宋体" w:ascii="宋体" w:hAnsi="宋体"/>
                <w:color w:val="000000"/>
                <w:kern w:val="0"/>
                <w:sz w:val="22"/>
                <w:szCs w:val="22"/>
              </w:rPr>
              <w:t>÷(</w:t>
            </w:r>
            <w:r>
              <w:rPr>
                <w:rFonts w:ascii="宋体" w:hAnsi="宋体" w:cs="宋体"/>
                <w:color w:val="000000"/>
                <w:kern w:val="0"/>
                <w:sz w:val="22"/>
                <w:szCs w:val="22"/>
              </w:rPr>
              <w:t>当期计划招聘人数</w:t>
            </w:r>
            <w:r>
              <w:rPr>
                <w:rFonts w:cs="宋体" w:ascii="宋体" w:hAnsi="宋体"/>
                <w:color w:val="000000"/>
                <w:kern w:val="0"/>
                <w:sz w:val="22"/>
                <w:szCs w:val="22"/>
              </w:rPr>
              <w:t>+</w:t>
            </w:r>
            <w:r>
              <w:rPr>
                <w:rFonts w:ascii="宋体" w:hAnsi="宋体" w:cs="宋体"/>
                <w:color w:val="000000"/>
                <w:kern w:val="0"/>
                <w:sz w:val="22"/>
                <w:szCs w:val="22"/>
              </w:rPr>
              <w:t>上期应招而未招满的人数</w:t>
            </w:r>
            <w:r>
              <w:rPr>
                <w:rFonts w:cs="宋体" w:ascii="宋体" w:hAnsi="宋体"/>
                <w:color w:val="000000"/>
                <w:kern w:val="0"/>
                <w:sz w:val="22"/>
                <w:szCs w:val="22"/>
              </w:rPr>
              <w:t>)×100</w:t>
            </w:r>
            <w:r>
              <w:rPr>
                <w:rFonts w:ascii="宋体" w:hAnsi="宋体" w:cs="宋体"/>
                <w:color w:val="000000"/>
                <w:kern w:val="0"/>
                <w:sz w:val="22"/>
                <w:szCs w:val="22"/>
              </w:rPr>
              <w:t>％</w:t>
            </w:r>
            <w:r>
              <w:rPr>
                <w:rFonts w:cs="宋体" w:ascii="宋体" w:hAnsi="宋体"/>
                <w:color w:val="000000"/>
                <w:kern w:val="0"/>
                <w:sz w:val="22"/>
                <w:szCs w:val="22"/>
              </w:rPr>
              <w:t>(</w:t>
            </w:r>
            <w:r>
              <w:rPr>
                <w:rFonts w:ascii="宋体" w:hAnsi="宋体" w:cs="宋体"/>
                <w:color w:val="000000"/>
                <w:kern w:val="0"/>
                <w:sz w:val="22"/>
                <w:szCs w:val="22"/>
              </w:rPr>
              <w:t>以人力资源部签收日为准</w:t>
            </w:r>
            <w:r>
              <w:rPr>
                <w:rFonts w:cs="宋体" w:ascii="宋体" w:hAnsi="宋体"/>
                <w:color w:val="000000"/>
                <w:kern w:val="0"/>
                <w:sz w:val="22"/>
                <w:szCs w:val="22"/>
              </w:rPr>
              <w:t>)</w:t>
            </w:r>
            <w:r>
              <w:rPr>
                <w:rFonts w:ascii="宋体" w:hAnsi="宋体" w:cs="宋体"/>
                <w:color w:val="000000"/>
                <w:kern w:val="0"/>
                <w:sz w:val="22"/>
                <w:szCs w:val="22"/>
              </w:rPr>
              <w:t>（大于</w:t>
            </w:r>
            <w:r>
              <w:rPr>
                <w:rFonts w:cs="宋体" w:ascii="宋体" w:hAnsi="宋体"/>
                <w:color w:val="000000"/>
                <w:kern w:val="0"/>
                <w:sz w:val="22"/>
                <w:szCs w:val="22"/>
              </w:rPr>
              <w:t>80%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招聘主管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242"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招聘合格率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当期转正人数</w:t>
            </w:r>
            <w:r>
              <w:rPr>
                <w:rFonts w:cs="宋体" w:ascii="宋体" w:hAnsi="宋体"/>
                <w:color w:val="000000"/>
                <w:kern w:val="0"/>
                <w:sz w:val="22"/>
                <w:szCs w:val="22"/>
              </w:rPr>
              <w:t>÷</w:t>
            </w:r>
            <w:r>
              <w:rPr>
                <w:rFonts w:ascii="宋体" w:hAnsi="宋体" w:cs="宋体"/>
                <w:color w:val="000000"/>
                <w:kern w:val="0"/>
                <w:sz w:val="22"/>
                <w:szCs w:val="22"/>
              </w:rPr>
              <w:t>当期应转正人数</w:t>
            </w:r>
            <w:r>
              <w:rPr>
                <w:rFonts w:cs="宋体" w:ascii="宋体" w:hAnsi="宋体"/>
                <w:color w:val="000000"/>
                <w:kern w:val="0"/>
                <w:sz w:val="22"/>
                <w:szCs w:val="22"/>
              </w:rPr>
              <w:t>×100</w:t>
            </w:r>
            <w:r>
              <w:rPr>
                <w:rFonts w:ascii="宋体" w:hAnsi="宋体" w:cs="宋体"/>
                <w:color w:val="000000"/>
                <w:kern w:val="0"/>
                <w:sz w:val="22"/>
                <w:szCs w:val="22"/>
              </w:rPr>
              <w:t>％（大于</w:t>
            </w:r>
            <w:r>
              <w:rPr>
                <w:rFonts w:cs="宋体" w:ascii="宋体" w:hAnsi="宋体"/>
                <w:color w:val="000000"/>
                <w:kern w:val="0"/>
                <w:sz w:val="22"/>
                <w:szCs w:val="22"/>
              </w:rPr>
              <w:t>90%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招聘主管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242"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招聘费用控制</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（实际招聘费用</w:t>
            </w:r>
            <w:r>
              <w:rPr>
                <w:rFonts w:cs="宋体" w:ascii="宋体" w:hAnsi="宋体"/>
                <w:color w:val="000000"/>
                <w:kern w:val="0"/>
                <w:sz w:val="22"/>
                <w:szCs w:val="22"/>
              </w:rPr>
              <w:t>÷</w:t>
            </w:r>
            <w:r>
              <w:rPr>
                <w:rFonts w:ascii="宋体" w:hAnsi="宋体" w:cs="宋体"/>
                <w:color w:val="000000"/>
                <w:kern w:val="0"/>
                <w:sz w:val="22"/>
                <w:szCs w:val="22"/>
              </w:rPr>
              <w:t>计划招聘费用）</w:t>
            </w:r>
            <w:r>
              <w:rPr>
                <w:rFonts w:cs="宋体" w:ascii="宋体" w:hAnsi="宋体"/>
                <w:color w:val="000000"/>
                <w:kern w:val="0"/>
                <w:sz w:val="22"/>
                <w:szCs w:val="22"/>
              </w:rPr>
              <w:t>×100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招聘主管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15" w:hRule="atLeast"/>
        </w:trPr>
        <w:tc>
          <w:tcPr>
            <w:tcW w:w="1242"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人员编制及人才储备</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后备人才储备率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w:t>
            </w:r>
            <w:r>
              <w:rPr>
                <w:rFonts w:ascii="宋体" w:hAnsi="宋体" w:cs="宋体"/>
                <w:color w:val="000000"/>
                <w:kern w:val="0"/>
                <w:sz w:val="22"/>
                <w:szCs w:val="22"/>
              </w:rPr>
              <w:t>实际后备人才数量</w:t>
            </w:r>
            <w:r>
              <w:rPr>
                <w:rFonts w:cs="宋体" w:ascii="宋体" w:hAnsi="宋体"/>
                <w:color w:val="000000"/>
                <w:kern w:val="0"/>
                <w:sz w:val="22"/>
                <w:szCs w:val="22"/>
              </w:rPr>
              <w:t>÷</w:t>
            </w:r>
            <w:r>
              <w:rPr>
                <w:rFonts w:ascii="宋体" w:hAnsi="宋体" w:cs="宋体"/>
                <w:color w:val="000000"/>
                <w:kern w:val="0"/>
                <w:sz w:val="22"/>
                <w:szCs w:val="22"/>
              </w:rPr>
              <w:t>计划后备人才数量</w:t>
            </w:r>
            <w:r>
              <w:rPr>
                <w:rFonts w:cs="宋体" w:ascii="宋体" w:hAnsi="宋体"/>
                <w:color w:val="000000"/>
                <w:kern w:val="0"/>
                <w:sz w:val="22"/>
                <w:szCs w:val="22"/>
              </w:rPr>
              <w:t>)×100%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招聘主管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30" w:hRule="atLeast"/>
        </w:trPr>
        <w:tc>
          <w:tcPr>
            <w:tcW w:w="1242"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人员编制控制率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w:t>
            </w:r>
            <w:r>
              <w:rPr>
                <w:rFonts w:ascii="宋体" w:hAnsi="宋体" w:cs="宋体"/>
                <w:color w:val="000000"/>
                <w:kern w:val="0"/>
                <w:sz w:val="22"/>
                <w:szCs w:val="22"/>
              </w:rPr>
              <w:t>实际人数</w:t>
            </w:r>
            <w:r>
              <w:rPr>
                <w:rFonts w:cs="宋体" w:ascii="宋体" w:hAnsi="宋体"/>
                <w:color w:val="000000"/>
                <w:kern w:val="0"/>
                <w:sz w:val="22"/>
                <w:szCs w:val="22"/>
              </w:rPr>
              <w:t>÷</w:t>
            </w:r>
            <w:r>
              <w:rPr>
                <w:rFonts w:ascii="宋体" w:hAnsi="宋体" w:cs="宋体"/>
                <w:color w:val="000000"/>
                <w:kern w:val="0"/>
                <w:sz w:val="22"/>
                <w:szCs w:val="22"/>
              </w:rPr>
              <w:t>计划编制人数</w:t>
            </w:r>
            <w:r>
              <w:rPr>
                <w:rFonts w:cs="宋体" w:ascii="宋体" w:hAnsi="宋体"/>
                <w:color w:val="000000"/>
                <w:kern w:val="0"/>
                <w:sz w:val="22"/>
                <w:szCs w:val="22"/>
              </w:rPr>
              <w:t>)×100%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招聘主管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242"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人才引进完成率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w:t>
            </w:r>
            <w:r>
              <w:rPr>
                <w:rFonts w:ascii="宋体" w:hAnsi="宋体" w:cs="宋体"/>
                <w:color w:val="000000"/>
                <w:kern w:val="0"/>
                <w:sz w:val="22"/>
                <w:szCs w:val="22"/>
              </w:rPr>
              <w:t>实际引进人数</w:t>
            </w:r>
            <w:r>
              <w:rPr>
                <w:rFonts w:cs="宋体" w:ascii="宋体" w:hAnsi="宋体"/>
                <w:color w:val="000000"/>
                <w:kern w:val="0"/>
                <w:sz w:val="22"/>
                <w:szCs w:val="22"/>
              </w:rPr>
              <w:t>÷</w:t>
            </w:r>
            <w:r>
              <w:rPr>
                <w:rFonts w:ascii="宋体" w:hAnsi="宋体" w:cs="宋体"/>
                <w:color w:val="000000"/>
                <w:kern w:val="0"/>
                <w:sz w:val="22"/>
                <w:szCs w:val="22"/>
              </w:rPr>
              <w:t>计划引进人数</w:t>
            </w:r>
            <w:r>
              <w:rPr>
                <w:rFonts w:cs="宋体" w:ascii="宋体" w:hAnsi="宋体"/>
                <w:color w:val="000000"/>
                <w:kern w:val="0"/>
                <w:sz w:val="22"/>
                <w:szCs w:val="22"/>
              </w:rPr>
              <w:t>)×100%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招聘主管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242" w:type="dxa"/>
            <w:vMerge w:val="restart"/>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培训</w:t>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培训执行</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员工培训完成率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w:t>
            </w:r>
            <w:r>
              <w:rPr>
                <w:rFonts w:ascii="宋体" w:hAnsi="宋体" w:cs="宋体"/>
                <w:color w:val="000000"/>
                <w:kern w:val="0"/>
                <w:sz w:val="22"/>
                <w:szCs w:val="22"/>
              </w:rPr>
              <w:t>有效完成的培训数量</w:t>
            </w:r>
            <w:r>
              <w:rPr>
                <w:rFonts w:cs="宋体" w:ascii="宋体" w:hAnsi="宋体"/>
                <w:color w:val="000000"/>
                <w:kern w:val="0"/>
                <w:sz w:val="22"/>
                <w:szCs w:val="22"/>
              </w:rPr>
              <w:t>÷</w:t>
            </w:r>
            <w:r>
              <w:rPr>
                <w:rFonts w:ascii="宋体" w:hAnsi="宋体" w:cs="宋体"/>
                <w:color w:val="000000"/>
                <w:kern w:val="0"/>
                <w:sz w:val="22"/>
                <w:szCs w:val="22"/>
              </w:rPr>
              <w:t>培训计划总量</w:t>
            </w:r>
            <w:r>
              <w:rPr>
                <w:rFonts w:cs="宋体" w:ascii="宋体" w:hAnsi="宋体"/>
                <w:color w:val="000000"/>
                <w:kern w:val="0"/>
                <w:sz w:val="22"/>
                <w:szCs w:val="22"/>
              </w:rPr>
              <w:t>)×100%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培训主管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242"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人均培训时间达成率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（实际人均培训时间</w:t>
            </w:r>
            <w:r>
              <w:rPr>
                <w:rFonts w:cs="宋体" w:ascii="宋体" w:hAnsi="宋体"/>
                <w:color w:val="000000"/>
                <w:kern w:val="0"/>
                <w:sz w:val="22"/>
                <w:szCs w:val="22"/>
              </w:rPr>
              <w:t>÷</w:t>
            </w:r>
            <w:r>
              <w:rPr>
                <w:rFonts w:ascii="宋体" w:hAnsi="宋体" w:cs="宋体"/>
                <w:color w:val="000000"/>
                <w:kern w:val="0"/>
                <w:sz w:val="22"/>
                <w:szCs w:val="22"/>
              </w:rPr>
              <w:t>计划人均培训时间</w:t>
            </w:r>
            <w:r>
              <w:rPr>
                <w:rFonts w:cs="宋体" w:ascii="宋体" w:hAnsi="宋体"/>
                <w:color w:val="000000"/>
                <w:kern w:val="0"/>
                <w:sz w:val="22"/>
                <w:szCs w:val="22"/>
              </w:rPr>
              <w:t>)×100%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培训主管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242"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培训费用控制</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（实际培训费用</w:t>
            </w:r>
            <w:r>
              <w:rPr>
                <w:rFonts w:cs="宋体" w:ascii="宋体" w:hAnsi="宋体"/>
                <w:color w:val="000000"/>
                <w:kern w:val="0"/>
                <w:sz w:val="22"/>
                <w:szCs w:val="22"/>
              </w:rPr>
              <w:t>÷</w:t>
            </w:r>
            <w:r>
              <w:rPr>
                <w:rFonts w:ascii="宋体" w:hAnsi="宋体" w:cs="宋体"/>
                <w:color w:val="000000"/>
                <w:kern w:val="0"/>
                <w:sz w:val="22"/>
                <w:szCs w:val="22"/>
              </w:rPr>
              <w:t>计划培训费用）</w:t>
            </w:r>
            <w:r>
              <w:rPr>
                <w:rFonts w:cs="宋体" w:ascii="宋体" w:hAnsi="宋体"/>
                <w:color w:val="000000"/>
                <w:kern w:val="0"/>
                <w:sz w:val="22"/>
                <w:szCs w:val="22"/>
              </w:rPr>
              <w:t>×100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培训主管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242"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员工对培训的满意度</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对员工进行培训满意度调查的评分情况。</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人力资源部、员工满意度</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培训主管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242"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培训效果</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人才培养完成情况</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培训对象是指根据企业阶段需求需要培养的人才。（人才能力是否达标、人才数量是否满足需求）</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培训主管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42"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员工能力提升情况</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通过培训促使员工能力提升的效果。</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培训主管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10" w:hRule="atLeast"/>
        </w:trPr>
        <w:tc>
          <w:tcPr>
            <w:tcW w:w="1242"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专业测评考试通过率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主要指员工职称考试（或者内部专业职级考试、技能等级评定）的通过率。</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培训主管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85" w:hRule="atLeast"/>
        </w:trPr>
        <w:tc>
          <w:tcPr>
            <w:tcW w:w="1242" w:type="dxa"/>
            <w:vMerge w:val="restart"/>
            <w:tcBorders>
              <w:top w:val="single" w:sz="4" w:space="0" w:color="000000"/>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绩效考核</w:t>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绩效考核工作实施</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考核的及时性</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及时进行绩效考核，并依据考核结果实施奖惩。</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绩效考核主管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考核的客观公正性</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考核方式、考核过程符合《绩效考核管理制度》中的相关规定，且员工认同度高。</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人力资源部、员工反馈</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绩效考核主管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考核数据准确性</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考核数据符合《绩效考核管理制度》和考核实际情况</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绩效考核主管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考核数据提交及时性</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《绩效考核表》每月及时提交上级领导及财务部门</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绩效考核主管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绩效管理费用控制</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（实际绩效考核管理费用</w:t>
            </w:r>
            <w:r>
              <w:rPr>
                <w:rFonts w:cs="宋体" w:ascii="宋体" w:hAnsi="宋体"/>
                <w:color w:val="000000"/>
                <w:kern w:val="0"/>
                <w:sz w:val="22"/>
                <w:szCs w:val="22"/>
              </w:rPr>
              <w:t>÷</w:t>
            </w:r>
            <w:r>
              <w:rPr>
                <w:rFonts w:ascii="宋体" w:hAnsi="宋体" w:cs="宋体"/>
                <w:color w:val="000000"/>
                <w:kern w:val="0"/>
                <w:sz w:val="22"/>
                <w:szCs w:val="22"/>
              </w:rPr>
              <w:t>计划绩效考核管理费用）</w:t>
            </w:r>
            <w:r>
              <w:rPr>
                <w:rFonts w:cs="宋体" w:ascii="宋体" w:hAnsi="宋体"/>
                <w:color w:val="000000"/>
                <w:kern w:val="0"/>
                <w:sz w:val="22"/>
                <w:szCs w:val="22"/>
              </w:rPr>
              <w:t>×100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绩效考核主管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绩效考核计划执行情况</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是否按照绩效考核计划按期、高质量执行。</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绩效考核主管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员工面谈及考核申诉处理</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员工绩效考核面谈完成及时高效、申诉处理及时性。</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绩效考核主管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绩效改进</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部门、个人改进计划实施</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按照《绩效考核管理制度》有效落实部门、个人改进计划工作。</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绩效考核主管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部门绩效改进情况</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年度公司各部门绩效改进的情况。</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绩效考核主管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4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员工绩效改进情况</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年度人均绩效改进情况。</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绩效考核主管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242" w:type="dxa"/>
            <w:vMerge w:val="restart"/>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薪酬及福利</w:t>
            </w:r>
          </w:p>
        </w:tc>
        <w:tc>
          <w:tcPr>
            <w:tcW w:w="1119" w:type="dxa"/>
            <w:tcBorders>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薪酬设计与规划</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薪酬规划及福利计划的合理性</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科学合理设计薪酬方案以及福利计划。</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依据政策变化、公司总体人力资源规划、行业薪酬福利水平、公司业务发展现状等，制定合理的薪酬规划及福利计划，且得到领导认可。</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薪酬及福利主管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05" w:hRule="atLeast"/>
        </w:trPr>
        <w:tc>
          <w:tcPr>
            <w:tcW w:w="1242"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top w:val="single" w:sz="4" w:space="0" w:color="000000"/>
              <w:start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薪酬福利工作实施</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工资账目管理及发放</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工资帐目准确、清晰、及时，总额控制到位，且工资发放及时、准确。</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人力资源部、财务部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薪酬及福利主管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242"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员工福利数据准确</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各项保险、福利数据符合要求、上报及时且无差错。</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人力资源部、财务部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薪酬及福利主管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242"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薪酬福利费用控制</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（实际薪酬</w:t>
            </w:r>
            <w:r>
              <w:rPr>
                <w:rFonts w:cs="宋体" w:ascii="宋体" w:hAnsi="宋体"/>
                <w:color w:val="000000"/>
                <w:kern w:val="0"/>
                <w:sz w:val="22"/>
                <w:szCs w:val="22"/>
              </w:rPr>
              <w:t>/</w:t>
            </w:r>
            <w:r>
              <w:rPr>
                <w:rFonts w:ascii="宋体" w:hAnsi="宋体" w:cs="宋体"/>
                <w:color w:val="000000"/>
                <w:kern w:val="0"/>
                <w:sz w:val="22"/>
                <w:szCs w:val="22"/>
              </w:rPr>
              <w:t>福利费用</w:t>
            </w:r>
            <w:r>
              <w:rPr>
                <w:rFonts w:cs="宋体" w:ascii="宋体" w:hAnsi="宋体"/>
                <w:color w:val="000000"/>
                <w:kern w:val="0"/>
                <w:sz w:val="22"/>
                <w:szCs w:val="22"/>
              </w:rPr>
              <w:t>÷</w:t>
            </w:r>
            <w:r>
              <w:rPr>
                <w:rFonts w:ascii="宋体" w:hAnsi="宋体" w:cs="宋体"/>
                <w:color w:val="000000"/>
                <w:kern w:val="0"/>
                <w:sz w:val="22"/>
                <w:szCs w:val="22"/>
              </w:rPr>
              <w:t>计划薪酬</w:t>
            </w:r>
            <w:r>
              <w:rPr>
                <w:rFonts w:cs="宋体" w:ascii="宋体" w:hAnsi="宋体"/>
                <w:color w:val="000000"/>
                <w:kern w:val="0"/>
                <w:sz w:val="22"/>
                <w:szCs w:val="22"/>
              </w:rPr>
              <w:t>/</w:t>
            </w:r>
            <w:r>
              <w:rPr>
                <w:rFonts w:ascii="宋体" w:hAnsi="宋体" w:cs="宋体"/>
                <w:color w:val="000000"/>
                <w:kern w:val="0"/>
                <w:sz w:val="22"/>
                <w:szCs w:val="22"/>
              </w:rPr>
              <w:t>福利费用）</w:t>
            </w:r>
            <w:r>
              <w:rPr>
                <w:rFonts w:cs="宋体" w:ascii="宋体" w:hAnsi="宋体"/>
                <w:color w:val="000000"/>
                <w:kern w:val="0"/>
                <w:sz w:val="22"/>
                <w:szCs w:val="22"/>
              </w:rPr>
              <w:t>×100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薪酬及福利主管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42"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薪酬福利计划执行情况</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是否按照薪酬福利计划按期、高质量执行。</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例如及时了解政策、及时调整制度、薪酬福利台账建立、数据报表汇报等等。</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薪酬及福利主管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242"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薪酬福利工作成效</w:t>
            </w:r>
            <w:r>
              <w:rPr>
                <w:rFonts w:ascii="宋体" w:hAnsi="宋体" w:cs="宋体"/>
                <w:color w:val="000000"/>
                <w:kern w:val="0"/>
                <w:sz w:val="20"/>
                <w:szCs w:val="20"/>
              </w:rPr>
              <w:t>（指标还与企业营销、综合管理等因素有关，供参考）</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薪酬福利改善情况</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年度员工薪酬及福利的改善程度。</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薪酬及福利主管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42"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薪酬福利满意度</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员工对薪酬福利的满意度评价。</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人力资源部、员工满意度</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薪酬及福利主管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242" w:type="dxa"/>
            <w:vMerge w:val="restart"/>
            <w:tcBorders>
              <w:top w:val="single" w:sz="4" w:space="0" w:color="000000"/>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员工关系</w:t>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员工关系管理</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劳动合同管理</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员工劳动合同签订、变更、续订和终止的及时性。</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人力资源部、法律事务部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员工关系主管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242"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员工入、离职、晋升、降职等手续的办理</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员工入、离职、晋升、降职等手续办理的及时性。</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人力资源部、行政管理部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员工关系主管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242"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劳动纪律管理</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员工迟到、早退、旷工等违纪问题处理率达</w:t>
            </w:r>
            <w:r>
              <w:rPr>
                <w:rFonts w:cs="宋体" w:ascii="宋体" w:hAnsi="宋体"/>
                <w:color w:val="000000"/>
                <w:kern w:val="0"/>
                <w:sz w:val="22"/>
                <w:szCs w:val="22"/>
              </w:rPr>
              <w:t>100%</w:t>
            </w:r>
            <w:r>
              <w:rPr>
                <w:rFonts w:ascii="宋体" w:hAnsi="宋体" w:cs="宋体"/>
                <w:color w:val="000000"/>
                <w:kern w:val="0"/>
                <w:sz w:val="22"/>
                <w:szCs w:val="22"/>
              </w:rPr>
              <w:t>，并与个人的绩效成绩、薪酬挂钩。</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人力资源部、行政管理部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员工关系主管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495" w:hRule="atLeast"/>
        </w:trPr>
        <w:tc>
          <w:tcPr>
            <w:tcW w:w="1242"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员工出勤率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员工出勤率达到</w:t>
            </w:r>
            <w:r>
              <w:rPr>
                <w:rFonts w:ascii="宋体" w:hAnsi="宋体" w:cs="宋体"/>
                <w:color w:val="000000"/>
                <w:kern w:val="0"/>
                <w:sz w:val="22"/>
                <w:szCs w:val="22"/>
                <w:u w:val="single"/>
              </w:rPr>
              <w:t xml:space="preserve">       。</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员工关系主管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242"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员工面谈执行及效果</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面谈计划完成率、面谈报告提交情况、以及面谈的实效性。</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员工关系主管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242"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员工职业生涯规划管理</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员工职业生涯发展通道清晰、符合实际现状，且执行到位。</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员工关系主管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242"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员工关系管理费用控制</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（实际员工关系管理费用</w:t>
            </w:r>
            <w:r>
              <w:rPr>
                <w:rFonts w:cs="宋体" w:ascii="宋体" w:hAnsi="宋体"/>
                <w:color w:val="000000"/>
                <w:kern w:val="0"/>
                <w:sz w:val="22"/>
                <w:szCs w:val="22"/>
              </w:rPr>
              <w:t>÷</w:t>
            </w:r>
            <w:r>
              <w:rPr>
                <w:rFonts w:ascii="宋体" w:hAnsi="宋体" w:cs="宋体"/>
                <w:color w:val="000000"/>
                <w:kern w:val="0"/>
                <w:sz w:val="22"/>
                <w:szCs w:val="22"/>
              </w:rPr>
              <w:t>计划员工关系管理费用）</w:t>
            </w:r>
            <w:r>
              <w:rPr>
                <w:rFonts w:cs="宋体" w:ascii="宋体" w:hAnsi="宋体"/>
                <w:color w:val="000000"/>
                <w:kern w:val="0"/>
                <w:sz w:val="22"/>
                <w:szCs w:val="22"/>
              </w:rPr>
              <w:t>×100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员工关系主管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242"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员工关系管理成效</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这里主要指员工对员工关系管理方面工作的满意度评价。</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员工关系主管</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95" w:hRule="atLeast"/>
        </w:trPr>
        <w:tc>
          <w:tcPr>
            <w:tcW w:w="1242" w:type="dxa"/>
            <w:vMerge w:val="restart"/>
            <w:tcBorders>
              <w:top w:val="single" w:sz="4" w:space="0" w:color="000000"/>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日常工作管理</w:t>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计划与落实</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工作总结与计划</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每周、每月、每个季度、每年定期按照要求准时提交工作总结与计划，并进行汇报。</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要求阶段性管理规划或者工作计划做到合理性及其可行性，且得到领导认可。具体包括人力资源总体规划、培训、绩效考核、薪酬及福利、员工关系管理等各方面的总结与计划。</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9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工作计划完成情况</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按照个人工作计划及公司要求，</w:t>
            </w:r>
            <w:r>
              <w:rPr>
                <w:rFonts w:cs="宋体" w:ascii="宋体" w:hAnsi="宋体"/>
                <w:color w:val="000000"/>
                <w:kern w:val="0"/>
                <w:sz w:val="22"/>
                <w:szCs w:val="22"/>
              </w:rPr>
              <w:t>100%</w:t>
            </w:r>
            <w:r>
              <w:rPr>
                <w:rFonts w:ascii="宋体" w:hAnsi="宋体" w:cs="宋体"/>
                <w:color w:val="000000"/>
                <w:kern w:val="0"/>
                <w:sz w:val="22"/>
                <w:szCs w:val="22"/>
              </w:rPr>
              <w:t>高质量完成工作任务。</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425"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制度建立与执行</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制度与流程建设</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人力资源相关管理制度与流程的制定、完善与及时更新，例如招聘管理制度、薪酬管理制度、培训管理制度、绩效考核制度、劳动合同管理制度、各项奖惩制度等人力资源管理制度。</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人力资源管理制度的执行情况</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严格按照人力资源管理制度与流程执行工作。</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档案、资料管理</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完整性与规范性</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要求对有关人力资源档案、资料填写完整、准确、清晰，且保管及时、规范，保存完好，差错率不超过</w:t>
            </w:r>
            <w:r>
              <w:rPr>
                <w:rFonts w:cs="宋体" w:ascii="宋体" w:hAnsi="宋体"/>
                <w:color w:val="000000"/>
                <w:kern w:val="0"/>
                <w:sz w:val="22"/>
                <w:szCs w:val="22"/>
              </w:rPr>
              <w:t>1%</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更新及时性</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对各类人力资源管理档案、资料以及数据进行及时更新。</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1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团队管理</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部门员工满意度</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员工满意度达到</w:t>
            </w:r>
            <w:r>
              <w:rPr>
                <w:rFonts w:ascii="宋体" w:hAnsi="宋体" w:cs="宋体"/>
                <w:color w:val="000000"/>
                <w:kern w:val="0"/>
                <w:sz w:val="22"/>
                <w:szCs w:val="22"/>
                <w:u w:val="single"/>
              </w:rPr>
              <w:t xml:space="preserve">         。</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团队管理主要指培育、指导、考核部门员工；员工满意度是指团队成员对该公司或者部门的工作氛围、工作环境、领导风格、领导支持（学习发展、生活关爱、成长辅导支持）等方面的满意程度。</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人力资源部、员工满意度</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人力资源主管以上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6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部门绩效考核</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绩效考核数据的准确率、完成的及时率。</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人力资源部、员工满意度</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人力资源主管以上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组织或部门的凝聚力</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部门表现为较强的凝聚力，员工协同能力强。</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人力资源部、员工满意度</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人力资源主管以上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组织执行力</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部门执行力强，计划、制度得到严格、高效执行。</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人力资源部、员工满意度</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人力资源主管以上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员工能力提升及个人职业生涯规划发展</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这里指部门内部员工能力得到大幅度提升，或者员工对个人职业生涯规划发展满意。</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人力资源部、员工满意度</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人力资源主管以上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tcBorders>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部门成本费用控制</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部门费用控制率</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部门费用控制率</w:t>
            </w:r>
            <w:r>
              <w:rPr>
                <w:rFonts w:cs="宋体" w:ascii="宋体" w:hAnsi="宋体"/>
                <w:color w:val="000000"/>
                <w:kern w:val="0"/>
                <w:sz w:val="22"/>
                <w:szCs w:val="22"/>
              </w:rPr>
              <w:t>=</w:t>
            </w:r>
            <w:r>
              <w:rPr>
                <w:rFonts w:ascii="宋体" w:hAnsi="宋体" w:cs="宋体"/>
                <w:color w:val="000000"/>
                <w:kern w:val="0"/>
                <w:sz w:val="22"/>
                <w:szCs w:val="22"/>
              </w:rPr>
              <w:t>实际费用</w:t>
            </w:r>
            <w:r>
              <w:rPr>
                <w:rFonts w:cs="宋体" w:ascii="宋体" w:hAnsi="宋体"/>
                <w:color w:val="000000"/>
                <w:kern w:val="0"/>
                <w:sz w:val="22"/>
                <w:szCs w:val="22"/>
              </w:rPr>
              <w:t>÷</w:t>
            </w:r>
            <w:r>
              <w:rPr>
                <w:rFonts w:ascii="宋体" w:hAnsi="宋体" w:cs="宋体"/>
                <w:color w:val="000000"/>
                <w:kern w:val="0"/>
                <w:sz w:val="22"/>
                <w:szCs w:val="22"/>
              </w:rPr>
              <w:t>预算费用</w:t>
            </w:r>
            <w:r>
              <w:rPr>
                <w:rFonts w:cs="宋体" w:ascii="宋体" w:hAnsi="宋体"/>
                <w:color w:val="000000"/>
                <w:kern w:val="0"/>
                <w:sz w:val="22"/>
                <w:szCs w:val="22"/>
              </w:rPr>
              <w:t>×100</w:t>
            </w:r>
            <w:r>
              <w:rPr>
                <w:rFonts w:ascii="宋体" w:hAnsi="宋体" w:cs="宋体"/>
                <w:color w:val="000000"/>
                <w:kern w:val="0"/>
                <w:sz w:val="22"/>
                <w:szCs w:val="22"/>
              </w:rPr>
              <w:t>％。</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部门费用主要包括人员费用、差旅费、办公费、维修费等。</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人力资源主管以上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其它日常工作</w:t>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关系协调</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与其它部门、政府部门人力资源管理机构、社保机构、业务合作伙伴等保持良好关系。</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主要表现为内部部门之间关系和谐、协同性强；与外部机构保持良好的沟通机制。企业内外部客户没有投诉现象。</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人力资源部、其它部门反馈、合作机构</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42"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公司统一开展的活动或要求的事项是否按时完成。</w:t>
            </w:r>
          </w:p>
        </w:tc>
        <w:tc>
          <w:tcPr>
            <w:tcW w:w="3515"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42" w:type="dxa"/>
            <w:vMerge w:val="restart"/>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知识、技能与品质</w:t>
            </w:r>
          </w:p>
        </w:tc>
        <w:tc>
          <w:tcPr>
            <w:tcW w:w="1119"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领导力</w:t>
            </w:r>
          </w:p>
        </w:tc>
        <w:tc>
          <w:tcPr>
            <w:tcW w:w="1581"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成就特征</w:t>
            </w:r>
          </w:p>
        </w:tc>
        <w:tc>
          <w:tcPr>
            <w:tcW w:w="344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成就导向、积极主动性。</w:t>
            </w:r>
          </w:p>
        </w:tc>
        <w:tc>
          <w:tcPr>
            <w:tcW w:w="351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42"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服务与助人特征</w:t>
            </w:r>
          </w:p>
        </w:tc>
        <w:tc>
          <w:tcPr>
            <w:tcW w:w="344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顾客服务能力。</w:t>
            </w:r>
          </w:p>
        </w:tc>
        <w:tc>
          <w:tcPr>
            <w:tcW w:w="351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42"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影响特征</w:t>
            </w:r>
          </w:p>
        </w:tc>
        <w:tc>
          <w:tcPr>
            <w:tcW w:w="344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影响力、关系建立能力。</w:t>
            </w:r>
          </w:p>
        </w:tc>
        <w:tc>
          <w:tcPr>
            <w:tcW w:w="351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42"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管理特征</w:t>
            </w:r>
          </w:p>
        </w:tc>
        <w:tc>
          <w:tcPr>
            <w:tcW w:w="344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决策力、组织领导能力、培训他人能力、团队协作能力、建立信任与尊重。</w:t>
            </w:r>
          </w:p>
        </w:tc>
        <w:tc>
          <w:tcPr>
            <w:tcW w:w="351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42"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认知特征</w:t>
            </w:r>
          </w:p>
        </w:tc>
        <w:tc>
          <w:tcPr>
            <w:tcW w:w="344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专业知识、经验与技能、分析思考能力、创新与变革能力。</w:t>
            </w:r>
          </w:p>
        </w:tc>
        <w:tc>
          <w:tcPr>
            <w:tcW w:w="351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242"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个人特征</w:t>
            </w:r>
          </w:p>
        </w:tc>
        <w:tc>
          <w:tcPr>
            <w:tcW w:w="3449" w:type="dxa"/>
            <w:tcBorders>
              <w:bottom w:val="single" w:sz="4"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诚实正直、自信心、专业学习能力、适应能力、预测与应对能力、组织认同。</w:t>
            </w:r>
          </w:p>
        </w:tc>
        <w:tc>
          <w:tcPr>
            <w:tcW w:w="351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人力资源经理以上</w:t>
            </w:r>
          </w:p>
        </w:tc>
        <w:tc>
          <w:tcPr>
            <w:tcW w:w="823" w:type="dxa"/>
            <w:tcBorders>
              <w:start w:val="single" w:sz="4" w:space="0" w:color="000000"/>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485" w:hRule="atLeast"/>
        </w:trPr>
        <w:tc>
          <w:tcPr>
            <w:tcW w:w="1242"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restart"/>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一般要求的知识、技能与品质</w:t>
            </w:r>
          </w:p>
        </w:tc>
        <w:tc>
          <w:tcPr>
            <w:tcW w:w="1581"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知识与技能</w:t>
            </w:r>
          </w:p>
        </w:tc>
        <w:tc>
          <w:tcPr>
            <w:tcW w:w="344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岗位要求所必须的知识（基础知识、业务知识、关联知识）及技能水平（包括分析判断能力、沟通能力、问题解决能力、团队合作精神以及协调性）。</w:t>
            </w:r>
          </w:p>
        </w:tc>
        <w:tc>
          <w:tcPr>
            <w:tcW w:w="3515"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4" w:space="0" w:color="000000"/>
            </w:tcBorders>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23" w:type="dxa"/>
            <w:tcBorders>
              <w:start w:val="single" w:sz="4" w:space="0" w:color="000000"/>
              <w:bottom w:val="single" w:sz="4" w:space="0" w:color="000000"/>
              <w:end w:val="single" w:sz="8" w:space="0" w:color="000000"/>
            </w:tcBorders>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r>
        <w:trPr>
          <w:trHeight w:val="1245" w:hRule="atLeast"/>
        </w:trPr>
        <w:tc>
          <w:tcPr>
            <w:tcW w:w="1242"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119" w:type="dxa"/>
            <w:vMerge w:val="continue"/>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81" w:type="dxa"/>
            <w:tcBorders>
              <w:bottom w:val="single" w:sz="8"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愿望与态度</w:t>
            </w:r>
          </w:p>
        </w:tc>
        <w:tc>
          <w:tcPr>
            <w:tcW w:w="3449"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主要指公司要求的通用类素质（公司可根据自我需求进行调整），例如创新与改善能力、诚信正直、责任感、纪律性、工作热情、服务态度等等。</w:t>
            </w:r>
          </w:p>
        </w:tc>
        <w:tc>
          <w:tcPr>
            <w:tcW w:w="3515"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240"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44"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276"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1140" w:type="dxa"/>
            <w:tcBorders>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23" w:type="dxa"/>
            <w:tcBorders>
              <w:start w:val="single" w:sz="4" w:space="0" w:color="000000"/>
              <w:bottom w:val="single" w:sz="8" w:space="0" w:color="000000"/>
              <w:end w:val="single" w:sz="8"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bl>
    <w:p>
      <w:pPr>
        <w:pStyle w:val="Normal"/>
        <w:bidi w:val="0"/>
        <w:spacing w:lineRule="exact" w:line="360"/>
        <w:ind w:start="-424" w:end="-567" w:firstLine="468"/>
        <w:jc w:val="start"/>
        <w:rPr>
          <w:rFonts w:ascii="楷体_GB2312" w:hAnsi="楷体_GB2312" w:eastAsia="楷体_GB2312"/>
          <w:sz w:val="24"/>
        </w:rPr>
      </w:pPr>
      <w:r>
        <w:rPr/>
      </w:r>
    </w:p>
    <w:sectPr>
      <w:headerReference w:type="default" r:id="rId7"/>
      <w:footerReference w:type="default" r:id="rId8"/>
      <w:type w:val="nextPage"/>
      <w:pgSz w:orient="landscape" w:w="16838" w:h="11906"/>
      <w:pgMar w:left="1021" w:right="1440" w:header="567" w:top="1701" w:footer="992" w:bottom="1701"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Cambria">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宋体">
    <w:charset w:val="01" w:characterSet="utf-8"/>
    <w:family w:val="roman"/>
    <w:pitch w:val="variable"/>
  </w:font>
  <w:font w:name="黑体">
    <w:charset w:val="01" w:characterSet="utf-8"/>
    <w:family w:val="roman"/>
    <w:pitch w:val="variable"/>
  </w:font>
  <w:font w:name="微软雅黑">
    <w:charset w:val="01" w:characterSet="utf-8"/>
    <w:family w:val="roman"/>
    <w:pitch w:val="variable"/>
  </w:font>
  <w:font w:name="楷体_GB2312">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章  "/>
      <w:lvlJc w:val="start"/>
      <w:pPr>
        <w:tabs>
          <w:tab w:val="num" w:pos="0"/>
        </w:tabs>
        <w:ind w:start="0" w:hanging="0"/>
      </w:pPr>
      <w:rPr>
        <w:sz w:val="48"/>
        <w:i w:val="false"/>
        <w:b/>
        <w:rFonts w:ascii="楷体_GB2312" w:hAnsi="楷体_GB2312" w:eastAsia="楷体_GB2312"/>
      </w:rPr>
    </w:lvl>
    <w:lvl w:ilvl="1">
      <w:start w:val="1"/>
      <w:pStyle w:val="Heading2"/>
      <w:numFmt w:val="chineseCountingThousand"/>
      <w:suff w:val="nothing"/>
      <w:lvlText w:val="第%2节  "/>
      <w:lvlJc w:val="start"/>
      <w:pPr>
        <w:tabs>
          <w:tab w:val="num" w:pos="0"/>
        </w:tabs>
        <w:ind w:start="0" w:hanging="0"/>
      </w:pPr>
      <w:rPr>
        <w:smallCaps w:val="false"/>
        <w:caps w:val="false"/>
        <w:outline w:val="false"/>
        <w:dstrike w:val="false"/>
        <w:strike w:val="false"/>
        <w:sz w:val="32"/>
        <w:i w:val="false"/>
        <w:shadow w:val="false"/>
        <w:b/>
        <w:kern w:val="0"/>
        <w:rFonts w:ascii="楷体_GB2312" w:hAnsi="楷体_GB2312" w:eastAsia="楷体_GB2312"/>
      </w:rPr>
    </w:lvl>
    <w:lvl w:ilvl="2">
      <w:start w:val="1"/>
      <w:pStyle w:val="Heading3"/>
      <w:numFmt w:val="chineseCountingThousand"/>
      <w:suff w:val="nothing"/>
      <w:lvlText w:val="%3、"/>
      <w:lvlJc w:val="start"/>
      <w:pPr>
        <w:tabs>
          <w:tab w:val="num" w:pos="0"/>
        </w:tabs>
        <w:ind w:start="624" w:hanging="624"/>
      </w:pPr>
      <w:rPr>
        <w:sz w:val="28"/>
        <w:i w:val="false"/>
        <w:b w:val="false"/>
        <w:rFonts w:ascii="楷体_GB2312" w:hAnsi="楷体_GB2312" w:eastAsia="楷体_GB2312"/>
      </w:rPr>
    </w:lvl>
    <w:lvl w:ilvl="3">
      <w:start w:val="1"/>
      <w:pStyle w:val="Heading4"/>
      <w:numFmt w:val="chineseCountingThousand"/>
      <w:suff w:val="nothing"/>
      <w:lvlText w:val="（%4）"/>
      <w:lvlJc w:val="center"/>
      <w:pPr>
        <w:tabs>
          <w:tab w:val="num" w:pos="0"/>
        </w:tabs>
        <w:ind w:start="964" w:hanging="397"/>
      </w:pPr>
      <w:rPr>
        <w:sz w:val="28"/>
        <w:i w:val="false"/>
        <w:b w:val="false"/>
        <w:rFonts w:ascii="黑体" w:hAnsi="黑体" w:eastAsia="黑体"/>
      </w:rPr>
    </w:lvl>
    <w:lvl w:ilvl="4">
      <w:start w:val="1"/>
      <w:pStyle w:val="Heading5"/>
      <w:numFmt w:val="decimal"/>
      <w:suff w:val="nothing"/>
      <w:lvlText w:val="%5、"/>
      <w:lvlJc w:val="start"/>
      <w:pPr>
        <w:tabs>
          <w:tab w:val="num" w:pos="0"/>
        </w:tabs>
        <w:ind w:start="907" w:hanging="453"/>
      </w:pPr>
      <w:rPr>
        <w:sz w:val="24"/>
        <w:i w:val="false"/>
        <w:b w:val="false"/>
        <w:rFonts w:ascii="宋体" w:hAnsi="宋体" w:eastAsia="宋体"/>
      </w:rPr>
    </w:lvl>
    <w:lvl w:ilvl="5">
      <w:start w:val="1"/>
      <w:pStyle w:val="Heading6"/>
      <w:numFmt w:val="decimal"/>
      <w:suff w:val="nothing"/>
      <w:lvlText w:val="（%6）"/>
      <w:lvlJc w:val="start"/>
      <w:pPr>
        <w:tabs>
          <w:tab w:val="num" w:pos="0"/>
        </w:tabs>
        <w:ind w:start="1474" w:hanging="623"/>
      </w:pPr>
      <w:rPr>
        <w:sz w:val="24"/>
        <w:i w:val="false"/>
        <w:b w:val="false"/>
        <w:rFonts w:ascii="宋体" w:hAnsi="宋体" w:eastAsia="宋体"/>
      </w:r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60"/>
  <w:defaultTabStop w:val="420"/>
  <w:autoHyphenation w:val="true"/>
  <w:compat>
    <w:doNotExpandShiftReturn/>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39" w:semiHidden="0" w:unhideWhenUsed="0" w:qFormat="1"/>
    <w:lsdException w:name="toc 2" w:uiPriority="39" w:semiHidden="0" w:unhideWhenUsed="0" w:qFormat="1"/>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qFormat="1"/>
    <w:lsdException w:name="annotation text" w:uiPriority="0" w:semiHidden="0" w:unhideWhenUsed="0"/>
    <w:lsdException w:name="header" w:uiPriority="0" w:semiHidden="0" w:unhideWhenUsed="0" w:qFormat="1"/>
    <w:lsdException w:name="footer" w:uiPriority="0" w:semiHidden="0" w:unhideWhenUsed="0" w:qFormat="1"/>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qFormat="1"/>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1"/>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unhideWhenUsed="0" w:qFormat="1"/>
    <w:lsdException w:name="FollowedHyperlink" w:uiPriority="99" w:semiHidden="0" w:qFormat="1"/>
    <w:lsdException w:name="Strong" w:uiPriority="0" w:semiHidden="0" w:unhideWhenUsed="0" w:qFormat="1"/>
    <w:lsdException w:name="Emphasis" w:uiPriority="2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99"/>
    <w:lsdException w:name="annotation subject" w:uiPriority="0" w:semiHidden="0" w:unhideWhenUsed="0"/>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lsdException w:name="Table Grid" w:uiPriority="9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link w:val="100"/>
    <w:uiPriority w:val="0"/>
    <w:qFormat/>
    <w:pPr>
      <w:widowControl/>
      <w:numPr>
        <w:ilvl w:val="0"/>
        <w:numId w:val="1"/>
      </w:numPr>
      <w:snapToGrid w:val="false"/>
      <w:spacing w:lineRule="atLeast" w:line="280" w:before="120" w:after="240"/>
      <w:jc w:val="center"/>
      <w:outlineLvl w:val="0"/>
    </w:pPr>
    <w:rPr>
      <w:rFonts w:ascii="Arial" w:hAnsi="Arial" w:eastAsia="楷体_GB2312"/>
      <w:b/>
      <w:kern w:val="2"/>
      <w:sz w:val="44"/>
      <w:szCs w:val="20"/>
      <w:vertAlign w:val="superscript"/>
    </w:rPr>
  </w:style>
  <w:style w:type="paragraph" w:styleId="Heading2">
    <w:name w:val="Heading 2"/>
    <w:basedOn w:val="Normal"/>
    <w:next w:val="TextBody"/>
    <w:link w:val="101"/>
    <w:uiPriority w:val="0"/>
    <w:qFormat/>
    <w:pPr>
      <w:widowControl/>
      <w:numPr>
        <w:ilvl w:val="1"/>
        <w:numId w:val="1"/>
      </w:numPr>
      <w:snapToGrid w:val="false"/>
      <w:spacing w:lineRule="auto" w:line="420" w:before="240" w:after="240"/>
      <w:jc w:val="center"/>
      <w:outlineLvl w:val="1"/>
    </w:pPr>
    <w:rPr>
      <w:rFonts w:ascii="Arial" w:hAnsi="Arial" w:eastAsia="楷体_GB2312"/>
      <w:b/>
      <w:kern w:val="2"/>
      <w:sz w:val="32"/>
      <w:szCs w:val="20"/>
    </w:rPr>
  </w:style>
  <w:style w:type="paragraph" w:styleId="Heading3">
    <w:name w:val="Heading 3"/>
    <w:basedOn w:val="Normal"/>
    <w:next w:val="TextBody"/>
    <w:link w:val="102"/>
    <w:uiPriority w:val="0"/>
    <w:qFormat/>
    <w:pPr>
      <w:keepNext w:val="true"/>
      <w:widowControl/>
      <w:numPr>
        <w:ilvl w:val="2"/>
        <w:numId w:val="1"/>
      </w:numPr>
      <w:snapToGrid w:val="false"/>
      <w:spacing w:lineRule="atLeast" w:line="220" w:before="140" w:after="120"/>
      <w:outlineLvl w:val="2"/>
    </w:pPr>
    <w:rPr>
      <w:rFonts w:ascii="Arial" w:hAnsi="Arial" w:eastAsia="楷体_GB2312"/>
      <w:spacing w:val="-4"/>
      <w:kern w:val="2"/>
      <w:sz w:val="32"/>
      <w:szCs w:val="20"/>
    </w:rPr>
  </w:style>
  <w:style w:type="paragraph" w:styleId="Heading4">
    <w:name w:val="Heading 4"/>
    <w:basedOn w:val="Normal"/>
    <w:next w:val="TextBody"/>
    <w:link w:val="103"/>
    <w:uiPriority w:val="0"/>
    <w:qFormat/>
    <w:pPr>
      <w:widowControl/>
      <w:numPr>
        <w:ilvl w:val="3"/>
        <w:numId w:val="1"/>
      </w:numPr>
      <w:snapToGrid w:val="false"/>
      <w:spacing w:lineRule="atLeast" w:line="220" w:before="140" w:after="120"/>
      <w:outlineLvl w:val="3"/>
    </w:pPr>
    <w:rPr>
      <w:rFonts w:ascii="Arial" w:hAnsi="Arial" w:eastAsia="黑体"/>
      <w:b/>
      <w:spacing w:val="-4"/>
      <w:kern w:val="2"/>
      <w:sz w:val="28"/>
      <w:szCs w:val="20"/>
    </w:rPr>
  </w:style>
  <w:style w:type="paragraph" w:styleId="Heading5">
    <w:name w:val="Heading 5"/>
    <w:basedOn w:val="Normal"/>
    <w:next w:val="TextBody"/>
    <w:link w:val="104"/>
    <w:uiPriority w:val="0"/>
    <w:qFormat/>
    <w:pPr>
      <w:widowControl/>
      <w:numPr>
        <w:ilvl w:val="4"/>
        <w:numId w:val="1"/>
      </w:numPr>
      <w:snapToGrid w:val="false"/>
      <w:spacing w:lineRule="exact" w:line="440" w:before="120" w:after="120"/>
      <w:outlineLvl w:val="4"/>
    </w:pPr>
    <w:rPr>
      <w:b/>
      <w:spacing w:val="-4"/>
      <w:kern w:val="2"/>
      <w:sz w:val="24"/>
      <w:szCs w:val="20"/>
    </w:rPr>
  </w:style>
  <w:style w:type="paragraph" w:styleId="Heading6">
    <w:name w:val="Heading 6"/>
    <w:basedOn w:val="Normal"/>
    <w:next w:val="TextBody"/>
    <w:link w:val="105"/>
    <w:uiPriority w:val="0"/>
    <w:qFormat/>
    <w:pPr>
      <w:widowControl/>
      <w:numPr>
        <w:ilvl w:val="5"/>
        <w:numId w:val="1"/>
      </w:numPr>
      <w:snapToGrid w:val="false"/>
      <w:spacing w:lineRule="auto" w:line="360" w:before="120" w:after="120"/>
      <w:outlineLvl w:val="5"/>
    </w:pPr>
    <w:rPr>
      <w:spacing w:val="-4"/>
      <w:kern w:val="0"/>
      <w:sz w:val="24"/>
      <w:szCs w:val="20"/>
    </w:rPr>
  </w:style>
  <w:style w:type="character" w:styleId="DefaultParagraphFont" w:default="1">
    <w:name w:val="Default Paragraph Font"/>
    <w:uiPriority w:val="1"/>
    <w:semiHidden/>
    <w:unhideWhenUsed/>
    <w:qFormat/>
    <w:rPr/>
  </w:style>
  <w:style w:type="character" w:styleId="VisitedInternetLink">
    <w:name w:val="FollowedHyperlink"/>
    <w:basedOn w:val="DefaultParagraphFont"/>
    <w:uiPriority w:val="99"/>
    <w:unhideWhenUsed/>
    <w:qFormat/>
    <w:rPr>
      <w:color w:val="800080"/>
      <w:u w:val="single"/>
    </w:rPr>
  </w:style>
  <w:style w:type="character" w:styleId="Emphasis">
    <w:name w:val="Emphasis"/>
    <w:basedOn w:val="DefaultParagraphFont"/>
    <w:uiPriority w:val="20"/>
    <w:qFormat/>
    <w:rPr>
      <w:color w:val="CC0000"/>
    </w:rPr>
  </w:style>
  <w:style w:type="character" w:styleId="InternetLink">
    <w:name w:val="Hyperlink"/>
    <w:basedOn w:val="DefaultParagraphFont"/>
    <w:uiPriority w:val="99"/>
    <w:qFormat/>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正文文本 Char"/>
    <w:basedOn w:val="DefaultParagraphFont"/>
    <w:link w:val="3"/>
    <w:uiPriority w:val="0"/>
    <w:qFormat/>
    <w:rPr>
      <w:sz w:val="24"/>
    </w:rPr>
  </w:style>
  <w:style w:type="character" w:styleId="1Char" w:customStyle="1">
    <w:name w:val="标题 1 Char"/>
    <w:basedOn w:val="DefaultParagraphFont"/>
    <w:link w:val="2"/>
    <w:uiPriority w:val="0"/>
    <w:qFormat/>
    <w:rPr>
      <w:rFonts w:ascii="Arial" w:hAnsi="Arial" w:eastAsia="楷体_GB2312"/>
      <w:b/>
      <w:kern w:val="2"/>
      <w:sz w:val="44"/>
      <w:vertAlign w:val="superscript"/>
    </w:rPr>
  </w:style>
  <w:style w:type="character" w:styleId="2Char" w:customStyle="1">
    <w:name w:val="标题 2 Char"/>
    <w:basedOn w:val="DefaultParagraphFont"/>
    <w:link w:val="4"/>
    <w:uiPriority w:val="0"/>
    <w:qFormat/>
    <w:rPr>
      <w:rFonts w:ascii="Arial" w:hAnsi="Arial" w:eastAsia="楷体_GB2312"/>
      <w:b/>
      <w:kern w:val="2"/>
      <w:sz w:val="32"/>
    </w:rPr>
  </w:style>
  <w:style w:type="character" w:styleId="3Char" w:customStyle="1">
    <w:name w:val="标题 3 Char"/>
    <w:basedOn w:val="DefaultParagraphFont"/>
    <w:link w:val="5"/>
    <w:uiPriority w:val="0"/>
    <w:qFormat/>
    <w:rPr>
      <w:rFonts w:ascii="Arial" w:hAnsi="Arial" w:eastAsia="楷体_GB2312"/>
      <w:spacing w:val="-4"/>
      <w:kern w:val="2"/>
      <w:sz w:val="32"/>
    </w:rPr>
  </w:style>
  <w:style w:type="character" w:styleId="4Char" w:customStyle="1">
    <w:name w:val="标题 4 Char"/>
    <w:basedOn w:val="DefaultParagraphFont"/>
    <w:link w:val="6"/>
    <w:uiPriority w:val="0"/>
    <w:qFormat/>
    <w:rPr>
      <w:rFonts w:ascii="Arial" w:hAnsi="Arial" w:eastAsia="黑体"/>
      <w:b/>
      <w:spacing w:val="-4"/>
      <w:kern w:val="2"/>
      <w:sz w:val="28"/>
    </w:rPr>
  </w:style>
  <w:style w:type="character" w:styleId="5Char" w:customStyle="1">
    <w:name w:val="标题 5 Char"/>
    <w:basedOn w:val="DefaultParagraphFont"/>
    <w:link w:val="7"/>
    <w:uiPriority w:val="0"/>
    <w:qFormat/>
    <w:rPr>
      <w:b/>
      <w:spacing w:val="-4"/>
      <w:kern w:val="2"/>
      <w:sz w:val="24"/>
    </w:rPr>
  </w:style>
  <w:style w:type="character" w:styleId="6Char" w:customStyle="1">
    <w:name w:val="标题 6 Char"/>
    <w:basedOn w:val="DefaultParagraphFont"/>
    <w:link w:val="8"/>
    <w:uiPriority w:val="0"/>
    <w:qFormat/>
    <w:rPr>
      <w:spacing w:val="-4"/>
      <w:sz w:val="24"/>
    </w:rPr>
  </w:style>
  <w:style w:type="character" w:styleId="Char1" w:customStyle="1">
    <w:name w:val="脚注文本 Char"/>
    <w:basedOn w:val="DefaultParagraphFont"/>
    <w:link w:val="16"/>
    <w:uiPriority w:val="0"/>
    <w:qFormat/>
    <w:rPr>
      <w:kern w:val="2"/>
      <w:sz w:val="18"/>
      <w:szCs w:val="18"/>
    </w:rPr>
  </w:style>
  <w:style w:type="character" w:styleId="CharChar" w:customStyle="1">
    <w:name w:val="表头 Char Char"/>
    <w:basedOn w:val="DefaultParagraphFont"/>
    <w:link w:val="26"/>
    <w:uiPriority w:val="0"/>
    <w:qFormat/>
    <w:rPr>
      <w:rFonts w:ascii="Arial" w:hAnsi="Arial" w:eastAsia="黑体"/>
      <w:kern w:val="2"/>
      <w:sz w:val="28"/>
      <w:szCs w:val="28"/>
    </w:rPr>
  </w:style>
  <w:style w:type="character" w:styleId="2CharChar" w:customStyle="1">
    <w:name w:val="表文2 Char Char"/>
    <w:basedOn w:val="DefaultParagraphFont"/>
    <w:link w:val="27"/>
    <w:uiPriority w:val="0"/>
    <w:qFormat/>
    <w:rPr>
      <w:rFonts w:eastAsia="方正书宋_GBK"/>
      <w:kern w:val="2"/>
      <w:sz w:val="21"/>
      <w:szCs w:val="21"/>
    </w:rPr>
  </w:style>
  <w:style w:type="character" w:styleId="Char2" w:customStyle="1">
    <w:name w:val="正文文本缩进 Char"/>
    <w:basedOn w:val="DefaultParagraphFont"/>
    <w:link w:val="10"/>
    <w:uiPriority w:val="0"/>
    <w:qFormat/>
    <w:rPr>
      <w:kern w:val="2"/>
      <w:sz w:val="21"/>
      <w:szCs w:val="24"/>
    </w:rPr>
  </w:style>
  <w:style w:type="character" w:styleId="Char3" w:customStyle="1">
    <w:name w:val="标题 Char"/>
    <w:basedOn w:val="DefaultParagraphFont"/>
    <w:link w:val="18"/>
    <w:uiPriority w:val="0"/>
    <w:qFormat/>
    <w:rPr>
      <w:rFonts w:ascii="Cambria" w:hAnsi="Cambria" w:cs="Times New Roman"/>
      <w:b/>
      <w:bCs/>
      <w:kern w:val="2"/>
      <w:sz w:val="28"/>
      <w:szCs w:val="32"/>
    </w:rPr>
  </w:style>
  <w:style w:type="character" w:styleId="Char4" w:customStyle="1">
    <w:name w:val="副标题 Char"/>
    <w:basedOn w:val="DefaultParagraphFont"/>
    <w:link w:val="15"/>
    <w:uiPriority w:val="0"/>
    <w:qFormat/>
    <w:rPr>
      <w:rFonts w:ascii="Cambria" w:hAnsi="Cambria" w:cs="Times New Roman"/>
      <w:b/>
      <w:bCs/>
      <w:kern w:val="2"/>
      <w:sz w:val="24"/>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99"/>
    <w:uiPriority w:val="0"/>
    <w:pPr>
      <w:widowControl/>
      <w:snapToGrid w:val="false"/>
      <w:spacing w:lineRule="auto" w:line="360" w:before="120" w:after="120"/>
      <w:ind w:firstLine="454"/>
    </w:pPr>
    <w:rPr>
      <w:kern w:val="0"/>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NormalIndent">
    <w:name w:val="Normal Indent"/>
    <w:basedOn w:val="Normal"/>
    <w:uiPriority w:val="0"/>
    <w:qFormat/>
    <w:pPr>
      <w:ind w:firstLine="420"/>
    </w:pPr>
    <w:rPr/>
  </w:style>
  <w:style w:type="paragraph" w:styleId="TextBodyIndent">
    <w:name w:val="Body Text Indent"/>
    <w:basedOn w:val="Normal"/>
    <w:link w:val="109"/>
    <w:uiPriority w:val="0"/>
    <w:pPr>
      <w:spacing w:before="0" w:after="120"/>
      <w:ind w:start="420" w:hanging="0"/>
    </w:pPr>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qFormat/>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qFormat/>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uiPriority w:val="39"/>
    <w:qFormat/>
    <w:pPr/>
    <w:rPr/>
  </w:style>
  <w:style w:type="paragraph" w:styleId="Subtitle">
    <w:name w:val="Subtitle"/>
    <w:basedOn w:val="Normal"/>
    <w:next w:val="Normal"/>
    <w:link w:val="111"/>
    <w:uiPriority w:val="0"/>
    <w:qFormat/>
    <w:pPr>
      <w:spacing w:lineRule="auto" w:line="312" w:before="240" w:after="60"/>
      <w:jc w:val="start"/>
      <w:outlineLvl w:val="1"/>
    </w:pPr>
    <w:rPr>
      <w:rFonts w:ascii="Cambria" w:hAnsi="Cambria"/>
      <w:b/>
      <w:bCs/>
      <w:kern w:val="2"/>
      <w:sz w:val="24"/>
      <w:szCs w:val="32"/>
    </w:rPr>
  </w:style>
  <w:style w:type="paragraph" w:styleId="Footnote">
    <w:name w:val="Footnote Text"/>
    <w:basedOn w:val="Normal"/>
    <w:link w:val="106"/>
    <w:uiPriority w:val="0"/>
    <w:qFormat/>
    <w:pPr>
      <w:snapToGrid w:val="false"/>
      <w:jc w:val="start"/>
    </w:pPr>
    <w:rPr>
      <w:sz w:val="18"/>
      <w:szCs w:val="18"/>
    </w:rPr>
  </w:style>
  <w:style w:type="paragraph" w:styleId="Contents2">
    <w:name w:val="TOC 2"/>
    <w:basedOn w:val="Normal"/>
    <w:next w:val="Normal"/>
    <w:uiPriority w:val="39"/>
    <w:qFormat/>
    <w:pPr>
      <w:ind w:start="420" w:hanging="0"/>
    </w:pPr>
    <w:rPr/>
  </w:style>
  <w:style w:type="paragraph" w:styleId="Title">
    <w:name w:val="Title"/>
    <w:basedOn w:val="Normal"/>
    <w:next w:val="Normal"/>
    <w:link w:val="110"/>
    <w:uiPriority w:val="0"/>
    <w:qFormat/>
    <w:pPr>
      <w:spacing w:before="240" w:after="60"/>
      <w:jc w:val="center"/>
      <w:outlineLvl w:val="0"/>
    </w:pPr>
    <w:rPr>
      <w:rFonts w:ascii="Cambria" w:hAnsi="Cambria"/>
      <w:b/>
      <w:bCs/>
      <w:sz w:val="28"/>
      <w:szCs w:val="32"/>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Tahoma" w:hAnsi="Tahoma"/>
      <w:sz w:val="24"/>
      <w:szCs w:val="20"/>
    </w:rPr>
  </w:style>
  <w:style w:type="paragraph" w:styleId="Style8" w:customStyle="1">
    <w:name w:val="表头"/>
    <w:basedOn w:val="Normal"/>
    <w:link w:val="107"/>
    <w:uiPriority w:val="0"/>
    <w:qFormat/>
    <w:pPr>
      <w:pageBreakBefore/>
      <w:spacing w:lineRule="atLeast" w:line="360" w:before="240" w:after="120"/>
      <w:jc w:val="center"/>
    </w:pPr>
    <w:rPr>
      <w:rFonts w:ascii="Arial" w:hAnsi="Arial" w:eastAsia="黑体"/>
      <w:sz w:val="28"/>
      <w:szCs w:val="28"/>
    </w:rPr>
  </w:style>
  <w:style w:type="paragraph" w:styleId="2" w:customStyle="1">
    <w:name w:val="表文2"/>
    <w:basedOn w:val="Normal"/>
    <w:link w:val="108"/>
    <w:uiPriority w:val="0"/>
    <w:qFormat/>
    <w:pPr>
      <w:spacing w:lineRule="atLeast" w:line="360"/>
      <w:ind w:start="100" w:end="100" w:hanging="0"/>
    </w:pPr>
    <w:rPr>
      <w:rFonts w:eastAsia="方正书宋_GBK"/>
      <w:szCs w:val="21"/>
    </w:rPr>
  </w:style>
  <w:style w:type="paragraph" w:styleId="Style9" w:customStyle="1">
    <w:name w:val="表文"/>
    <w:basedOn w:val="NormalIndent"/>
    <w:uiPriority w:val="0"/>
    <w:qFormat/>
    <w:pPr>
      <w:snapToGrid w:val="false"/>
      <w:spacing w:lineRule="atLeast" w:line="280"/>
      <w:ind w:hanging="0"/>
    </w:pPr>
    <w:rPr>
      <w:szCs w:val="20"/>
    </w:rPr>
  </w:style>
  <w:style w:type="paragraph" w:styleId="TOC1" w:customStyle="1">
    <w:name w:val="TOC 标题1"/>
    <w:basedOn w:val="Heading1"/>
    <w:next w:val="Normal"/>
    <w:uiPriority w:val="39"/>
    <w:semiHidden/>
    <w:unhideWhenUsed/>
    <w:qFormat/>
    <w:pPr>
      <w:keepNext w:val="true"/>
      <w:keepLines/>
      <w:numPr>
        <w:ilvl w:val="0"/>
        <w:numId w:val="0"/>
      </w:numPr>
      <w:snapToGrid w:val="true"/>
      <w:spacing w:lineRule="auto" w:line="276" w:before="480" w:after="0"/>
      <w:jc w:val="start"/>
    </w:pPr>
    <w:rPr>
      <w:rFonts w:ascii="Cambria" w:hAnsi="Cambria" w:eastAsia="宋体"/>
      <w:bCs/>
      <w:color w:val="365F91"/>
      <w:kern w:val="0"/>
      <w:sz w:val="28"/>
      <w:szCs w:val="28"/>
    </w:rPr>
  </w:style>
  <w:style w:type="paragraph" w:styleId="1" w:customStyle="1">
    <w:name w:val="列出段落1"/>
    <w:basedOn w:val="Normal"/>
    <w:uiPriority w:val="34"/>
    <w:qFormat/>
    <w:pPr>
      <w:ind w:firstLine="420"/>
    </w:pPr>
    <w:rPr/>
  </w:style>
  <w:style w:type="paragraph" w:styleId="Font1" w:customStyle="1">
    <w:name w:val="font1"/>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5" w:customStyle="1">
    <w:name w:val="font5"/>
    <w:basedOn w:val="Normal"/>
    <w:uiPriority w:val="0"/>
    <w:qFormat/>
    <w:pPr>
      <w:widowControl/>
      <w:spacing w:beforeAutospacing="1" w:afterAutospacing="1"/>
      <w:jc w:val="start"/>
    </w:pPr>
    <w:rPr>
      <w:rFonts w:ascii="宋体" w:hAnsi="宋体" w:cs="宋体"/>
      <w:kern w:val="0"/>
      <w:sz w:val="18"/>
      <w:szCs w:val="18"/>
    </w:rPr>
  </w:style>
  <w:style w:type="paragraph" w:styleId="Font6" w:customStyle="1">
    <w:name w:val="font6"/>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7" w:customStyle="1">
    <w:name w:val="font7"/>
    <w:basedOn w:val="Normal"/>
    <w:uiPriority w:val="0"/>
    <w:qFormat/>
    <w:pPr>
      <w:widowControl/>
      <w:spacing w:beforeAutospacing="1" w:afterAutospacing="1"/>
      <w:jc w:val="start"/>
    </w:pPr>
    <w:rPr>
      <w:rFonts w:ascii="宋体" w:hAnsi="宋体" w:cs="宋体"/>
      <w:kern w:val="0"/>
      <w:sz w:val="20"/>
      <w:szCs w:val="20"/>
    </w:rPr>
  </w:style>
  <w:style w:type="paragraph" w:styleId="Font8" w:customStyle="1">
    <w:name w:val="font8"/>
    <w:basedOn w:val="Normal"/>
    <w:uiPriority w:val="0"/>
    <w:qFormat/>
    <w:pPr>
      <w:widowControl/>
      <w:spacing w:beforeAutospacing="1" w:afterAutospacing="1"/>
      <w:jc w:val="start"/>
    </w:pPr>
    <w:rPr>
      <w:rFonts w:ascii="宋体" w:hAnsi="宋体" w:cs="宋体"/>
      <w:kern w:val="0"/>
      <w:sz w:val="18"/>
      <w:szCs w:val="18"/>
    </w:rPr>
  </w:style>
  <w:style w:type="paragraph" w:styleId="Font9" w:customStyle="1">
    <w:name w:val="font9"/>
    <w:basedOn w:val="Normal"/>
    <w:uiPriority w:val="0"/>
    <w:qFormat/>
    <w:pPr>
      <w:widowControl/>
      <w:spacing w:beforeAutospacing="1" w:afterAutospacing="1"/>
      <w:jc w:val="start"/>
    </w:pPr>
    <w:rPr>
      <w:rFonts w:ascii="Arial" w:hAnsi="Arial" w:cs="Arial"/>
      <w:kern w:val="0"/>
      <w:sz w:val="20"/>
      <w:szCs w:val="20"/>
    </w:rPr>
  </w:style>
  <w:style w:type="paragraph" w:styleId="Font10" w:customStyle="1">
    <w:name w:val="font10"/>
    <w:basedOn w:val="Normal"/>
    <w:uiPriority w:val="0"/>
    <w:qFormat/>
    <w:pPr>
      <w:widowControl/>
      <w:spacing w:beforeAutospacing="1" w:afterAutospacing="1"/>
      <w:jc w:val="start"/>
    </w:pPr>
    <w:rPr>
      <w:rFonts w:ascii="宋体" w:hAnsi="宋体" w:cs="宋体"/>
      <w:kern w:val="0"/>
      <w:sz w:val="22"/>
      <w:szCs w:val="22"/>
    </w:rPr>
  </w:style>
  <w:style w:type="paragraph" w:styleId="Font11" w:customStyle="1">
    <w:name w:val="font11"/>
    <w:basedOn w:val="Normal"/>
    <w:uiPriority w:val="0"/>
    <w:qFormat/>
    <w:pPr>
      <w:widowControl/>
      <w:spacing w:beforeAutospacing="1" w:afterAutospacing="1"/>
      <w:jc w:val="start"/>
    </w:pPr>
    <w:rPr>
      <w:kern w:val="0"/>
      <w:sz w:val="22"/>
      <w:szCs w:val="22"/>
    </w:rPr>
  </w:style>
  <w:style w:type="paragraph" w:styleId="Font12" w:customStyle="1">
    <w:name w:val="font12"/>
    <w:basedOn w:val="Normal"/>
    <w:uiPriority w:val="0"/>
    <w:qFormat/>
    <w:pPr>
      <w:widowControl/>
      <w:spacing w:beforeAutospacing="1" w:afterAutospacing="1"/>
      <w:jc w:val="start"/>
    </w:pPr>
    <w:rPr>
      <w:rFonts w:ascii="宋体" w:hAnsi="宋体" w:cs="宋体"/>
      <w:color w:val="000000"/>
      <w:kern w:val="0"/>
      <w:sz w:val="22"/>
      <w:szCs w:val="22"/>
      <w:u w:val="single"/>
    </w:rPr>
  </w:style>
  <w:style w:type="paragraph" w:styleId="Font13" w:customStyle="1">
    <w:name w:val="font13"/>
    <w:basedOn w:val="Normal"/>
    <w:uiPriority w:val="0"/>
    <w:qFormat/>
    <w:pPr>
      <w:widowControl/>
      <w:spacing w:beforeAutospacing="1" w:afterAutospacing="1"/>
      <w:jc w:val="start"/>
    </w:pPr>
    <w:rPr>
      <w:rFonts w:ascii="宋体" w:hAnsi="宋体" w:cs="宋体"/>
      <w:kern w:val="0"/>
      <w:sz w:val="18"/>
      <w:szCs w:val="18"/>
    </w:rPr>
  </w:style>
  <w:style w:type="paragraph" w:styleId="Xl63" w:customStyle="1">
    <w:name w:val="xl63"/>
    <w:basedOn w:val="Normal"/>
    <w:uiPriority w:val="0"/>
    <w:qFormat/>
    <w:pPr>
      <w:widowControl/>
      <w:spacing w:beforeAutospacing="1" w:afterAutospacing="1"/>
      <w:jc w:val="start"/>
    </w:pPr>
    <w:rPr>
      <w:rFonts w:ascii="宋体" w:hAnsi="宋体" w:cs="宋体"/>
      <w:kern w:val="0"/>
      <w:sz w:val="24"/>
    </w:rPr>
  </w:style>
  <w:style w:type="paragraph" w:styleId="Xl64" w:customStyle="1">
    <w:name w:val="xl64"/>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65" w:customStyle="1">
    <w:name w:val="xl6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4"/>
    </w:rPr>
  </w:style>
  <w:style w:type="paragraph" w:styleId="Xl66" w:customStyle="1">
    <w:name w:val="xl66"/>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pPr>
    <w:rPr>
      <w:rFonts w:ascii="宋体" w:hAnsi="宋体" w:cs="宋体"/>
      <w:kern w:val="0"/>
      <w:sz w:val="24"/>
    </w:rPr>
  </w:style>
  <w:style w:type="paragraph" w:styleId="Xl67" w:customStyle="1">
    <w:name w:val="xl6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68" w:customStyle="1">
    <w:name w:val="xl68"/>
    <w:basedOn w:val="Normal"/>
    <w:uiPriority w:val="0"/>
    <w:qFormat/>
    <w:pPr>
      <w:widowControl/>
      <w:pBdr>
        <w:top w:val="single" w:sz="8" w:space="0" w:color="000000"/>
        <w:left w:val="single" w:sz="4"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69" w:customStyle="1">
    <w:name w:val="xl69"/>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70" w:customStyle="1">
    <w:name w:val="xl7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1" w:customStyle="1">
    <w:name w:val="xl71"/>
    <w:basedOn w:val="Normal"/>
    <w:uiPriority w:val="0"/>
    <w:qFormat/>
    <w:pPr>
      <w:widowControl/>
      <w:pBdr>
        <w:top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2" w:customStyle="1">
    <w:name w:val="xl72"/>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3" w:customStyle="1">
    <w:name w:val="xl73"/>
    <w:basedOn w:val="Normal"/>
    <w:uiPriority w:val="0"/>
    <w:qFormat/>
    <w:pPr>
      <w:widowControl/>
      <w:pBdr>
        <w:top w:val="single" w:sz="8" w:space="0" w:color="000000"/>
        <w:left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4" w:customStyle="1">
    <w:name w:val="xl74"/>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color w:val="000000"/>
      <w:kern w:val="0"/>
      <w:sz w:val="24"/>
    </w:rPr>
  </w:style>
  <w:style w:type="paragraph" w:styleId="Xl75" w:customStyle="1">
    <w:name w:val="xl7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6" w:customStyle="1">
    <w:name w:val="xl76"/>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77" w:customStyle="1">
    <w:name w:val="xl7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8" w:customStyle="1">
    <w:name w:val="xl78"/>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宋体" w:hAnsi="宋体" w:cs="宋体"/>
      <w:kern w:val="0"/>
      <w:sz w:val="24"/>
    </w:rPr>
  </w:style>
  <w:style w:type="paragraph" w:styleId="Xl79" w:customStyle="1">
    <w:name w:val="xl79"/>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0" w:customStyle="1">
    <w:name w:val="xl8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0"/>
      <w:szCs w:val="20"/>
    </w:rPr>
  </w:style>
  <w:style w:type="paragraph" w:styleId="Xl81" w:customStyle="1">
    <w:name w:val="xl8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0"/>
      <w:szCs w:val="20"/>
    </w:rPr>
  </w:style>
  <w:style w:type="paragraph" w:styleId="Xl82" w:customStyle="1">
    <w:name w:val="xl82"/>
    <w:basedOn w:val="Normal"/>
    <w:uiPriority w:val="0"/>
    <w:qFormat/>
    <w:pPr>
      <w:widowControl/>
      <w:spacing w:beforeAutospacing="1" w:afterAutospacing="1"/>
      <w:jc w:val="start"/>
    </w:pPr>
    <w:rPr>
      <w:rFonts w:ascii="宋体" w:hAnsi="宋体" w:cs="宋体"/>
      <w:kern w:val="0"/>
      <w:sz w:val="20"/>
      <w:szCs w:val="20"/>
    </w:rPr>
  </w:style>
  <w:style w:type="paragraph" w:styleId="Xl83" w:customStyle="1">
    <w:name w:val="xl83"/>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84" w:customStyle="1">
    <w:name w:val="xl84"/>
    <w:basedOn w:val="Normal"/>
    <w:uiPriority w:val="0"/>
    <w:qFormat/>
    <w:pPr>
      <w:widowControl/>
      <w:pBdr>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5" w:customStyle="1">
    <w:name w:val="xl85"/>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6" w:customStyle="1">
    <w:name w:val="xl86"/>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7" w:customStyle="1">
    <w:name w:val="xl8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8" w:customStyle="1">
    <w:name w:val="xl88"/>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9" w:customStyle="1">
    <w:name w:val="xl89"/>
    <w:basedOn w:val="Normal"/>
    <w:uiPriority w:val="0"/>
    <w:qFormat/>
    <w:pPr>
      <w:widowControl/>
      <w:pBdr>
        <w:top w:val="single" w:sz="8" w:space="0" w:color="000000"/>
        <w:left w:val="single" w:sz="4" w:space="0" w:color="000000"/>
        <w:bottom w:val="single" w:sz="4" w:space="0" w:color="000000"/>
      </w:pBdr>
      <w:shd w:val="clear" w:color="000000" w:fill="DBE5F1"/>
      <w:spacing w:beforeAutospacing="1" w:afterAutospacing="1"/>
      <w:jc w:val="center"/>
    </w:pPr>
    <w:rPr>
      <w:rFonts w:ascii="宋体" w:hAnsi="宋体" w:cs="宋体"/>
      <w:b/>
      <w:bCs/>
      <w:kern w:val="0"/>
      <w:sz w:val="24"/>
    </w:rPr>
  </w:style>
  <w:style w:type="paragraph" w:styleId="Xl90" w:customStyle="1">
    <w:name w:val="xl90"/>
    <w:basedOn w:val="Normal"/>
    <w:uiPriority w:val="0"/>
    <w:qFormat/>
    <w:pPr>
      <w:widowControl/>
      <w:pBdr>
        <w:top w:val="single" w:sz="8" w:space="0" w:color="000000"/>
        <w:left w:val="single" w:sz="4" w:space="0" w:color="000000"/>
        <w:bottom w:val="single" w:sz="4" w:space="0" w:color="000000"/>
        <w:right w:val="single" w:sz="8" w:space="0" w:color="000000"/>
      </w:pBdr>
      <w:shd w:val="clear" w:color="000000" w:fill="DBE5F1"/>
      <w:spacing w:beforeAutospacing="1" w:afterAutospacing="1"/>
      <w:jc w:val="center"/>
    </w:pPr>
    <w:rPr>
      <w:rFonts w:ascii="宋体" w:hAnsi="宋体" w:cs="宋体"/>
      <w:b/>
      <w:bCs/>
      <w:kern w:val="0"/>
      <w:sz w:val="24"/>
    </w:rPr>
  </w:style>
  <w:style w:type="paragraph" w:styleId="Xl91" w:customStyle="1">
    <w:name w:val="xl91"/>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2" w:customStyle="1">
    <w:name w:val="xl92"/>
    <w:basedOn w:val="Normal"/>
    <w:uiPriority w:val="0"/>
    <w:qFormat/>
    <w:pPr>
      <w:widowControl/>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93" w:customStyle="1">
    <w:name w:val="xl93"/>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4" w:customStyle="1">
    <w:name w:val="xl94"/>
    <w:basedOn w:val="Normal"/>
    <w:uiPriority w:val="0"/>
    <w:qFormat/>
    <w:pPr>
      <w:widowControl/>
      <w:pBdr>
        <w:top w:val="single" w:sz="4" w:space="0" w:color="000000"/>
        <w:left w:val="single" w:sz="4" w:space="0" w:color="000000"/>
        <w:bottom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5" w:customStyle="1">
    <w:name w:val="xl9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kern w:val="0"/>
      <w:sz w:val="20"/>
      <w:szCs w:val="20"/>
    </w:rPr>
  </w:style>
  <w:style w:type="paragraph" w:styleId="Xl96" w:customStyle="1">
    <w:name w:val="xl96"/>
    <w:basedOn w:val="Normal"/>
    <w:uiPriority w:val="0"/>
    <w:qFormat/>
    <w:pPr>
      <w:widowControl/>
      <w:pBdr>
        <w:top w:val="single" w:sz="4" w:space="0" w:color="000000"/>
        <w:left w:val="single" w:sz="4" w:space="0" w:color="000000"/>
        <w:bottom w:val="single" w:sz="4" w:space="0" w:color="000000"/>
        <w:right w:val="single" w:sz="8" w:space="0" w:color="000000"/>
      </w:pBdr>
      <w:spacing w:beforeAutospacing="1" w:afterAutospacing="1"/>
      <w:jc w:val="start"/>
    </w:pPr>
    <w:rPr>
      <w:rFonts w:ascii="宋体" w:hAnsi="宋体" w:cs="宋体"/>
      <w:kern w:val="0"/>
      <w:sz w:val="20"/>
      <w:szCs w:val="20"/>
    </w:rPr>
  </w:style>
  <w:style w:type="paragraph" w:styleId="Xl97" w:customStyle="1">
    <w:name w:val="xl97"/>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8" w:customStyle="1">
    <w:name w:val="xl98"/>
    <w:basedOn w:val="Normal"/>
    <w:uiPriority w:val="0"/>
    <w:qFormat/>
    <w:pPr>
      <w:widowControl/>
      <w:pBdr>
        <w:top w:val="single" w:sz="4" w:space="0" w:color="000000"/>
        <w:left w:val="single" w:sz="4" w:space="0" w:color="000000"/>
        <w:bottom w:val="single" w:sz="8" w:space="0" w:color="000000"/>
        <w:right w:val="single" w:sz="8" w:space="0" w:color="000000"/>
      </w:pBdr>
      <w:shd w:val="clear" w:color="000000" w:fill="FFFFFF"/>
      <w:spacing w:beforeAutospacing="1" w:afterAutospacing="1"/>
      <w:jc w:val="start"/>
    </w:pPr>
    <w:rPr>
      <w:rFonts w:ascii="宋体" w:hAnsi="宋体" w:cs="宋体"/>
      <w:kern w:val="0"/>
      <w:sz w:val="20"/>
      <w:szCs w:val="20"/>
    </w:rPr>
  </w:style>
  <w:style w:type="paragraph" w:styleId="Xl99" w:customStyle="1">
    <w:name w:val="xl99"/>
    <w:basedOn w:val="Normal"/>
    <w:uiPriority w:val="0"/>
    <w:qFormat/>
    <w:pPr>
      <w:widowControl/>
      <w:spacing w:beforeAutospacing="1" w:afterAutospacing="1"/>
      <w:jc w:val="center"/>
    </w:pPr>
    <w:rPr>
      <w:rFonts w:ascii="宋体" w:hAnsi="宋体" w:cs="宋体"/>
      <w:kern w:val="0"/>
      <w:sz w:val="20"/>
      <w:szCs w:val="20"/>
    </w:rPr>
  </w:style>
  <w:style w:type="paragraph" w:styleId="Xl100" w:customStyle="1">
    <w:name w:val="xl100"/>
    <w:basedOn w:val="Normal"/>
    <w:uiPriority w:val="0"/>
    <w:qFormat/>
    <w:pPr>
      <w:widowControl/>
      <w:spacing w:beforeAutospacing="1" w:afterAutospacing="1"/>
      <w:jc w:val="start"/>
    </w:pPr>
    <w:rPr>
      <w:rFonts w:ascii="宋体" w:hAnsi="宋体" w:cs="宋体"/>
      <w:kern w:val="0"/>
      <w:sz w:val="20"/>
      <w:szCs w:val="20"/>
    </w:rPr>
  </w:style>
  <w:style w:type="paragraph" w:styleId="Xl101" w:customStyle="1">
    <w:name w:val="xl10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102" w:customStyle="1">
    <w:name w:val="xl102"/>
    <w:basedOn w:val="Normal"/>
    <w:uiPriority w:val="0"/>
    <w:qFormat/>
    <w:pPr>
      <w:widowControl/>
      <w:pBdr>
        <w:top w:val="single" w:sz="4" w:space="0" w:color="000000"/>
        <w:left w:val="single" w:sz="4" w:space="0" w:color="000000"/>
        <w:bottom w:val="single" w:sz="4" w:space="0" w:color="000000"/>
      </w:pBdr>
      <w:spacing w:beforeAutospacing="1" w:afterAutospacing="1"/>
      <w:jc w:val="center"/>
    </w:pPr>
    <w:rPr>
      <w:rFonts w:ascii="宋体" w:hAnsi="宋体" w:cs="宋体"/>
      <w:kern w:val="0"/>
      <w:sz w:val="20"/>
      <w:szCs w:val="20"/>
    </w:rPr>
  </w:style>
  <w:style w:type="paragraph" w:styleId="Xl103" w:customStyle="1">
    <w:name w:val="xl103"/>
    <w:basedOn w:val="Normal"/>
    <w:uiPriority w:val="0"/>
    <w:qFormat/>
    <w:pPr>
      <w:widowControl/>
      <w:pBdr>
        <w:top w:val="single" w:sz="4" w:space="0" w:color="000000"/>
        <w:left w:val="single" w:sz="4" w:space="0" w:color="000000"/>
        <w:bottom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104" w:customStyle="1">
    <w:name w:val="xl104"/>
    <w:basedOn w:val="Normal"/>
    <w:uiPriority w:val="0"/>
    <w:qFormat/>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5" w:customStyle="1">
    <w:name w:val="xl105"/>
    <w:basedOn w:val="Normal"/>
    <w:uiPriority w:val="0"/>
    <w:qFormat/>
    <w:pPr>
      <w:widowControl/>
      <w:pBdr>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6" w:customStyle="1">
    <w:name w:val="xl106"/>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7" w:customStyle="1">
    <w:name w:val="xl10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8" w:customStyle="1">
    <w:name w:val="xl10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9" w:customStyle="1">
    <w:name w:val="xl109"/>
    <w:basedOn w:val="Normal"/>
    <w:uiPriority w:val="0"/>
    <w:qFormat/>
    <w:pPr>
      <w:widowControl/>
      <w:pBdr>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0" w:customStyle="1">
    <w:name w:val="xl110"/>
    <w:basedOn w:val="Normal"/>
    <w:uiPriority w:val="0"/>
    <w:qFormat/>
    <w:pPr>
      <w:widowControl/>
      <w:pBdr>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1" w:customStyle="1">
    <w:name w:val="xl111"/>
    <w:basedOn w:val="Normal"/>
    <w:uiPriority w:val="0"/>
    <w:qFormat/>
    <w:pPr>
      <w:widowControl/>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2" w:customStyle="1">
    <w:name w:val="xl112"/>
    <w:basedOn w:val="Normal"/>
    <w:uiPriority w:val="0"/>
    <w:qFormat/>
    <w:pPr>
      <w:widowControl/>
      <w:pBdr>
        <w:top w:val="single" w:sz="4" w:space="0" w:color="000000"/>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3" w:customStyle="1">
    <w:name w:val="xl113"/>
    <w:basedOn w:val="Normal"/>
    <w:uiPriority w:val="0"/>
    <w:qFormat/>
    <w:pPr>
      <w:widowControl/>
      <w:pBdr>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4" w:customStyle="1">
    <w:name w:val="xl114"/>
    <w:basedOn w:val="Normal"/>
    <w:uiPriority w:val="0"/>
    <w:qFormat/>
    <w:pPr>
      <w:widowControl/>
      <w:pBdr>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5" w:customStyle="1">
    <w:name w:val="xl115"/>
    <w:basedOn w:val="Normal"/>
    <w:uiPriority w:val="0"/>
    <w:qFormat/>
    <w:pPr>
      <w:widowControl/>
      <w:pBdr>
        <w:top w:val="single" w:sz="4" w:space="0" w:color="000000"/>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6" w:customStyle="1">
    <w:name w:val="xl116"/>
    <w:basedOn w:val="Normal"/>
    <w:uiPriority w:val="0"/>
    <w:qFormat/>
    <w:pPr>
      <w:widowControl/>
      <w:pBdr>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7" w:customStyle="1">
    <w:name w:val="xl117"/>
    <w:basedOn w:val="Normal"/>
    <w:uiPriority w:val="0"/>
    <w:qFormat/>
    <w:pPr>
      <w:widowControl/>
      <w:pBdr>
        <w:left w:val="single" w:sz="8" w:space="0" w:color="000000"/>
        <w:bottom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8" w:customStyle="1">
    <w:name w:val="xl11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kern w:val="0"/>
      <w:sz w:val="24"/>
    </w:rPr>
  </w:style>
  <w:style w:type="paragraph" w:styleId="Xl119" w:customStyle="1">
    <w:name w:val="xl119"/>
    <w:basedOn w:val="Normal"/>
    <w:uiPriority w:val="0"/>
    <w:qFormat/>
    <w:pPr>
      <w:widowControl/>
      <w:pBdr>
        <w:left w:val="single" w:sz="4" w:space="0" w:color="000000"/>
        <w:bottom w:val="single" w:sz="8" w:space="0" w:color="000000"/>
        <w:right w:val="single" w:sz="4" w:space="0" w:color="000000"/>
      </w:pBdr>
      <w:spacing w:beforeAutospacing="1" w:afterAutospacing="1"/>
      <w:jc w:val="center"/>
    </w:pPr>
    <w:rPr>
      <w:rFonts w:ascii="宋体" w:hAnsi="宋体" w:cs="宋体"/>
      <w:kern w:val="0"/>
      <w:sz w:val="24"/>
    </w:rPr>
  </w:style>
  <w:style w:type="paragraph" w:styleId="Xl120" w:customStyle="1">
    <w:name w:val="xl120"/>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table" w:default="1" w:styleId="19">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11</Pages>
  <Words>4960</Words>
  <Characters>5037</Characters>
  <CharactersWithSpaces>5182</CharactersWithSpaces>
  <Paragraphs>466</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2015-05-20T08:39:00Z</dcterms:created>
  <dc:creator>未名潮</dc:creator>
  <dc:description/>
  <dc:language>en-US</dc:language>
  <cp:lastModifiedBy>李想</cp:lastModifiedBy>
  <cp:lastPrinted>2009-02-17T05:21:00Z</cp:lastPrinted>
  <dcterms:modified xsi:type="dcterms:W3CDTF">2019-11-26T14:24:30Z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fileid">
    <vt:lpwstr>558027</vt:lpwstr>
  </property>
  <property fmtid="{D5CDD505-2E9C-101B-9397-08002B2CF9AE}" pid="4" name="name">
    <vt:lpwstr>ecgUgqFcKF42567.doc</vt:lpwstr>
  </property>
</Properties>
</file>