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before="313" w:beforeLines="100" w:after="240" w:afterLines="100" w:line="360" w:lineRule="auto"/>
        <w:jc w:val="center"/>
        <w:textAlignment w:val="auto"/>
        <w:rPr>
          <w:rFonts w:hint="eastAsia" w:ascii="楷体" w:hAnsi="楷体" w:eastAsia="楷体"/>
          <w:b/>
          <w:bCs/>
          <w:color w:val="000000"/>
          <w:sz w:val="24"/>
          <w:szCs w:val="48"/>
        </w:rPr>
      </w:pPr>
      <w:bookmarkStart w:id="0" w:name="_GoBack"/>
      <w:r>
        <w:rPr>
          <w:rFonts w:hint="eastAsia" w:ascii="楷体" w:hAnsi="宋体" w:eastAsia="楷体" w:cs="宋体"/>
          <w:b/>
          <w:bCs/>
          <w:color w:val="000000"/>
          <w:kern w:val="0"/>
          <w:sz w:val="36"/>
        </w:rPr>
        <w:t>KPI指标库</w:t>
      </w:r>
      <w:bookmarkEnd w:id="0"/>
    </w:p>
    <w:p>
      <w:pPr>
        <w:widowControl/>
        <w:spacing w:line="360" w:lineRule="auto"/>
        <w:jc w:val="center"/>
        <w:rPr>
          <w:rFonts w:hint="eastAsia" w:ascii="楷体" w:hAnsi="楷体" w:eastAsia="楷体"/>
          <w:color w:val="000000"/>
          <w:sz w:val="24"/>
          <w:szCs w:val="32"/>
        </w:rPr>
      </w:pPr>
      <w:r>
        <w:rPr>
          <w:rFonts w:hint="eastAsia" w:ascii="楷体" w:hAnsi="宋体" w:eastAsia="楷体" w:cs="宋体"/>
          <w:b/>
          <w:bCs/>
          <w:color w:val="000000"/>
          <w:kern w:val="0"/>
          <w:sz w:val="28"/>
        </w:rPr>
        <w:t>企业（一）关键绩效指标（KPI）辞典</w:t>
      </w:r>
    </w:p>
    <w:p>
      <w:pPr>
        <w:spacing w:line="360" w:lineRule="auto"/>
        <w:jc w:val="center"/>
        <w:rPr>
          <w:rFonts w:hint="eastAsia" w:ascii="楷体" w:hAnsi="楷体" w:eastAsia="楷体"/>
          <w:color w:val="000000"/>
          <w:sz w:val="24"/>
        </w:rPr>
      </w:pPr>
      <w:r>
        <w:rPr>
          <w:rFonts w:hint="eastAsia" w:ascii="楷体" w:hAnsi="楷体" w:eastAsia="楷体"/>
          <w:color w:val="000000"/>
          <w:sz w:val="24"/>
        </w:rPr>
        <w:t>财务会计指标</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620"/>
        <w:gridCol w:w="3970"/>
        <w:gridCol w:w="5390"/>
        <w:gridCol w:w="21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szCs w:val="28"/>
              </w:rPr>
            </w:pPr>
            <w:r>
              <w:rPr>
                <w:rFonts w:hint="eastAsia" w:ascii="楷体" w:hAnsi="楷体" w:eastAsia="楷体"/>
                <w:color w:val="000000"/>
                <w:sz w:val="24"/>
                <w:szCs w:val="28"/>
              </w:rPr>
              <w:t>序号</w:t>
            </w:r>
          </w:p>
        </w:tc>
        <w:tc>
          <w:tcPr>
            <w:tcW w:w="1620" w:type="dxa"/>
            <w:noWrap w:val="0"/>
            <w:vAlign w:val="top"/>
          </w:tcPr>
          <w:p>
            <w:pPr>
              <w:spacing w:line="360" w:lineRule="auto"/>
              <w:jc w:val="center"/>
              <w:rPr>
                <w:rFonts w:hint="eastAsia" w:ascii="楷体" w:hAnsi="楷体" w:eastAsia="楷体"/>
                <w:color w:val="000000"/>
                <w:sz w:val="24"/>
                <w:szCs w:val="28"/>
              </w:rPr>
            </w:pPr>
            <w:r>
              <w:rPr>
                <w:rFonts w:hint="eastAsia" w:ascii="楷体" w:hAnsi="楷体" w:eastAsia="楷体"/>
                <w:color w:val="000000"/>
                <w:sz w:val="24"/>
                <w:szCs w:val="28"/>
              </w:rPr>
              <w:t>指标</w:t>
            </w:r>
          </w:p>
        </w:tc>
        <w:tc>
          <w:tcPr>
            <w:tcW w:w="3970" w:type="dxa"/>
            <w:noWrap w:val="0"/>
            <w:vAlign w:val="top"/>
          </w:tcPr>
          <w:p>
            <w:pPr>
              <w:spacing w:line="360" w:lineRule="auto"/>
              <w:jc w:val="center"/>
              <w:rPr>
                <w:rFonts w:hint="eastAsia" w:ascii="楷体" w:hAnsi="楷体" w:eastAsia="楷体"/>
                <w:color w:val="000000"/>
                <w:sz w:val="24"/>
                <w:szCs w:val="28"/>
              </w:rPr>
            </w:pPr>
            <w:r>
              <w:rPr>
                <w:rFonts w:hint="eastAsia" w:ascii="楷体" w:hAnsi="楷体" w:eastAsia="楷体"/>
                <w:color w:val="000000"/>
                <w:sz w:val="24"/>
                <w:szCs w:val="28"/>
              </w:rPr>
              <w:t>指标定义</w:t>
            </w:r>
          </w:p>
        </w:tc>
        <w:tc>
          <w:tcPr>
            <w:tcW w:w="5390" w:type="dxa"/>
            <w:noWrap w:val="0"/>
            <w:vAlign w:val="top"/>
          </w:tcPr>
          <w:p>
            <w:pPr>
              <w:spacing w:line="360" w:lineRule="auto"/>
              <w:jc w:val="center"/>
              <w:rPr>
                <w:rFonts w:hint="eastAsia" w:ascii="楷体" w:hAnsi="楷体" w:eastAsia="楷体"/>
                <w:color w:val="000000"/>
                <w:sz w:val="24"/>
                <w:szCs w:val="28"/>
              </w:rPr>
            </w:pPr>
            <w:r>
              <w:rPr>
                <w:rFonts w:hint="eastAsia" w:ascii="楷体" w:hAnsi="楷体" w:eastAsia="楷体"/>
                <w:color w:val="000000"/>
                <w:sz w:val="24"/>
                <w:szCs w:val="28"/>
              </w:rPr>
              <w:t>功能</w:t>
            </w:r>
          </w:p>
        </w:tc>
        <w:tc>
          <w:tcPr>
            <w:tcW w:w="2160" w:type="dxa"/>
            <w:noWrap w:val="0"/>
            <w:vAlign w:val="top"/>
          </w:tcPr>
          <w:p>
            <w:pPr>
              <w:spacing w:line="360" w:lineRule="auto"/>
              <w:jc w:val="center"/>
              <w:rPr>
                <w:rFonts w:hint="eastAsia" w:ascii="楷体" w:hAnsi="楷体" w:eastAsia="楷体"/>
                <w:color w:val="000000"/>
                <w:sz w:val="24"/>
                <w:szCs w:val="28"/>
              </w:rPr>
            </w:pPr>
            <w:r>
              <w:rPr>
                <w:rFonts w:hint="eastAsia" w:ascii="楷体" w:hAnsi="楷体" w:eastAsia="楷体"/>
                <w:color w:val="000000"/>
                <w:sz w:val="24"/>
                <w:szCs w:val="28"/>
              </w:rPr>
              <w:t>考核依据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1</w:t>
            </w:r>
          </w:p>
        </w:tc>
        <w:tc>
          <w:tcPr>
            <w:tcW w:w="1620" w:type="dxa"/>
            <w:noWrap w:val="0"/>
            <w:vAlign w:val="top"/>
          </w:tcPr>
          <w:p>
            <w:pPr>
              <w:spacing w:line="360" w:lineRule="auto"/>
              <w:rPr>
                <w:rFonts w:ascii="楷体" w:hAnsi="楷体" w:eastAsia="楷体"/>
                <w:color w:val="000000"/>
                <w:sz w:val="24"/>
              </w:rPr>
            </w:pPr>
            <w:r>
              <w:rPr>
                <w:rFonts w:hint="eastAsia" w:ascii="楷体" w:hAnsi="楷体" w:eastAsia="楷体"/>
                <w:color w:val="000000"/>
                <w:sz w:val="24"/>
              </w:rPr>
              <w:t>万元工资销售收入比例</w:t>
            </w:r>
          </w:p>
        </w:tc>
        <w:tc>
          <w:tcPr>
            <w:tcW w:w="3970"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财政年度内的全部销售收入与当期全部工资成本的万元数的比值。</w:t>
            </w:r>
          </w:p>
        </w:tc>
        <w:tc>
          <w:tcPr>
            <w:tcW w:w="5390"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检测万元工资的投入产出效率，鼓励公司提高员工整体素质和能力</w:t>
            </w:r>
          </w:p>
        </w:tc>
        <w:tc>
          <w:tcPr>
            <w:tcW w:w="2160"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2</w:t>
            </w:r>
          </w:p>
        </w:tc>
        <w:tc>
          <w:tcPr>
            <w:tcW w:w="1620"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产品毛利率</w:t>
            </w:r>
          </w:p>
        </w:tc>
        <w:tc>
          <w:tcPr>
            <w:tcW w:w="3970"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产品毛利/产品销售收入</w:t>
            </w:r>
          </w:p>
        </w:tc>
        <w:tc>
          <w:tcPr>
            <w:tcW w:w="5390"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检测分（子）公司当前经营模式的效率</w:t>
            </w:r>
          </w:p>
        </w:tc>
        <w:tc>
          <w:tcPr>
            <w:tcW w:w="2160"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3</w:t>
            </w:r>
          </w:p>
        </w:tc>
        <w:tc>
          <w:tcPr>
            <w:tcW w:w="1620"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利润总额</w:t>
            </w:r>
          </w:p>
        </w:tc>
        <w:tc>
          <w:tcPr>
            <w:tcW w:w="3970"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一定周期内完成的利润总额</w:t>
            </w:r>
          </w:p>
        </w:tc>
        <w:tc>
          <w:tcPr>
            <w:tcW w:w="5390"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检测分（子）公司的经营效果</w:t>
            </w:r>
          </w:p>
        </w:tc>
        <w:tc>
          <w:tcPr>
            <w:tcW w:w="2160"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4</w:t>
            </w:r>
          </w:p>
        </w:tc>
        <w:tc>
          <w:tcPr>
            <w:tcW w:w="1620"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利润总额增加率</w:t>
            </w:r>
          </w:p>
        </w:tc>
        <w:tc>
          <w:tcPr>
            <w:tcW w:w="3970"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（本期利润总额—上期利润总额）/上期利润总额</w:t>
            </w:r>
          </w:p>
        </w:tc>
        <w:tc>
          <w:tcPr>
            <w:tcW w:w="5390"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检测分（子）公司不断优化经营模式，提高管理水平，追求利润最大化</w:t>
            </w:r>
          </w:p>
        </w:tc>
        <w:tc>
          <w:tcPr>
            <w:tcW w:w="2160"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5</w:t>
            </w:r>
          </w:p>
        </w:tc>
        <w:tc>
          <w:tcPr>
            <w:tcW w:w="1620"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集团利润贡献率</w:t>
            </w:r>
          </w:p>
        </w:tc>
        <w:tc>
          <w:tcPr>
            <w:tcW w:w="3970"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某分（子）公司利润总额/集团公司利润总额</w:t>
            </w:r>
          </w:p>
        </w:tc>
        <w:tc>
          <w:tcPr>
            <w:tcW w:w="5390"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检测分（子）公司在全公司利润中的贡献度</w:t>
            </w:r>
          </w:p>
        </w:tc>
        <w:tc>
          <w:tcPr>
            <w:tcW w:w="2160"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6</w:t>
            </w:r>
          </w:p>
        </w:tc>
        <w:tc>
          <w:tcPr>
            <w:tcW w:w="1620"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资金沉淀率</w:t>
            </w:r>
          </w:p>
        </w:tc>
        <w:tc>
          <w:tcPr>
            <w:tcW w:w="3970"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一定周期内流动资金用于固定投资和弥补亏损的资金占用额占全部流动资金总和的比例</w:t>
            </w:r>
          </w:p>
        </w:tc>
        <w:tc>
          <w:tcPr>
            <w:tcW w:w="5390"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检测流动资金的使用和周转效率</w:t>
            </w:r>
          </w:p>
        </w:tc>
        <w:tc>
          <w:tcPr>
            <w:tcW w:w="2160"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7</w:t>
            </w:r>
          </w:p>
        </w:tc>
        <w:tc>
          <w:tcPr>
            <w:tcW w:w="1620"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资金周转率</w:t>
            </w:r>
          </w:p>
        </w:tc>
        <w:tc>
          <w:tcPr>
            <w:tcW w:w="3970"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一定周期内流动资金的周转率</w:t>
            </w:r>
          </w:p>
        </w:tc>
        <w:tc>
          <w:tcPr>
            <w:tcW w:w="5390"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检测公司周转情况</w:t>
            </w:r>
          </w:p>
        </w:tc>
        <w:tc>
          <w:tcPr>
            <w:tcW w:w="2160"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8</w:t>
            </w:r>
          </w:p>
        </w:tc>
        <w:tc>
          <w:tcPr>
            <w:tcW w:w="1620"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投资收益率</w:t>
            </w:r>
          </w:p>
        </w:tc>
        <w:tc>
          <w:tcPr>
            <w:tcW w:w="3970"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税后利润/实收资本</w:t>
            </w:r>
          </w:p>
        </w:tc>
        <w:tc>
          <w:tcPr>
            <w:tcW w:w="5390"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检测分（子）公司的投资收益情况</w:t>
            </w:r>
          </w:p>
        </w:tc>
        <w:tc>
          <w:tcPr>
            <w:tcW w:w="2160"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9</w:t>
            </w:r>
          </w:p>
        </w:tc>
        <w:tc>
          <w:tcPr>
            <w:tcW w:w="1620"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资产负债率</w:t>
            </w:r>
          </w:p>
        </w:tc>
        <w:tc>
          <w:tcPr>
            <w:tcW w:w="3970"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负债总额/资产总额</w:t>
            </w:r>
          </w:p>
        </w:tc>
        <w:tc>
          <w:tcPr>
            <w:tcW w:w="5390"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检测分（子）公司的资产负债情况</w:t>
            </w:r>
          </w:p>
        </w:tc>
        <w:tc>
          <w:tcPr>
            <w:tcW w:w="2160"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10</w:t>
            </w:r>
          </w:p>
        </w:tc>
        <w:tc>
          <w:tcPr>
            <w:tcW w:w="1620" w:type="dxa"/>
            <w:noWrap w:val="0"/>
            <w:vAlign w:val="top"/>
          </w:tcPr>
          <w:p>
            <w:pPr>
              <w:spacing w:line="360" w:lineRule="auto"/>
              <w:jc w:val="center"/>
              <w:rPr>
                <w:rFonts w:hint="eastAsia" w:ascii="楷体" w:hAnsi="楷体" w:eastAsia="楷体"/>
                <w:color w:val="000000"/>
                <w:sz w:val="24"/>
              </w:rPr>
            </w:pPr>
          </w:p>
        </w:tc>
        <w:tc>
          <w:tcPr>
            <w:tcW w:w="3970" w:type="dxa"/>
            <w:noWrap w:val="0"/>
            <w:vAlign w:val="top"/>
          </w:tcPr>
          <w:p>
            <w:pPr>
              <w:spacing w:line="360" w:lineRule="auto"/>
              <w:jc w:val="center"/>
              <w:rPr>
                <w:rFonts w:hint="eastAsia" w:ascii="楷体" w:hAnsi="楷体" w:eastAsia="楷体"/>
                <w:color w:val="000000"/>
                <w:sz w:val="24"/>
              </w:rPr>
            </w:pPr>
          </w:p>
        </w:tc>
        <w:tc>
          <w:tcPr>
            <w:tcW w:w="5390" w:type="dxa"/>
            <w:noWrap w:val="0"/>
            <w:vAlign w:val="top"/>
          </w:tcPr>
          <w:p>
            <w:pPr>
              <w:spacing w:line="360" w:lineRule="auto"/>
              <w:jc w:val="center"/>
              <w:rPr>
                <w:rFonts w:hint="eastAsia" w:ascii="楷体" w:hAnsi="楷体" w:eastAsia="楷体"/>
                <w:color w:val="000000"/>
                <w:sz w:val="24"/>
              </w:rPr>
            </w:pPr>
          </w:p>
        </w:tc>
        <w:tc>
          <w:tcPr>
            <w:tcW w:w="2160" w:type="dxa"/>
            <w:noWrap w:val="0"/>
            <w:vAlign w:val="top"/>
          </w:tcPr>
          <w:p>
            <w:pPr>
              <w:spacing w:line="360" w:lineRule="auto"/>
              <w:jc w:val="center"/>
              <w:rPr>
                <w:rFonts w:hint="eastAsia" w:ascii="楷体" w:hAnsi="楷体" w:eastAsia="楷体"/>
                <w:color w:val="000000"/>
                <w:sz w:val="24"/>
              </w:rPr>
            </w:pPr>
          </w:p>
        </w:tc>
      </w:tr>
    </w:tbl>
    <w:p>
      <w:pPr>
        <w:spacing w:line="360" w:lineRule="auto"/>
        <w:ind w:firstLine="480" w:firstLineChars="200"/>
        <w:rPr>
          <w:rFonts w:hint="eastAsia" w:ascii="楷体" w:hAnsi="楷体" w:eastAsia="楷体"/>
          <w:color w:val="000000"/>
          <w:sz w:val="24"/>
        </w:rPr>
        <w:sectPr>
          <w:footerReference r:id="rId3" w:type="even"/>
          <w:pgSz w:w="16838" w:h="11906" w:orient="landscape"/>
          <w:pgMar w:top="850" w:right="1474" w:bottom="850" w:left="1474" w:header="57" w:footer="57" w:gutter="0"/>
          <w:pgNumType w:start="1"/>
          <w:cols w:space="720" w:num="1"/>
          <w:docGrid w:linePitch="312" w:charSpace="0"/>
        </w:sectPr>
      </w:pPr>
    </w:p>
    <w:p>
      <w:pPr>
        <w:spacing w:line="360" w:lineRule="auto"/>
        <w:jc w:val="center"/>
        <w:rPr>
          <w:rFonts w:hint="eastAsia" w:ascii="楷体" w:hAnsi="楷体" w:eastAsia="楷体"/>
          <w:color w:val="000000"/>
          <w:sz w:val="24"/>
          <w:szCs w:val="28"/>
        </w:rPr>
      </w:pPr>
      <w:r>
        <w:rPr>
          <w:rFonts w:hint="eastAsia" w:ascii="楷体" w:hAnsi="楷体" w:eastAsia="楷体"/>
          <w:color w:val="000000"/>
          <w:sz w:val="24"/>
          <w:szCs w:val="28"/>
        </w:rPr>
        <w:t>生产管理指标</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046"/>
        <w:gridCol w:w="3544"/>
        <w:gridCol w:w="5954"/>
        <w:gridCol w:w="1596"/>
      </w:tblGrid>
      <w:tr>
        <w:trPr>
          <w:jc w:val="center"/>
        </w:trPr>
        <w:tc>
          <w:tcPr>
            <w:tcW w:w="828" w:type="dxa"/>
            <w:noWrap w:val="0"/>
            <w:vAlign w:val="top"/>
          </w:tcPr>
          <w:p>
            <w:pPr>
              <w:spacing w:line="360" w:lineRule="auto"/>
              <w:jc w:val="center"/>
              <w:rPr>
                <w:rFonts w:hint="eastAsia" w:ascii="楷体" w:hAnsi="楷体" w:eastAsia="楷体"/>
                <w:color w:val="000000"/>
                <w:sz w:val="24"/>
                <w:szCs w:val="28"/>
              </w:rPr>
            </w:pPr>
            <w:r>
              <w:rPr>
                <w:rFonts w:hint="eastAsia" w:ascii="楷体" w:hAnsi="楷体" w:eastAsia="楷体"/>
                <w:color w:val="000000"/>
                <w:sz w:val="24"/>
                <w:szCs w:val="28"/>
              </w:rPr>
              <w:t>序号</w:t>
            </w:r>
          </w:p>
        </w:tc>
        <w:tc>
          <w:tcPr>
            <w:tcW w:w="2046" w:type="dxa"/>
            <w:noWrap w:val="0"/>
            <w:vAlign w:val="top"/>
          </w:tcPr>
          <w:p>
            <w:pPr>
              <w:spacing w:line="360" w:lineRule="auto"/>
              <w:jc w:val="center"/>
              <w:rPr>
                <w:rFonts w:hint="eastAsia" w:ascii="楷体" w:hAnsi="楷体" w:eastAsia="楷体"/>
                <w:color w:val="000000"/>
                <w:sz w:val="24"/>
                <w:szCs w:val="28"/>
              </w:rPr>
            </w:pPr>
            <w:r>
              <w:rPr>
                <w:rFonts w:hint="eastAsia" w:ascii="楷体" w:hAnsi="楷体" w:eastAsia="楷体"/>
                <w:color w:val="000000"/>
                <w:sz w:val="24"/>
                <w:szCs w:val="28"/>
              </w:rPr>
              <w:t>指标</w:t>
            </w:r>
          </w:p>
        </w:tc>
        <w:tc>
          <w:tcPr>
            <w:tcW w:w="3544" w:type="dxa"/>
            <w:noWrap w:val="0"/>
            <w:vAlign w:val="top"/>
          </w:tcPr>
          <w:p>
            <w:pPr>
              <w:spacing w:line="360" w:lineRule="auto"/>
              <w:jc w:val="center"/>
              <w:rPr>
                <w:rFonts w:hint="eastAsia" w:ascii="楷体" w:hAnsi="楷体" w:eastAsia="楷体"/>
                <w:color w:val="000000"/>
                <w:sz w:val="24"/>
                <w:szCs w:val="28"/>
              </w:rPr>
            </w:pPr>
            <w:r>
              <w:rPr>
                <w:rFonts w:hint="eastAsia" w:ascii="楷体" w:hAnsi="楷体" w:eastAsia="楷体"/>
                <w:color w:val="000000"/>
                <w:sz w:val="24"/>
                <w:szCs w:val="28"/>
              </w:rPr>
              <w:t>指标定义</w:t>
            </w:r>
          </w:p>
        </w:tc>
        <w:tc>
          <w:tcPr>
            <w:tcW w:w="5954" w:type="dxa"/>
            <w:noWrap w:val="0"/>
            <w:vAlign w:val="top"/>
          </w:tcPr>
          <w:p>
            <w:pPr>
              <w:spacing w:line="360" w:lineRule="auto"/>
              <w:jc w:val="center"/>
              <w:rPr>
                <w:rFonts w:hint="eastAsia" w:ascii="楷体" w:hAnsi="楷体" w:eastAsia="楷体"/>
                <w:color w:val="000000"/>
                <w:sz w:val="24"/>
                <w:szCs w:val="28"/>
              </w:rPr>
            </w:pPr>
            <w:r>
              <w:rPr>
                <w:rFonts w:hint="eastAsia" w:ascii="楷体" w:hAnsi="楷体" w:eastAsia="楷体"/>
                <w:color w:val="000000"/>
                <w:sz w:val="24"/>
                <w:szCs w:val="28"/>
              </w:rPr>
              <w:t>功能</w:t>
            </w:r>
          </w:p>
        </w:tc>
        <w:tc>
          <w:tcPr>
            <w:tcW w:w="1596" w:type="dxa"/>
            <w:noWrap w:val="0"/>
            <w:vAlign w:val="top"/>
          </w:tcPr>
          <w:p>
            <w:pPr>
              <w:spacing w:line="360" w:lineRule="auto"/>
              <w:jc w:val="center"/>
              <w:rPr>
                <w:rFonts w:hint="eastAsia" w:ascii="楷体" w:hAnsi="楷体" w:eastAsia="楷体"/>
                <w:color w:val="000000"/>
                <w:sz w:val="24"/>
                <w:szCs w:val="28"/>
              </w:rPr>
            </w:pPr>
            <w:r>
              <w:rPr>
                <w:rFonts w:hint="eastAsia" w:ascii="楷体" w:hAnsi="楷体" w:eastAsia="楷体"/>
                <w:color w:val="000000"/>
                <w:sz w:val="24"/>
                <w:szCs w:val="28"/>
              </w:rPr>
              <w:t>考核依据</w:t>
            </w:r>
          </w:p>
        </w:tc>
      </w:tr>
      <w:tr>
        <w:trPr>
          <w:trHeight w:val="90" w:hRule="atLeast"/>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1</w:t>
            </w:r>
          </w:p>
        </w:tc>
        <w:tc>
          <w:tcPr>
            <w:tcW w:w="2046"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产值</w:t>
            </w:r>
          </w:p>
        </w:tc>
        <w:tc>
          <w:tcPr>
            <w:tcW w:w="3544"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一定周期内完成的入库品总额</w:t>
            </w:r>
          </w:p>
        </w:tc>
        <w:tc>
          <w:tcPr>
            <w:tcW w:w="5954"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检测一定周期内的劳动生产总额</w:t>
            </w:r>
          </w:p>
        </w:tc>
        <w:tc>
          <w:tcPr>
            <w:tcW w:w="1596" w:type="dxa"/>
            <w:noWrap w:val="0"/>
            <w:vAlign w:val="top"/>
          </w:tcPr>
          <w:p>
            <w:pPr>
              <w:spacing w:line="360" w:lineRule="auto"/>
              <w:jc w:val="center"/>
              <w:rPr>
                <w:rFonts w:hint="eastAsia" w:ascii="楷体" w:hAnsi="楷体" w:eastAsia="楷体"/>
                <w:color w:val="000000"/>
                <w:sz w:val="24"/>
              </w:rPr>
            </w:pPr>
          </w:p>
        </w:tc>
      </w:tr>
      <w:tr>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2</w:t>
            </w:r>
          </w:p>
        </w:tc>
        <w:tc>
          <w:tcPr>
            <w:tcW w:w="2046"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生产计划完成率</w:t>
            </w:r>
          </w:p>
        </w:tc>
        <w:tc>
          <w:tcPr>
            <w:tcW w:w="3544"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实际生产完成量/计划完成量</w:t>
            </w:r>
          </w:p>
        </w:tc>
        <w:tc>
          <w:tcPr>
            <w:tcW w:w="5954"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检测生产部门生产计划完成情况</w:t>
            </w:r>
          </w:p>
        </w:tc>
        <w:tc>
          <w:tcPr>
            <w:tcW w:w="1596" w:type="dxa"/>
            <w:noWrap w:val="0"/>
            <w:vAlign w:val="top"/>
          </w:tcPr>
          <w:p>
            <w:pPr>
              <w:spacing w:line="360" w:lineRule="auto"/>
              <w:jc w:val="center"/>
              <w:rPr>
                <w:rFonts w:hint="eastAsia" w:ascii="楷体" w:hAnsi="楷体" w:eastAsia="楷体"/>
                <w:color w:val="000000"/>
                <w:sz w:val="24"/>
              </w:rPr>
            </w:pPr>
          </w:p>
        </w:tc>
      </w:tr>
      <w:tr>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3</w:t>
            </w:r>
          </w:p>
        </w:tc>
        <w:tc>
          <w:tcPr>
            <w:tcW w:w="2046"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按时交货率</w:t>
            </w:r>
          </w:p>
        </w:tc>
        <w:tc>
          <w:tcPr>
            <w:tcW w:w="3544"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按时交货额/计划交货额</w:t>
            </w:r>
          </w:p>
        </w:tc>
        <w:tc>
          <w:tcPr>
            <w:tcW w:w="5954"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检测生产部门生产进度执行情况</w:t>
            </w:r>
          </w:p>
        </w:tc>
        <w:tc>
          <w:tcPr>
            <w:tcW w:w="1596" w:type="dxa"/>
            <w:noWrap w:val="0"/>
            <w:vAlign w:val="top"/>
          </w:tcPr>
          <w:p>
            <w:pPr>
              <w:spacing w:line="360" w:lineRule="auto"/>
              <w:jc w:val="center"/>
              <w:rPr>
                <w:rFonts w:hint="eastAsia" w:ascii="楷体" w:hAnsi="楷体" w:eastAsia="楷体"/>
                <w:color w:val="000000"/>
                <w:sz w:val="24"/>
              </w:rPr>
            </w:pPr>
          </w:p>
        </w:tc>
      </w:tr>
      <w:tr>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4</w:t>
            </w:r>
          </w:p>
        </w:tc>
        <w:tc>
          <w:tcPr>
            <w:tcW w:w="2046"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全员劳动生产率</w:t>
            </w:r>
          </w:p>
        </w:tc>
        <w:tc>
          <w:tcPr>
            <w:tcW w:w="3544"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总产值/员工总人数</w:t>
            </w:r>
          </w:p>
        </w:tc>
        <w:tc>
          <w:tcPr>
            <w:tcW w:w="5954"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检测员工平均生产值，确定全员劳动生产率</w:t>
            </w:r>
          </w:p>
        </w:tc>
        <w:tc>
          <w:tcPr>
            <w:tcW w:w="1596"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5</w:t>
            </w:r>
          </w:p>
        </w:tc>
        <w:tc>
          <w:tcPr>
            <w:tcW w:w="2046"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设备折旧率</w:t>
            </w:r>
          </w:p>
        </w:tc>
        <w:tc>
          <w:tcPr>
            <w:tcW w:w="3544"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设备折旧费用/设备资产</w:t>
            </w:r>
          </w:p>
        </w:tc>
        <w:tc>
          <w:tcPr>
            <w:tcW w:w="5954"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检测资产消耗占设备资产比率，以测定设备利用情况</w:t>
            </w:r>
          </w:p>
        </w:tc>
        <w:tc>
          <w:tcPr>
            <w:tcW w:w="1596"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6</w:t>
            </w:r>
          </w:p>
        </w:tc>
        <w:tc>
          <w:tcPr>
            <w:tcW w:w="2046"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设备故障率</w:t>
            </w:r>
          </w:p>
        </w:tc>
        <w:tc>
          <w:tcPr>
            <w:tcW w:w="3544"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设备故障检修费用/产值</w:t>
            </w:r>
          </w:p>
        </w:tc>
        <w:tc>
          <w:tcPr>
            <w:tcW w:w="5954"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检测设备资产的消耗在总产值中的比重</w:t>
            </w:r>
          </w:p>
        </w:tc>
        <w:tc>
          <w:tcPr>
            <w:tcW w:w="1596"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7</w:t>
            </w:r>
          </w:p>
        </w:tc>
        <w:tc>
          <w:tcPr>
            <w:tcW w:w="2046"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工具消耗率</w:t>
            </w:r>
          </w:p>
        </w:tc>
        <w:tc>
          <w:tcPr>
            <w:tcW w:w="3544"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工具消耗额/产值</w:t>
            </w:r>
          </w:p>
        </w:tc>
        <w:tc>
          <w:tcPr>
            <w:tcW w:w="5954"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检测工具消耗与产值的比率关系，越少越好</w:t>
            </w:r>
          </w:p>
        </w:tc>
        <w:tc>
          <w:tcPr>
            <w:tcW w:w="1596"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8</w:t>
            </w:r>
          </w:p>
        </w:tc>
        <w:tc>
          <w:tcPr>
            <w:tcW w:w="2046"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生产安全事故发生数</w:t>
            </w:r>
          </w:p>
        </w:tc>
        <w:tc>
          <w:tcPr>
            <w:tcW w:w="3544"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一定周期内发生的安全生产事故数</w:t>
            </w:r>
          </w:p>
        </w:tc>
        <w:tc>
          <w:tcPr>
            <w:tcW w:w="5954"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检测生产部门生产安全管理的效果</w:t>
            </w:r>
          </w:p>
        </w:tc>
        <w:tc>
          <w:tcPr>
            <w:tcW w:w="1596"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9</w:t>
            </w:r>
          </w:p>
        </w:tc>
        <w:tc>
          <w:tcPr>
            <w:tcW w:w="2046"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生产安全事故损失率</w:t>
            </w:r>
          </w:p>
        </w:tc>
        <w:tc>
          <w:tcPr>
            <w:tcW w:w="3544"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生产安全事故损失额/产值</w:t>
            </w:r>
          </w:p>
        </w:tc>
        <w:tc>
          <w:tcPr>
            <w:tcW w:w="5954"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检测生产安全事故造成的生产损失情况</w:t>
            </w:r>
          </w:p>
        </w:tc>
        <w:tc>
          <w:tcPr>
            <w:tcW w:w="1596"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17" w:hRule="atLeast"/>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10</w:t>
            </w:r>
          </w:p>
        </w:tc>
        <w:tc>
          <w:tcPr>
            <w:tcW w:w="2046"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生产安全事故处理的及时性</w:t>
            </w:r>
          </w:p>
        </w:tc>
        <w:tc>
          <w:tcPr>
            <w:tcW w:w="3544"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生产安全事故是否得到了及时有效的处理</w:t>
            </w:r>
          </w:p>
        </w:tc>
        <w:tc>
          <w:tcPr>
            <w:tcW w:w="5954"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检测生产安全部门的工作情况</w:t>
            </w:r>
          </w:p>
        </w:tc>
        <w:tc>
          <w:tcPr>
            <w:tcW w:w="1596"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11</w:t>
            </w:r>
          </w:p>
        </w:tc>
        <w:tc>
          <w:tcPr>
            <w:tcW w:w="2046"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生产作业现场的整洁、有序性</w:t>
            </w:r>
          </w:p>
        </w:tc>
        <w:tc>
          <w:tcPr>
            <w:tcW w:w="3544"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生产作业现场是否摆放整齐，存放有秩序</w:t>
            </w:r>
          </w:p>
        </w:tc>
        <w:tc>
          <w:tcPr>
            <w:tcW w:w="5954"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检测生产作业车间的现场管理情况</w:t>
            </w:r>
          </w:p>
        </w:tc>
        <w:tc>
          <w:tcPr>
            <w:tcW w:w="1596" w:type="dxa"/>
            <w:noWrap w:val="0"/>
            <w:vAlign w:val="top"/>
          </w:tcPr>
          <w:p>
            <w:pPr>
              <w:spacing w:line="360" w:lineRule="auto"/>
              <w:jc w:val="center"/>
              <w:rPr>
                <w:rFonts w:hint="eastAsia" w:ascii="楷体" w:hAnsi="楷体" w:eastAsia="楷体"/>
                <w:color w:val="000000"/>
                <w:sz w:val="24"/>
              </w:rPr>
            </w:pPr>
          </w:p>
        </w:tc>
      </w:tr>
    </w:tbl>
    <w:p>
      <w:pPr>
        <w:spacing w:line="360" w:lineRule="auto"/>
        <w:jc w:val="center"/>
        <w:rPr>
          <w:rFonts w:ascii="楷体" w:hAnsi="楷体" w:eastAsia="楷体"/>
          <w:color w:val="000000"/>
          <w:sz w:val="24"/>
          <w:szCs w:val="28"/>
        </w:rPr>
      </w:pPr>
    </w:p>
    <w:p>
      <w:pPr>
        <w:spacing w:line="360" w:lineRule="auto"/>
        <w:jc w:val="center"/>
        <w:rPr>
          <w:rFonts w:hint="eastAsia" w:ascii="楷体" w:hAnsi="楷体" w:eastAsia="楷体"/>
          <w:color w:val="000000"/>
          <w:sz w:val="24"/>
          <w:szCs w:val="28"/>
        </w:rPr>
      </w:pPr>
      <w:r>
        <w:rPr>
          <w:rFonts w:ascii="楷体" w:hAnsi="楷体" w:eastAsia="楷体"/>
          <w:color w:val="000000"/>
          <w:sz w:val="24"/>
          <w:szCs w:val="28"/>
        </w:rPr>
        <w:br w:type="page"/>
      </w:r>
      <w:r>
        <w:rPr>
          <w:rFonts w:hint="eastAsia" w:ascii="楷体" w:hAnsi="楷体" w:eastAsia="楷体"/>
          <w:color w:val="000000"/>
          <w:sz w:val="24"/>
          <w:szCs w:val="28"/>
        </w:rPr>
        <w:t>成本控制指标</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897"/>
        <w:gridCol w:w="3544"/>
        <w:gridCol w:w="5244"/>
        <w:gridCol w:w="1455"/>
      </w:tblGrid>
      <w:tr>
        <w:trPr>
          <w:jc w:val="center"/>
        </w:trPr>
        <w:tc>
          <w:tcPr>
            <w:tcW w:w="828" w:type="dxa"/>
            <w:noWrap w:val="0"/>
            <w:vAlign w:val="top"/>
          </w:tcPr>
          <w:p>
            <w:pPr>
              <w:spacing w:line="360" w:lineRule="auto"/>
              <w:jc w:val="center"/>
              <w:rPr>
                <w:rFonts w:hint="eastAsia" w:ascii="楷体" w:hAnsi="楷体" w:eastAsia="楷体"/>
                <w:color w:val="000000"/>
                <w:sz w:val="24"/>
                <w:szCs w:val="28"/>
              </w:rPr>
            </w:pPr>
            <w:r>
              <w:rPr>
                <w:rFonts w:hint="eastAsia" w:ascii="楷体" w:hAnsi="楷体" w:eastAsia="楷体"/>
                <w:color w:val="000000"/>
                <w:sz w:val="24"/>
                <w:szCs w:val="28"/>
              </w:rPr>
              <w:t>序号</w:t>
            </w:r>
          </w:p>
        </w:tc>
        <w:tc>
          <w:tcPr>
            <w:tcW w:w="2897" w:type="dxa"/>
            <w:noWrap w:val="0"/>
            <w:vAlign w:val="top"/>
          </w:tcPr>
          <w:p>
            <w:pPr>
              <w:spacing w:line="360" w:lineRule="auto"/>
              <w:jc w:val="center"/>
              <w:rPr>
                <w:rFonts w:hint="eastAsia" w:ascii="楷体" w:hAnsi="楷体" w:eastAsia="楷体"/>
                <w:color w:val="000000"/>
                <w:sz w:val="24"/>
                <w:szCs w:val="28"/>
              </w:rPr>
            </w:pPr>
            <w:r>
              <w:rPr>
                <w:rFonts w:hint="eastAsia" w:ascii="楷体" w:hAnsi="楷体" w:eastAsia="楷体"/>
                <w:color w:val="000000"/>
                <w:sz w:val="24"/>
                <w:szCs w:val="28"/>
              </w:rPr>
              <w:t>指标</w:t>
            </w:r>
          </w:p>
        </w:tc>
        <w:tc>
          <w:tcPr>
            <w:tcW w:w="3544" w:type="dxa"/>
            <w:noWrap w:val="0"/>
            <w:vAlign w:val="top"/>
          </w:tcPr>
          <w:p>
            <w:pPr>
              <w:spacing w:line="360" w:lineRule="auto"/>
              <w:jc w:val="center"/>
              <w:rPr>
                <w:rFonts w:hint="eastAsia" w:ascii="楷体" w:hAnsi="楷体" w:eastAsia="楷体"/>
                <w:color w:val="000000"/>
                <w:sz w:val="24"/>
                <w:szCs w:val="28"/>
              </w:rPr>
            </w:pPr>
            <w:r>
              <w:rPr>
                <w:rFonts w:hint="eastAsia" w:ascii="楷体" w:hAnsi="楷体" w:eastAsia="楷体"/>
                <w:color w:val="000000"/>
                <w:sz w:val="24"/>
                <w:szCs w:val="28"/>
              </w:rPr>
              <w:t>指标定义</w:t>
            </w:r>
          </w:p>
        </w:tc>
        <w:tc>
          <w:tcPr>
            <w:tcW w:w="5244" w:type="dxa"/>
            <w:noWrap w:val="0"/>
            <w:vAlign w:val="top"/>
          </w:tcPr>
          <w:p>
            <w:pPr>
              <w:spacing w:line="360" w:lineRule="auto"/>
              <w:jc w:val="center"/>
              <w:rPr>
                <w:rFonts w:hint="eastAsia" w:ascii="楷体" w:hAnsi="楷体" w:eastAsia="楷体"/>
                <w:color w:val="000000"/>
                <w:sz w:val="24"/>
                <w:szCs w:val="28"/>
              </w:rPr>
            </w:pPr>
            <w:r>
              <w:rPr>
                <w:rFonts w:hint="eastAsia" w:ascii="楷体" w:hAnsi="楷体" w:eastAsia="楷体"/>
                <w:color w:val="000000"/>
                <w:sz w:val="24"/>
                <w:szCs w:val="28"/>
              </w:rPr>
              <w:t>功能</w:t>
            </w:r>
          </w:p>
        </w:tc>
        <w:tc>
          <w:tcPr>
            <w:tcW w:w="1455" w:type="dxa"/>
            <w:noWrap w:val="0"/>
            <w:vAlign w:val="top"/>
          </w:tcPr>
          <w:p>
            <w:pPr>
              <w:spacing w:line="360" w:lineRule="auto"/>
              <w:jc w:val="center"/>
              <w:rPr>
                <w:rFonts w:hint="eastAsia" w:ascii="楷体" w:hAnsi="楷体" w:eastAsia="楷体"/>
                <w:color w:val="000000"/>
                <w:sz w:val="24"/>
                <w:szCs w:val="28"/>
              </w:rPr>
            </w:pPr>
            <w:r>
              <w:rPr>
                <w:rFonts w:hint="eastAsia" w:ascii="楷体" w:hAnsi="楷体" w:eastAsia="楷体"/>
                <w:color w:val="000000"/>
                <w:sz w:val="24"/>
                <w:szCs w:val="28"/>
              </w:rPr>
              <w:t>考核依据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1</w:t>
            </w:r>
          </w:p>
        </w:tc>
        <w:tc>
          <w:tcPr>
            <w:tcW w:w="2897"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主营业务成本总额</w:t>
            </w:r>
          </w:p>
        </w:tc>
        <w:tc>
          <w:tcPr>
            <w:tcW w:w="3544"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产品生产成本</w:t>
            </w:r>
          </w:p>
        </w:tc>
        <w:tc>
          <w:tcPr>
            <w:tcW w:w="5244"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检测分（子）公司的主营业务成本，为分（子）公司降本增效提供依据</w:t>
            </w:r>
          </w:p>
        </w:tc>
        <w:tc>
          <w:tcPr>
            <w:tcW w:w="1455"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2</w:t>
            </w:r>
          </w:p>
        </w:tc>
        <w:tc>
          <w:tcPr>
            <w:tcW w:w="2897"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制造费用与主营业成本比率</w:t>
            </w:r>
          </w:p>
        </w:tc>
        <w:tc>
          <w:tcPr>
            <w:tcW w:w="3544"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制造费用/主营业务成本</w:t>
            </w:r>
          </w:p>
        </w:tc>
        <w:tc>
          <w:tcPr>
            <w:tcW w:w="5244"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检测制造费用在主营业务成本中的比例</w:t>
            </w:r>
          </w:p>
        </w:tc>
        <w:tc>
          <w:tcPr>
            <w:tcW w:w="1455"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3</w:t>
            </w:r>
          </w:p>
        </w:tc>
        <w:tc>
          <w:tcPr>
            <w:tcW w:w="2897"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制造成本与主营业务成本比率</w:t>
            </w:r>
          </w:p>
        </w:tc>
        <w:tc>
          <w:tcPr>
            <w:tcW w:w="3544"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制造成本/主营业务成本</w:t>
            </w:r>
          </w:p>
        </w:tc>
        <w:tc>
          <w:tcPr>
            <w:tcW w:w="5244"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检测制造成本在主营业务成本中的比例</w:t>
            </w:r>
          </w:p>
        </w:tc>
        <w:tc>
          <w:tcPr>
            <w:tcW w:w="1455"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4</w:t>
            </w:r>
          </w:p>
        </w:tc>
        <w:tc>
          <w:tcPr>
            <w:tcW w:w="2897"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管理费用</w:t>
            </w:r>
          </w:p>
        </w:tc>
        <w:tc>
          <w:tcPr>
            <w:tcW w:w="3544"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在生产销售产品中所发生的管理费用</w:t>
            </w:r>
          </w:p>
        </w:tc>
        <w:tc>
          <w:tcPr>
            <w:tcW w:w="5244"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检测分（子）公司的管理费用比例</w:t>
            </w:r>
          </w:p>
        </w:tc>
        <w:tc>
          <w:tcPr>
            <w:tcW w:w="1455"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5</w:t>
            </w:r>
          </w:p>
        </w:tc>
        <w:tc>
          <w:tcPr>
            <w:tcW w:w="2897"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营业费用</w:t>
            </w:r>
          </w:p>
        </w:tc>
        <w:tc>
          <w:tcPr>
            <w:tcW w:w="3544"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在产品销售过程中发生的费用</w:t>
            </w:r>
          </w:p>
        </w:tc>
        <w:tc>
          <w:tcPr>
            <w:tcW w:w="5244"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检测分（子）公司的产品销售费用</w:t>
            </w:r>
          </w:p>
        </w:tc>
        <w:tc>
          <w:tcPr>
            <w:tcW w:w="1455"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6</w:t>
            </w:r>
          </w:p>
        </w:tc>
        <w:tc>
          <w:tcPr>
            <w:tcW w:w="2897" w:type="dxa"/>
            <w:noWrap w:val="0"/>
            <w:vAlign w:val="top"/>
          </w:tcPr>
          <w:p>
            <w:pPr>
              <w:spacing w:line="360" w:lineRule="auto"/>
              <w:rPr>
                <w:rFonts w:hint="eastAsia" w:ascii="楷体" w:hAnsi="楷体" w:eastAsia="楷体"/>
                <w:color w:val="000000"/>
                <w:sz w:val="24"/>
              </w:rPr>
            </w:pPr>
          </w:p>
        </w:tc>
        <w:tc>
          <w:tcPr>
            <w:tcW w:w="3544" w:type="dxa"/>
            <w:noWrap w:val="0"/>
            <w:vAlign w:val="top"/>
          </w:tcPr>
          <w:p>
            <w:pPr>
              <w:spacing w:line="360" w:lineRule="auto"/>
              <w:rPr>
                <w:rFonts w:hint="eastAsia" w:ascii="楷体" w:hAnsi="楷体" w:eastAsia="楷体"/>
                <w:color w:val="000000"/>
                <w:sz w:val="24"/>
              </w:rPr>
            </w:pPr>
          </w:p>
        </w:tc>
        <w:tc>
          <w:tcPr>
            <w:tcW w:w="5244" w:type="dxa"/>
            <w:noWrap w:val="0"/>
            <w:vAlign w:val="top"/>
          </w:tcPr>
          <w:p>
            <w:pPr>
              <w:spacing w:line="360" w:lineRule="auto"/>
              <w:rPr>
                <w:rFonts w:hint="eastAsia" w:ascii="楷体" w:hAnsi="楷体" w:eastAsia="楷体"/>
                <w:color w:val="000000"/>
                <w:sz w:val="24"/>
              </w:rPr>
            </w:pPr>
          </w:p>
        </w:tc>
        <w:tc>
          <w:tcPr>
            <w:tcW w:w="1455"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7</w:t>
            </w:r>
          </w:p>
        </w:tc>
        <w:tc>
          <w:tcPr>
            <w:tcW w:w="2897" w:type="dxa"/>
            <w:noWrap w:val="0"/>
            <w:vAlign w:val="top"/>
          </w:tcPr>
          <w:p>
            <w:pPr>
              <w:spacing w:line="360" w:lineRule="auto"/>
              <w:rPr>
                <w:rFonts w:hint="eastAsia" w:ascii="楷体" w:hAnsi="楷体" w:eastAsia="楷体"/>
                <w:color w:val="000000"/>
                <w:sz w:val="24"/>
              </w:rPr>
            </w:pPr>
          </w:p>
        </w:tc>
        <w:tc>
          <w:tcPr>
            <w:tcW w:w="3544" w:type="dxa"/>
            <w:noWrap w:val="0"/>
            <w:vAlign w:val="top"/>
          </w:tcPr>
          <w:p>
            <w:pPr>
              <w:spacing w:line="360" w:lineRule="auto"/>
              <w:rPr>
                <w:rFonts w:hint="eastAsia" w:ascii="楷体" w:hAnsi="楷体" w:eastAsia="楷体"/>
                <w:color w:val="000000"/>
                <w:sz w:val="24"/>
              </w:rPr>
            </w:pPr>
          </w:p>
        </w:tc>
        <w:tc>
          <w:tcPr>
            <w:tcW w:w="5244" w:type="dxa"/>
            <w:noWrap w:val="0"/>
            <w:vAlign w:val="top"/>
          </w:tcPr>
          <w:p>
            <w:pPr>
              <w:spacing w:line="360" w:lineRule="auto"/>
              <w:rPr>
                <w:rFonts w:hint="eastAsia" w:ascii="楷体" w:hAnsi="楷体" w:eastAsia="楷体"/>
                <w:color w:val="000000"/>
                <w:sz w:val="24"/>
              </w:rPr>
            </w:pPr>
          </w:p>
        </w:tc>
        <w:tc>
          <w:tcPr>
            <w:tcW w:w="1455"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8</w:t>
            </w:r>
          </w:p>
        </w:tc>
        <w:tc>
          <w:tcPr>
            <w:tcW w:w="2897" w:type="dxa"/>
            <w:noWrap w:val="0"/>
            <w:vAlign w:val="top"/>
          </w:tcPr>
          <w:p>
            <w:pPr>
              <w:spacing w:line="360" w:lineRule="auto"/>
              <w:rPr>
                <w:rFonts w:hint="eastAsia" w:ascii="楷体" w:hAnsi="楷体" w:eastAsia="楷体"/>
                <w:color w:val="000000"/>
                <w:sz w:val="24"/>
              </w:rPr>
            </w:pPr>
          </w:p>
        </w:tc>
        <w:tc>
          <w:tcPr>
            <w:tcW w:w="3544" w:type="dxa"/>
            <w:noWrap w:val="0"/>
            <w:vAlign w:val="top"/>
          </w:tcPr>
          <w:p>
            <w:pPr>
              <w:spacing w:line="360" w:lineRule="auto"/>
              <w:rPr>
                <w:rFonts w:hint="eastAsia" w:ascii="楷体" w:hAnsi="楷体" w:eastAsia="楷体"/>
                <w:color w:val="000000"/>
                <w:sz w:val="24"/>
              </w:rPr>
            </w:pPr>
          </w:p>
        </w:tc>
        <w:tc>
          <w:tcPr>
            <w:tcW w:w="5244" w:type="dxa"/>
            <w:noWrap w:val="0"/>
            <w:vAlign w:val="top"/>
          </w:tcPr>
          <w:p>
            <w:pPr>
              <w:spacing w:line="360" w:lineRule="auto"/>
              <w:rPr>
                <w:rFonts w:hint="eastAsia" w:ascii="楷体" w:hAnsi="楷体" w:eastAsia="楷体"/>
                <w:color w:val="000000"/>
                <w:sz w:val="24"/>
              </w:rPr>
            </w:pPr>
          </w:p>
        </w:tc>
        <w:tc>
          <w:tcPr>
            <w:tcW w:w="1455"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9</w:t>
            </w:r>
          </w:p>
        </w:tc>
        <w:tc>
          <w:tcPr>
            <w:tcW w:w="2897" w:type="dxa"/>
            <w:noWrap w:val="0"/>
            <w:vAlign w:val="top"/>
          </w:tcPr>
          <w:p>
            <w:pPr>
              <w:spacing w:line="360" w:lineRule="auto"/>
              <w:rPr>
                <w:rFonts w:hint="eastAsia" w:ascii="楷体" w:hAnsi="楷体" w:eastAsia="楷体"/>
                <w:color w:val="000000"/>
                <w:sz w:val="24"/>
              </w:rPr>
            </w:pPr>
          </w:p>
        </w:tc>
        <w:tc>
          <w:tcPr>
            <w:tcW w:w="3544" w:type="dxa"/>
            <w:noWrap w:val="0"/>
            <w:vAlign w:val="top"/>
          </w:tcPr>
          <w:p>
            <w:pPr>
              <w:spacing w:line="360" w:lineRule="auto"/>
              <w:rPr>
                <w:rFonts w:hint="eastAsia" w:ascii="楷体" w:hAnsi="楷体" w:eastAsia="楷体"/>
                <w:color w:val="000000"/>
                <w:sz w:val="24"/>
              </w:rPr>
            </w:pPr>
          </w:p>
        </w:tc>
        <w:tc>
          <w:tcPr>
            <w:tcW w:w="5244" w:type="dxa"/>
            <w:noWrap w:val="0"/>
            <w:vAlign w:val="top"/>
          </w:tcPr>
          <w:p>
            <w:pPr>
              <w:spacing w:line="360" w:lineRule="auto"/>
              <w:rPr>
                <w:rFonts w:hint="eastAsia" w:ascii="楷体" w:hAnsi="楷体" w:eastAsia="楷体"/>
                <w:color w:val="000000"/>
                <w:sz w:val="24"/>
              </w:rPr>
            </w:pPr>
          </w:p>
        </w:tc>
        <w:tc>
          <w:tcPr>
            <w:tcW w:w="1455"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10</w:t>
            </w:r>
          </w:p>
        </w:tc>
        <w:tc>
          <w:tcPr>
            <w:tcW w:w="2897" w:type="dxa"/>
            <w:noWrap w:val="0"/>
            <w:vAlign w:val="top"/>
          </w:tcPr>
          <w:p>
            <w:pPr>
              <w:spacing w:line="360" w:lineRule="auto"/>
              <w:rPr>
                <w:rFonts w:hint="eastAsia" w:ascii="楷体" w:hAnsi="楷体" w:eastAsia="楷体"/>
                <w:color w:val="000000"/>
                <w:sz w:val="24"/>
              </w:rPr>
            </w:pPr>
          </w:p>
        </w:tc>
        <w:tc>
          <w:tcPr>
            <w:tcW w:w="3544" w:type="dxa"/>
            <w:noWrap w:val="0"/>
            <w:vAlign w:val="top"/>
          </w:tcPr>
          <w:p>
            <w:pPr>
              <w:spacing w:line="360" w:lineRule="auto"/>
              <w:rPr>
                <w:rFonts w:hint="eastAsia" w:ascii="楷体" w:hAnsi="楷体" w:eastAsia="楷体"/>
                <w:color w:val="000000"/>
                <w:sz w:val="24"/>
              </w:rPr>
            </w:pPr>
          </w:p>
        </w:tc>
        <w:tc>
          <w:tcPr>
            <w:tcW w:w="5244" w:type="dxa"/>
            <w:noWrap w:val="0"/>
            <w:vAlign w:val="top"/>
          </w:tcPr>
          <w:p>
            <w:pPr>
              <w:spacing w:line="360" w:lineRule="auto"/>
              <w:rPr>
                <w:rFonts w:hint="eastAsia" w:ascii="楷体" w:hAnsi="楷体" w:eastAsia="楷体"/>
                <w:color w:val="000000"/>
                <w:sz w:val="24"/>
              </w:rPr>
            </w:pPr>
          </w:p>
        </w:tc>
        <w:tc>
          <w:tcPr>
            <w:tcW w:w="1455" w:type="dxa"/>
            <w:noWrap w:val="0"/>
            <w:vAlign w:val="top"/>
          </w:tcPr>
          <w:p>
            <w:pPr>
              <w:spacing w:line="360" w:lineRule="auto"/>
              <w:jc w:val="center"/>
              <w:rPr>
                <w:rFonts w:hint="eastAsia" w:ascii="楷体" w:hAnsi="楷体" w:eastAsia="楷体"/>
                <w:color w:val="000000"/>
                <w:sz w:val="24"/>
              </w:rPr>
            </w:pPr>
          </w:p>
        </w:tc>
      </w:tr>
    </w:tbl>
    <w:p>
      <w:pPr>
        <w:spacing w:line="360" w:lineRule="auto"/>
        <w:jc w:val="center"/>
        <w:rPr>
          <w:rFonts w:hint="eastAsia" w:ascii="楷体" w:hAnsi="楷体" w:eastAsia="楷体"/>
          <w:color w:val="000000"/>
          <w:sz w:val="24"/>
          <w:szCs w:val="28"/>
        </w:rPr>
      </w:pPr>
      <w:r>
        <w:rPr>
          <w:rFonts w:hint="eastAsia" w:ascii="楷体" w:hAnsi="楷体" w:eastAsia="楷体"/>
          <w:color w:val="000000"/>
          <w:sz w:val="24"/>
          <w:szCs w:val="28"/>
        </w:rPr>
        <w:br w:type="page"/>
      </w:r>
      <w:r>
        <w:rPr>
          <w:rFonts w:hint="eastAsia" w:ascii="楷体" w:hAnsi="楷体" w:eastAsia="楷体"/>
          <w:color w:val="000000"/>
          <w:sz w:val="24"/>
          <w:szCs w:val="28"/>
        </w:rPr>
        <w:t xml:space="preserve">  市场营销指标</w:t>
      </w:r>
    </w:p>
    <w:tbl>
      <w:tblPr>
        <w:tblStyle w:val="9"/>
        <w:tblW w:w="141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2031"/>
        <w:gridCol w:w="23"/>
        <w:gridCol w:w="4087"/>
        <w:gridCol w:w="73"/>
        <w:gridCol w:w="5543"/>
        <w:gridCol w:w="1701"/>
      </w:tblGrid>
      <w:tr>
        <w:trPr>
          <w:jc w:val="center"/>
        </w:trPr>
        <w:tc>
          <w:tcPr>
            <w:tcW w:w="7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序号</w:t>
            </w:r>
          </w:p>
        </w:tc>
        <w:tc>
          <w:tcPr>
            <w:tcW w:w="2031"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指标</w:t>
            </w:r>
          </w:p>
        </w:tc>
        <w:tc>
          <w:tcPr>
            <w:tcW w:w="4110" w:type="dxa"/>
            <w:gridSpan w:val="2"/>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指标定义</w:t>
            </w:r>
          </w:p>
        </w:tc>
        <w:tc>
          <w:tcPr>
            <w:tcW w:w="5616" w:type="dxa"/>
            <w:gridSpan w:val="2"/>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功能</w:t>
            </w:r>
          </w:p>
        </w:tc>
        <w:tc>
          <w:tcPr>
            <w:tcW w:w="1701"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考核依据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1</w:t>
            </w:r>
          </w:p>
        </w:tc>
        <w:tc>
          <w:tcPr>
            <w:tcW w:w="2054" w:type="dxa"/>
            <w:gridSpan w:val="2"/>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销售合同额</w:t>
            </w:r>
          </w:p>
        </w:tc>
        <w:tc>
          <w:tcPr>
            <w:tcW w:w="4160" w:type="dxa"/>
            <w:gridSpan w:val="2"/>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一定周期内完成签订的销售合同总额</w:t>
            </w:r>
          </w:p>
        </w:tc>
        <w:tc>
          <w:tcPr>
            <w:tcW w:w="5543"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检测一定周期内的营销效果</w:t>
            </w:r>
          </w:p>
        </w:tc>
        <w:tc>
          <w:tcPr>
            <w:tcW w:w="1701"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2</w:t>
            </w:r>
          </w:p>
        </w:tc>
        <w:tc>
          <w:tcPr>
            <w:tcW w:w="2054" w:type="dxa"/>
            <w:gridSpan w:val="2"/>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销售收入</w:t>
            </w:r>
          </w:p>
        </w:tc>
        <w:tc>
          <w:tcPr>
            <w:tcW w:w="4160" w:type="dxa"/>
            <w:gridSpan w:val="2"/>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一定周期内完成的产品出厂总额</w:t>
            </w:r>
          </w:p>
        </w:tc>
        <w:tc>
          <w:tcPr>
            <w:tcW w:w="5543"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检测一定周期内的产品销售收入，以产品出厂为准</w:t>
            </w:r>
          </w:p>
        </w:tc>
        <w:tc>
          <w:tcPr>
            <w:tcW w:w="1701"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3</w:t>
            </w:r>
          </w:p>
        </w:tc>
        <w:tc>
          <w:tcPr>
            <w:tcW w:w="2054" w:type="dxa"/>
            <w:gridSpan w:val="2"/>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货款回笼率</w:t>
            </w:r>
          </w:p>
        </w:tc>
        <w:tc>
          <w:tcPr>
            <w:tcW w:w="4160" w:type="dxa"/>
            <w:gridSpan w:val="2"/>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一定周期内回笼的销售货款总额/销售收入总额</w:t>
            </w:r>
          </w:p>
        </w:tc>
        <w:tc>
          <w:tcPr>
            <w:tcW w:w="5543"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检测一定周期内的货款回笼情况，促进公司销售部门提高效率</w:t>
            </w:r>
          </w:p>
        </w:tc>
        <w:tc>
          <w:tcPr>
            <w:tcW w:w="1701"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4</w:t>
            </w:r>
          </w:p>
        </w:tc>
        <w:tc>
          <w:tcPr>
            <w:tcW w:w="2054" w:type="dxa"/>
            <w:gridSpan w:val="2"/>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营销、销售计划完成情况</w:t>
            </w:r>
          </w:p>
        </w:tc>
        <w:tc>
          <w:tcPr>
            <w:tcW w:w="4160" w:type="dxa"/>
            <w:gridSpan w:val="2"/>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周期内营销、销售计划的完成、达成情况</w:t>
            </w:r>
          </w:p>
        </w:tc>
        <w:tc>
          <w:tcPr>
            <w:tcW w:w="5543"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检测营销、销售计划的编制准确性和计划完成情况</w:t>
            </w:r>
          </w:p>
        </w:tc>
        <w:tc>
          <w:tcPr>
            <w:tcW w:w="1701"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5</w:t>
            </w:r>
          </w:p>
        </w:tc>
        <w:tc>
          <w:tcPr>
            <w:tcW w:w="2054" w:type="dxa"/>
            <w:gridSpan w:val="2"/>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市场占有率</w:t>
            </w:r>
          </w:p>
        </w:tc>
        <w:tc>
          <w:tcPr>
            <w:tcW w:w="4160" w:type="dxa"/>
            <w:gridSpan w:val="2"/>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产品销售收入/产品市场总份额</w:t>
            </w:r>
          </w:p>
        </w:tc>
        <w:tc>
          <w:tcPr>
            <w:tcW w:w="5543"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检测一定周期内的市场占有情况</w:t>
            </w:r>
          </w:p>
        </w:tc>
        <w:tc>
          <w:tcPr>
            <w:tcW w:w="1701"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6</w:t>
            </w:r>
          </w:p>
        </w:tc>
        <w:tc>
          <w:tcPr>
            <w:tcW w:w="2054" w:type="dxa"/>
            <w:gridSpan w:val="2"/>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营业费用比率</w:t>
            </w:r>
          </w:p>
        </w:tc>
        <w:tc>
          <w:tcPr>
            <w:tcW w:w="4160" w:type="dxa"/>
            <w:gridSpan w:val="2"/>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营业费用总额/产品销售收入总额</w:t>
            </w:r>
          </w:p>
        </w:tc>
        <w:tc>
          <w:tcPr>
            <w:tcW w:w="5543"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检测一定周期内的营销效果</w:t>
            </w:r>
          </w:p>
        </w:tc>
        <w:tc>
          <w:tcPr>
            <w:tcW w:w="1701"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7</w:t>
            </w:r>
          </w:p>
        </w:tc>
        <w:tc>
          <w:tcPr>
            <w:tcW w:w="2054" w:type="dxa"/>
            <w:gridSpan w:val="2"/>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销售收入增加率</w:t>
            </w:r>
          </w:p>
        </w:tc>
        <w:tc>
          <w:tcPr>
            <w:tcW w:w="4160" w:type="dxa"/>
            <w:gridSpan w:val="2"/>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（本期销售收入—上期销售收入）/上期销售收入</w:t>
            </w:r>
          </w:p>
        </w:tc>
        <w:tc>
          <w:tcPr>
            <w:tcW w:w="5543"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检测一定周期内的销售增加情况</w:t>
            </w:r>
          </w:p>
        </w:tc>
        <w:tc>
          <w:tcPr>
            <w:tcW w:w="1701"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8</w:t>
            </w:r>
          </w:p>
        </w:tc>
        <w:tc>
          <w:tcPr>
            <w:tcW w:w="2054" w:type="dxa"/>
            <w:gridSpan w:val="2"/>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客户满意度</w:t>
            </w:r>
          </w:p>
        </w:tc>
        <w:tc>
          <w:tcPr>
            <w:tcW w:w="4160" w:type="dxa"/>
            <w:gridSpan w:val="2"/>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客户满意户数/公司全部客户</w:t>
            </w:r>
          </w:p>
        </w:tc>
        <w:tc>
          <w:tcPr>
            <w:tcW w:w="5543"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检测公司的客户满意度情况</w:t>
            </w:r>
          </w:p>
        </w:tc>
        <w:tc>
          <w:tcPr>
            <w:tcW w:w="1701"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9</w:t>
            </w:r>
          </w:p>
        </w:tc>
        <w:tc>
          <w:tcPr>
            <w:tcW w:w="2054" w:type="dxa"/>
            <w:gridSpan w:val="2"/>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营业费用达成率</w:t>
            </w:r>
          </w:p>
        </w:tc>
        <w:tc>
          <w:tcPr>
            <w:tcW w:w="4160" w:type="dxa"/>
            <w:gridSpan w:val="2"/>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一定周期内实际营销费用/营销预算费用</w:t>
            </w:r>
          </w:p>
        </w:tc>
        <w:tc>
          <w:tcPr>
            <w:tcW w:w="5543"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检测营销费用预算执行情况</w:t>
            </w:r>
          </w:p>
        </w:tc>
        <w:tc>
          <w:tcPr>
            <w:tcW w:w="1701"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10</w:t>
            </w:r>
          </w:p>
        </w:tc>
        <w:tc>
          <w:tcPr>
            <w:tcW w:w="2054" w:type="dxa"/>
            <w:gridSpan w:val="2"/>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运输费用达成率</w:t>
            </w:r>
          </w:p>
        </w:tc>
        <w:tc>
          <w:tcPr>
            <w:tcW w:w="4160" w:type="dxa"/>
            <w:gridSpan w:val="2"/>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一定周期实际发生的运输费用/计划预算费用</w:t>
            </w:r>
          </w:p>
        </w:tc>
        <w:tc>
          <w:tcPr>
            <w:tcW w:w="5543"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检测销售部门合理选择运输单位，控制运输成本</w:t>
            </w:r>
          </w:p>
        </w:tc>
        <w:tc>
          <w:tcPr>
            <w:tcW w:w="1701"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11</w:t>
            </w:r>
          </w:p>
        </w:tc>
        <w:tc>
          <w:tcPr>
            <w:tcW w:w="2054" w:type="dxa"/>
            <w:gridSpan w:val="2"/>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解决客户投诉率</w:t>
            </w:r>
          </w:p>
        </w:tc>
        <w:tc>
          <w:tcPr>
            <w:tcW w:w="4160" w:type="dxa"/>
            <w:gridSpan w:val="2"/>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一定周内解决的客户投诉数/客户总投诉数</w:t>
            </w:r>
          </w:p>
        </w:tc>
        <w:tc>
          <w:tcPr>
            <w:tcW w:w="5543"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检测相关部门客户投诉的解决力度和效果</w:t>
            </w:r>
          </w:p>
        </w:tc>
        <w:tc>
          <w:tcPr>
            <w:tcW w:w="1701"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12</w:t>
            </w:r>
          </w:p>
        </w:tc>
        <w:tc>
          <w:tcPr>
            <w:tcW w:w="2054" w:type="dxa"/>
            <w:gridSpan w:val="2"/>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合同归档率</w:t>
            </w:r>
          </w:p>
        </w:tc>
        <w:tc>
          <w:tcPr>
            <w:tcW w:w="4160" w:type="dxa"/>
            <w:gridSpan w:val="2"/>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周期内归档合同总数/应归档合同数</w:t>
            </w:r>
          </w:p>
        </w:tc>
        <w:tc>
          <w:tcPr>
            <w:tcW w:w="5543"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检测销售合同是否及时归档</w:t>
            </w:r>
          </w:p>
        </w:tc>
        <w:tc>
          <w:tcPr>
            <w:tcW w:w="1701"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13</w:t>
            </w:r>
          </w:p>
        </w:tc>
        <w:tc>
          <w:tcPr>
            <w:tcW w:w="2054" w:type="dxa"/>
            <w:gridSpan w:val="2"/>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销售台帐的准确性</w:t>
            </w:r>
          </w:p>
        </w:tc>
        <w:tc>
          <w:tcPr>
            <w:tcW w:w="4160" w:type="dxa"/>
            <w:gridSpan w:val="2"/>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销售台帐记录是否准确</w:t>
            </w:r>
          </w:p>
        </w:tc>
        <w:tc>
          <w:tcPr>
            <w:tcW w:w="5543"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检测销售台帐记录的准确性</w:t>
            </w:r>
          </w:p>
        </w:tc>
        <w:tc>
          <w:tcPr>
            <w:tcW w:w="1701"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14</w:t>
            </w:r>
          </w:p>
        </w:tc>
        <w:tc>
          <w:tcPr>
            <w:tcW w:w="2054" w:type="dxa"/>
            <w:gridSpan w:val="2"/>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销售往来记录的及时性和准确性</w:t>
            </w:r>
          </w:p>
        </w:tc>
        <w:tc>
          <w:tcPr>
            <w:tcW w:w="4160" w:type="dxa"/>
            <w:gridSpan w:val="2"/>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销售往来记录是否准确及时</w:t>
            </w:r>
          </w:p>
        </w:tc>
        <w:tc>
          <w:tcPr>
            <w:tcW w:w="5543"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检测销售往来记录的及时性和准确性</w:t>
            </w:r>
          </w:p>
        </w:tc>
        <w:tc>
          <w:tcPr>
            <w:tcW w:w="1701"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15</w:t>
            </w:r>
          </w:p>
        </w:tc>
        <w:tc>
          <w:tcPr>
            <w:tcW w:w="2054" w:type="dxa"/>
            <w:gridSpan w:val="2"/>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产品标识制作的及时性</w:t>
            </w:r>
          </w:p>
        </w:tc>
        <w:tc>
          <w:tcPr>
            <w:tcW w:w="4160" w:type="dxa"/>
            <w:gridSpan w:val="2"/>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产品标识制作是否及时</w:t>
            </w:r>
          </w:p>
        </w:tc>
        <w:tc>
          <w:tcPr>
            <w:tcW w:w="5543"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检测产品标识制作的及时性</w:t>
            </w:r>
          </w:p>
        </w:tc>
        <w:tc>
          <w:tcPr>
            <w:tcW w:w="1701"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16</w:t>
            </w:r>
          </w:p>
        </w:tc>
        <w:tc>
          <w:tcPr>
            <w:tcW w:w="2054" w:type="dxa"/>
            <w:gridSpan w:val="2"/>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客户信息管理的完成性</w:t>
            </w:r>
          </w:p>
        </w:tc>
        <w:tc>
          <w:tcPr>
            <w:tcW w:w="4160" w:type="dxa"/>
            <w:gridSpan w:val="2"/>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客户信息是否完整并及时更新</w:t>
            </w:r>
          </w:p>
        </w:tc>
        <w:tc>
          <w:tcPr>
            <w:tcW w:w="5543"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检测客户信息的完整性，以及相关人员是否及时将客户信息更新</w:t>
            </w:r>
          </w:p>
        </w:tc>
        <w:tc>
          <w:tcPr>
            <w:tcW w:w="1701"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17</w:t>
            </w:r>
          </w:p>
        </w:tc>
        <w:tc>
          <w:tcPr>
            <w:tcW w:w="2054" w:type="dxa"/>
            <w:gridSpan w:val="2"/>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销售结算工作进行的及时性准确性</w:t>
            </w:r>
          </w:p>
        </w:tc>
        <w:tc>
          <w:tcPr>
            <w:tcW w:w="4160" w:type="dxa"/>
            <w:gridSpan w:val="2"/>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是否及时、准确地进行了销售结算</w:t>
            </w:r>
          </w:p>
        </w:tc>
        <w:tc>
          <w:tcPr>
            <w:tcW w:w="5543"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检测市场部门是否及时、准确地进行了销售结算工作</w:t>
            </w:r>
          </w:p>
        </w:tc>
        <w:tc>
          <w:tcPr>
            <w:tcW w:w="1701" w:type="dxa"/>
            <w:noWrap w:val="0"/>
            <w:vAlign w:val="top"/>
          </w:tcPr>
          <w:p>
            <w:pPr>
              <w:spacing w:line="360" w:lineRule="auto"/>
              <w:jc w:val="center"/>
              <w:rPr>
                <w:rFonts w:hint="eastAsia" w:ascii="楷体" w:hAnsi="楷体" w:eastAsia="楷体"/>
                <w:color w:val="000000"/>
                <w:sz w:val="24"/>
                <w:szCs w:val="21"/>
              </w:rPr>
            </w:pPr>
          </w:p>
        </w:tc>
      </w:tr>
    </w:tbl>
    <w:p>
      <w:pPr>
        <w:spacing w:line="360" w:lineRule="auto"/>
        <w:jc w:val="center"/>
        <w:rPr>
          <w:rFonts w:ascii="楷体" w:hAnsi="楷体" w:eastAsia="楷体"/>
          <w:color w:val="000000"/>
          <w:sz w:val="24"/>
          <w:szCs w:val="28"/>
        </w:rPr>
      </w:pPr>
    </w:p>
    <w:p>
      <w:pPr>
        <w:spacing w:line="360" w:lineRule="auto"/>
        <w:jc w:val="center"/>
        <w:rPr>
          <w:rFonts w:hint="eastAsia" w:ascii="楷体" w:hAnsi="楷体" w:eastAsia="楷体"/>
          <w:color w:val="000000"/>
          <w:sz w:val="24"/>
          <w:szCs w:val="28"/>
        </w:rPr>
      </w:pPr>
      <w:r>
        <w:rPr>
          <w:rFonts w:ascii="楷体" w:hAnsi="楷体" w:eastAsia="楷体"/>
          <w:color w:val="000000"/>
          <w:sz w:val="24"/>
          <w:szCs w:val="28"/>
        </w:rPr>
        <w:br w:type="page"/>
      </w:r>
      <w:r>
        <w:rPr>
          <w:rFonts w:hint="eastAsia" w:ascii="楷体" w:hAnsi="楷体" w:eastAsia="楷体"/>
          <w:color w:val="000000"/>
          <w:sz w:val="24"/>
          <w:szCs w:val="28"/>
        </w:rPr>
        <w:t>质量管理指标</w:t>
      </w:r>
    </w:p>
    <w:tbl>
      <w:tblPr>
        <w:tblStyle w:val="9"/>
        <w:tblW w:w="142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023"/>
        <w:gridCol w:w="4110"/>
        <w:gridCol w:w="5083"/>
        <w:gridCol w:w="2160"/>
      </w:tblGrid>
      <w:tr>
        <w:trPr>
          <w:jc w:val="center"/>
        </w:trPr>
        <w:tc>
          <w:tcPr>
            <w:tcW w:w="828" w:type="dxa"/>
            <w:noWrap w:val="0"/>
            <w:vAlign w:val="top"/>
          </w:tcPr>
          <w:p>
            <w:pPr>
              <w:spacing w:line="360" w:lineRule="auto"/>
              <w:jc w:val="center"/>
              <w:rPr>
                <w:rFonts w:hint="eastAsia" w:ascii="楷体" w:hAnsi="楷体" w:eastAsia="楷体"/>
                <w:color w:val="000000"/>
                <w:sz w:val="24"/>
                <w:szCs w:val="28"/>
              </w:rPr>
            </w:pPr>
            <w:r>
              <w:rPr>
                <w:rFonts w:hint="eastAsia" w:ascii="楷体" w:hAnsi="楷体" w:eastAsia="楷体"/>
                <w:color w:val="000000"/>
                <w:sz w:val="24"/>
                <w:szCs w:val="28"/>
              </w:rPr>
              <w:t>序号</w:t>
            </w:r>
          </w:p>
        </w:tc>
        <w:tc>
          <w:tcPr>
            <w:tcW w:w="2023" w:type="dxa"/>
            <w:noWrap w:val="0"/>
            <w:vAlign w:val="top"/>
          </w:tcPr>
          <w:p>
            <w:pPr>
              <w:spacing w:line="360" w:lineRule="auto"/>
              <w:jc w:val="center"/>
              <w:rPr>
                <w:rFonts w:hint="eastAsia" w:ascii="楷体" w:hAnsi="楷体" w:eastAsia="楷体"/>
                <w:color w:val="000000"/>
                <w:sz w:val="24"/>
                <w:szCs w:val="28"/>
              </w:rPr>
            </w:pPr>
            <w:r>
              <w:rPr>
                <w:rFonts w:hint="eastAsia" w:ascii="楷体" w:hAnsi="楷体" w:eastAsia="楷体"/>
                <w:color w:val="000000"/>
                <w:sz w:val="24"/>
                <w:szCs w:val="28"/>
              </w:rPr>
              <w:t>指标</w:t>
            </w:r>
          </w:p>
        </w:tc>
        <w:tc>
          <w:tcPr>
            <w:tcW w:w="4110" w:type="dxa"/>
            <w:noWrap w:val="0"/>
            <w:vAlign w:val="top"/>
          </w:tcPr>
          <w:p>
            <w:pPr>
              <w:spacing w:line="360" w:lineRule="auto"/>
              <w:jc w:val="center"/>
              <w:rPr>
                <w:rFonts w:hint="eastAsia" w:ascii="楷体" w:hAnsi="楷体" w:eastAsia="楷体"/>
                <w:color w:val="000000"/>
                <w:sz w:val="24"/>
                <w:szCs w:val="28"/>
              </w:rPr>
            </w:pPr>
            <w:r>
              <w:rPr>
                <w:rFonts w:hint="eastAsia" w:ascii="楷体" w:hAnsi="楷体" w:eastAsia="楷体"/>
                <w:color w:val="000000"/>
                <w:sz w:val="24"/>
                <w:szCs w:val="28"/>
              </w:rPr>
              <w:t>指标定义</w:t>
            </w:r>
          </w:p>
        </w:tc>
        <w:tc>
          <w:tcPr>
            <w:tcW w:w="5083" w:type="dxa"/>
            <w:noWrap w:val="0"/>
            <w:vAlign w:val="top"/>
          </w:tcPr>
          <w:p>
            <w:pPr>
              <w:spacing w:line="360" w:lineRule="auto"/>
              <w:jc w:val="center"/>
              <w:rPr>
                <w:rFonts w:hint="eastAsia" w:ascii="楷体" w:hAnsi="楷体" w:eastAsia="楷体"/>
                <w:color w:val="000000"/>
                <w:sz w:val="24"/>
                <w:szCs w:val="28"/>
              </w:rPr>
            </w:pPr>
            <w:r>
              <w:rPr>
                <w:rFonts w:hint="eastAsia" w:ascii="楷体" w:hAnsi="楷体" w:eastAsia="楷体"/>
                <w:color w:val="000000"/>
                <w:sz w:val="24"/>
                <w:szCs w:val="28"/>
              </w:rPr>
              <w:t>功能</w:t>
            </w:r>
          </w:p>
        </w:tc>
        <w:tc>
          <w:tcPr>
            <w:tcW w:w="2160" w:type="dxa"/>
            <w:noWrap w:val="0"/>
            <w:vAlign w:val="top"/>
          </w:tcPr>
          <w:p>
            <w:pPr>
              <w:spacing w:line="360" w:lineRule="auto"/>
              <w:jc w:val="center"/>
              <w:rPr>
                <w:rFonts w:hint="eastAsia" w:ascii="楷体" w:hAnsi="楷体" w:eastAsia="楷体"/>
                <w:color w:val="000000"/>
                <w:sz w:val="24"/>
                <w:szCs w:val="28"/>
              </w:rPr>
            </w:pPr>
            <w:r>
              <w:rPr>
                <w:rFonts w:hint="eastAsia" w:ascii="楷体" w:hAnsi="楷体" w:eastAsia="楷体"/>
                <w:color w:val="000000"/>
                <w:sz w:val="24"/>
                <w:szCs w:val="28"/>
              </w:rPr>
              <w:t>考核依据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1</w:t>
            </w:r>
          </w:p>
        </w:tc>
        <w:tc>
          <w:tcPr>
            <w:tcW w:w="2023"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一次检验成功率</w:t>
            </w:r>
          </w:p>
        </w:tc>
        <w:tc>
          <w:tcPr>
            <w:tcW w:w="4110"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一次检验成功的产品数/检验的产品总数</w:t>
            </w:r>
          </w:p>
        </w:tc>
        <w:tc>
          <w:tcPr>
            <w:tcW w:w="5083"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检测生产质量情况</w:t>
            </w:r>
          </w:p>
        </w:tc>
        <w:tc>
          <w:tcPr>
            <w:tcW w:w="2160"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2</w:t>
            </w:r>
          </w:p>
        </w:tc>
        <w:tc>
          <w:tcPr>
            <w:tcW w:w="2023"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品管成本比重</w:t>
            </w:r>
          </w:p>
        </w:tc>
        <w:tc>
          <w:tcPr>
            <w:tcW w:w="4110"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品管成本/产品销售收入</w:t>
            </w:r>
          </w:p>
        </w:tc>
        <w:tc>
          <w:tcPr>
            <w:tcW w:w="5083"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检测品管成本占销货收入比率，为拟订品管计划及生产、品管改进参考</w:t>
            </w:r>
          </w:p>
        </w:tc>
        <w:tc>
          <w:tcPr>
            <w:tcW w:w="2160"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3</w:t>
            </w:r>
          </w:p>
        </w:tc>
        <w:tc>
          <w:tcPr>
            <w:tcW w:w="2023"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质量事故处理的及时性有效性</w:t>
            </w:r>
          </w:p>
        </w:tc>
        <w:tc>
          <w:tcPr>
            <w:tcW w:w="4110"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质量事故处理是否及时有效</w:t>
            </w:r>
          </w:p>
        </w:tc>
        <w:tc>
          <w:tcPr>
            <w:tcW w:w="5083"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检测品质管理部门在质量事故处理方面的工作</w:t>
            </w:r>
          </w:p>
        </w:tc>
        <w:tc>
          <w:tcPr>
            <w:tcW w:w="2160"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4</w:t>
            </w:r>
          </w:p>
        </w:tc>
        <w:tc>
          <w:tcPr>
            <w:tcW w:w="2023"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产品抽检合格率</w:t>
            </w:r>
          </w:p>
        </w:tc>
        <w:tc>
          <w:tcPr>
            <w:tcW w:w="4110"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抽检合格产品总数/抽检产品总数</w:t>
            </w:r>
          </w:p>
        </w:tc>
        <w:tc>
          <w:tcPr>
            <w:tcW w:w="5083"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检测产品生产质量，由品质保障部组织</w:t>
            </w:r>
          </w:p>
        </w:tc>
        <w:tc>
          <w:tcPr>
            <w:tcW w:w="2160"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5</w:t>
            </w:r>
          </w:p>
        </w:tc>
        <w:tc>
          <w:tcPr>
            <w:tcW w:w="2023"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客户质量问题处理的及时性有效性</w:t>
            </w:r>
          </w:p>
        </w:tc>
        <w:tc>
          <w:tcPr>
            <w:tcW w:w="4110"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对于客户质量问题的投诉是否及时有效</w:t>
            </w:r>
          </w:p>
        </w:tc>
        <w:tc>
          <w:tcPr>
            <w:tcW w:w="5083"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检测综合管理部门对客户投诉的质量问题解决的及时性，准确性</w:t>
            </w:r>
          </w:p>
        </w:tc>
        <w:tc>
          <w:tcPr>
            <w:tcW w:w="2160"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6</w:t>
            </w:r>
          </w:p>
        </w:tc>
        <w:tc>
          <w:tcPr>
            <w:tcW w:w="2023"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质量体系评审不符合项数</w:t>
            </w:r>
          </w:p>
        </w:tc>
        <w:tc>
          <w:tcPr>
            <w:tcW w:w="4110"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年度质量体系评审发生的不符合项数</w:t>
            </w:r>
          </w:p>
        </w:tc>
        <w:tc>
          <w:tcPr>
            <w:tcW w:w="5083"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检测公司质量体系管理的完整性、准确性</w:t>
            </w:r>
          </w:p>
        </w:tc>
        <w:tc>
          <w:tcPr>
            <w:tcW w:w="2160"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7</w:t>
            </w:r>
          </w:p>
        </w:tc>
        <w:tc>
          <w:tcPr>
            <w:tcW w:w="2023"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质量检验的差错率</w:t>
            </w:r>
          </w:p>
        </w:tc>
        <w:tc>
          <w:tcPr>
            <w:tcW w:w="4110"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产品检验差错数/检验产品总数</w:t>
            </w:r>
          </w:p>
        </w:tc>
        <w:tc>
          <w:tcPr>
            <w:tcW w:w="5083"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检测产品检验人员的检验准确性和水平</w:t>
            </w:r>
          </w:p>
        </w:tc>
        <w:tc>
          <w:tcPr>
            <w:tcW w:w="2160"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8</w:t>
            </w:r>
          </w:p>
        </w:tc>
        <w:tc>
          <w:tcPr>
            <w:tcW w:w="2023"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供方质量检验资料的保管情况</w:t>
            </w:r>
          </w:p>
        </w:tc>
        <w:tc>
          <w:tcPr>
            <w:tcW w:w="4110"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供方质量检验资料是否完整、准确</w:t>
            </w:r>
          </w:p>
        </w:tc>
        <w:tc>
          <w:tcPr>
            <w:tcW w:w="5083"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检测质量检验人员日常工作的情况</w:t>
            </w:r>
          </w:p>
        </w:tc>
        <w:tc>
          <w:tcPr>
            <w:tcW w:w="2160"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9</w:t>
            </w:r>
          </w:p>
        </w:tc>
        <w:tc>
          <w:tcPr>
            <w:tcW w:w="2023"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技改项目的完成率</w:t>
            </w:r>
          </w:p>
        </w:tc>
        <w:tc>
          <w:tcPr>
            <w:tcW w:w="4110"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技改项目完成数/技改项目计划数</w:t>
            </w:r>
          </w:p>
        </w:tc>
        <w:tc>
          <w:tcPr>
            <w:tcW w:w="5083"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检测公司技改项目的完成情况</w:t>
            </w:r>
          </w:p>
        </w:tc>
        <w:tc>
          <w:tcPr>
            <w:tcW w:w="2160" w:type="dxa"/>
            <w:noWrap w:val="0"/>
            <w:vAlign w:val="top"/>
          </w:tcPr>
          <w:p>
            <w:pPr>
              <w:spacing w:line="360" w:lineRule="auto"/>
              <w:jc w:val="center"/>
              <w:rPr>
                <w:rFonts w:hint="eastAsia" w:ascii="楷体" w:hAnsi="楷体" w:eastAsia="楷体"/>
                <w:color w:val="000000"/>
                <w:sz w:val="24"/>
              </w:rPr>
            </w:pPr>
          </w:p>
        </w:tc>
      </w:tr>
    </w:tbl>
    <w:p>
      <w:pPr>
        <w:tabs>
          <w:tab w:val="center" w:pos="6945"/>
          <w:tab w:val="left" w:pos="10605"/>
        </w:tabs>
        <w:spacing w:line="360" w:lineRule="auto"/>
        <w:jc w:val="left"/>
        <w:rPr>
          <w:rFonts w:ascii="楷体" w:hAnsi="楷体" w:eastAsia="楷体"/>
          <w:color w:val="000000"/>
          <w:sz w:val="24"/>
          <w:szCs w:val="28"/>
        </w:rPr>
      </w:pPr>
      <w:r>
        <w:rPr>
          <w:rFonts w:ascii="楷体" w:hAnsi="楷体" w:eastAsia="楷体"/>
          <w:color w:val="000000"/>
          <w:sz w:val="24"/>
          <w:szCs w:val="28"/>
        </w:rPr>
        <w:tab/>
      </w:r>
    </w:p>
    <w:p>
      <w:pPr>
        <w:tabs>
          <w:tab w:val="center" w:pos="6945"/>
          <w:tab w:val="left" w:pos="10605"/>
        </w:tabs>
        <w:spacing w:line="360" w:lineRule="auto"/>
        <w:jc w:val="center"/>
        <w:rPr>
          <w:rFonts w:hint="eastAsia" w:ascii="楷体" w:hAnsi="楷体" w:eastAsia="楷体"/>
          <w:color w:val="000000"/>
          <w:sz w:val="24"/>
          <w:szCs w:val="28"/>
        </w:rPr>
      </w:pPr>
      <w:r>
        <w:rPr>
          <w:rFonts w:ascii="楷体" w:hAnsi="楷体" w:eastAsia="楷体"/>
          <w:color w:val="000000"/>
          <w:sz w:val="24"/>
          <w:szCs w:val="28"/>
        </w:rPr>
        <w:br w:type="page"/>
      </w:r>
      <w:r>
        <w:rPr>
          <w:rFonts w:hint="eastAsia" w:ascii="楷体" w:hAnsi="楷体" w:eastAsia="楷体"/>
          <w:color w:val="000000"/>
          <w:sz w:val="24"/>
          <w:szCs w:val="28"/>
        </w:rPr>
        <w:t>人力资源指标</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905"/>
        <w:gridCol w:w="3969"/>
        <w:gridCol w:w="5106"/>
        <w:gridCol w:w="2160"/>
      </w:tblGrid>
      <w:tr>
        <w:trPr>
          <w:jc w:val="center"/>
        </w:trPr>
        <w:tc>
          <w:tcPr>
            <w:tcW w:w="828" w:type="dxa"/>
            <w:noWrap w:val="0"/>
            <w:vAlign w:val="top"/>
          </w:tcPr>
          <w:p>
            <w:pPr>
              <w:spacing w:line="360" w:lineRule="auto"/>
              <w:jc w:val="center"/>
              <w:rPr>
                <w:rFonts w:hint="eastAsia" w:ascii="楷体" w:hAnsi="楷体" w:eastAsia="楷体"/>
                <w:color w:val="000000"/>
                <w:sz w:val="24"/>
                <w:szCs w:val="28"/>
              </w:rPr>
            </w:pPr>
            <w:r>
              <w:rPr>
                <w:rFonts w:hint="eastAsia" w:ascii="楷体" w:hAnsi="楷体" w:eastAsia="楷体"/>
                <w:color w:val="000000"/>
                <w:sz w:val="24"/>
                <w:szCs w:val="28"/>
              </w:rPr>
              <w:t>序号</w:t>
            </w:r>
          </w:p>
        </w:tc>
        <w:tc>
          <w:tcPr>
            <w:tcW w:w="1905" w:type="dxa"/>
            <w:noWrap w:val="0"/>
            <w:vAlign w:val="top"/>
          </w:tcPr>
          <w:p>
            <w:pPr>
              <w:spacing w:line="360" w:lineRule="auto"/>
              <w:jc w:val="center"/>
              <w:rPr>
                <w:rFonts w:hint="eastAsia" w:ascii="楷体" w:hAnsi="楷体" w:eastAsia="楷体"/>
                <w:color w:val="000000"/>
                <w:sz w:val="24"/>
                <w:szCs w:val="28"/>
              </w:rPr>
            </w:pPr>
            <w:r>
              <w:rPr>
                <w:rFonts w:hint="eastAsia" w:ascii="楷体" w:hAnsi="楷体" w:eastAsia="楷体"/>
                <w:color w:val="000000"/>
                <w:sz w:val="24"/>
                <w:szCs w:val="28"/>
              </w:rPr>
              <w:t>指标</w:t>
            </w:r>
          </w:p>
        </w:tc>
        <w:tc>
          <w:tcPr>
            <w:tcW w:w="3969" w:type="dxa"/>
            <w:noWrap w:val="0"/>
            <w:vAlign w:val="top"/>
          </w:tcPr>
          <w:p>
            <w:pPr>
              <w:spacing w:line="360" w:lineRule="auto"/>
              <w:jc w:val="center"/>
              <w:rPr>
                <w:rFonts w:hint="eastAsia" w:ascii="楷体" w:hAnsi="楷体" w:eastAsia="楷体"/>
                <w:color w:val="000000"/>
                <w:sz w:val="24"/>
                <w:szCs w:val="28"/>
              </w:rPr>
            </w:pPr>
            <w:r>
              <w:rPr>
                <w:rFonts w:hint="eastAsia" w:ascii="楷体" w:hAnsi="楷体" w:eastAsia="楷体"/>
                <w:color w:val="000000"/>
                <w:sz w:val="24"/>
                <w:szCs w:val="28"/>
              </w:rPr>
              <w:t>指标定义</w:t>
            </w:r>
          </w:p>
        </w:tc>
        <w:tc>
          <w:tcPr>
            <w:tcW w:w="5106" w:type="dxa"/>
            <w:noWrap w:val="0"/>
            <w:vAlign w:val="top"/>
          </w:tcPr>
          <w:p>
            <w:pPr>
              <w:spacing w:line="360" w:lineRule="auto"/>
              <w:jc w:val="center"/>
              <w:rPr>
                <w:rFonts w:hint="eastAsia" w:ascii="楷体" w:hAnsi="楷体" w:eastAsia="楷体"/>
                <w:color w:val="000000"/>
                <w:sz w:val="24"/>
                <w:szCs w:val="28"/>
              </w:rPr>
            </w:pPr>
            <w:r>
              <w:rPr>
                <w:rFonts w:hint="eastAsia" w:ascii="楷体" w:hAnsi="楷体" w:eastAsia="楷体"/>
                <w:color w:val="000000"/>
                <w:sz w:val="24"/>
                <w:szCs w:val="28"/>
              </w:rPr>
              <w:t>功能</w:t>
            </w:r>
          </w:p>
        </w:tc>
        <w:tc>
          <w:tcPr>
            <w:tcW w:w="2160" w:type="dxa"/>
            <w:noWrap w:val="0"/>
            <w:vAlign w:val="top"/>
          </w:tcPr>
          <w:p>
            <w:pPr>
              <w:spacing w:line="360" w:lineRule="auto"/>
              <w:jc w:val="center"/>
              <w:rPr>
                <w:rFonts w:hint="eastAsia" w:ascii="楷体" w:hAnsi="楷体" w:eastAsia="楷体"/>
                <w:color w:val="000000"/>
                <w:sz w:val="24"/>
                <w:szCs w:val="28"/>
              </w:rPr>
            </w:pPr>
            <w:r>
              <w:rPr>
                <w:rFonts w:hint="eastAsia" w:ascii="楷体" w:hAnsi="楷体" w:eastAsia="楷体"/>
                <w:color w:val="000000"/>
                <w:sz w:val="24"/>
                <w:szCs w:val="28"/>
              </w:rPr>
              <w:t>考核依据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1</w:t>
            </w:r>
          </w:p>
        </w:tc>
        <w:tc>
          <w:tcPr>
            <w:tcW w:w="1905"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员工增加率</w:t>
            </w:r>
          </w:p>
        </w:tc>
        <w:tc>
          <w:tcPr>
            <w:tcW w:w="3969"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（本期员工数—上期员工数）/上期员工数</w:t>
            </w:r>
          </w:p>
        </w:tc>
        <w:tc>
          <w:tcPr>
            <w:tcW w:w="5106"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检测周期内员工增加比例</w:t>
            </w:r>
          </w:p>
        </w:tc>
        <w:tc>
          <w:tcPr>
            <w:tcW w:w="2160"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2</w:t>
            </w:r>
          </w:p>
        </w:tc>
        <w:tc>
          <w:tcPr>
            <w:tcW w:w="1905"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员工结构比例</w:t>
            </w:r>
          </w:p>
        </w:tc>
        <w:tc>
          <w:tcPr>
            <w:tcW w:w="3969"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各层次员工的比例分配状况</w:t>
            </w:r>
          </w:p>
        </w:tc>
        <w:tc>
          <w:tcPr>
            <w:tcW w:w="5106"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检测人力资源结构的合理性</w:t>
            </w:r>
          </w:p>
        </w:tc>
        <w:tc>
          <w:tcPr>
            <w:tcW w:w="2160"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3</w:t>
            </w:r>
          </w:p>
        </w:tc>
        <w:tc>
          <w:tcPr>
            <w:tcW w:w="1905"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关键人才流失率</w:t>
            </w:r>
          </w:p>
        </w:tc>
        <w:tc>
          <w:tcPr>
            <w:tcW w:w="3969"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一定周期内流失的关键人才数/公司关键人才总数</w:t>
            </w:r>
          </w:p>
        </w:tc>
        <w:tc>
          <w:tcPr>
            <w:tcW w:w="5106"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检测公司关键人才的流失情况</w:t>
            </w:r>
          </w:p>
        </w:tc>
        <w:tc>
          <w:tcPr>
            <w:tcW w:w="2160"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4</w:t>
            </w:r>
          </w:p>
        </w:tc>
        <w:tc>
          <w:tcPr>
            <w:tcW w:w="1905"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工资增加率</w:t>
            </w:r>
          </w:p>
        </w:tc>
        <w:tc>
          <w:tcPr>
            <w:tcW w:w="3969"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（本期员工平均工资—上期员工平均工资）/上期员工平均工资</w:t>
            </w:r>
          </w:p>
        </w:tc>
        <w:tc>
          <w:tcPr>
            <w:tcW w:w="5106"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检测工资增加情况</w:t>
            </w:r>
          </w:p>
        </w:tc>
        <w:tc>
          <w:tcPr>
            <w:tcW w:w="2160"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5</w:t>
            </w:r>
          </w:p>
        </w:tc>
        <w:tc>
          <w:tcPr>
            <w:tcW w:w="1905"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人力资源培训完成率</w:t>
            </w:r>
          </w:p>
        </w:tc>
        <w:tc>
          <w:tcPr>
            <w:tcW w:w="3969"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周期内人力资源培训次数/计划总次数</w:t>
            </w:r>
          </w:p>
        </w:tc>
        <w:tc>
          <w:tcPr>
            <w:tcW w:w="5106"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检测人力资源部门培训计划的执行情况</w:t>
            </w:r>
          </w:p>
        </w:tc>
        <w:tc>
          <w:tcPr>
            <w:tcW w:w="2160"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6</w:t>
            </w:r>
          </w:p>
        </w:tc>
        <w:tc>
          <w:tcPr>
            <w:tcW w:w="1905"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部门员工出勤情况</w:t>
            </w:r>
          </w:p>
        </w:tc>
        <w:tc>
          <w:tcPr>
            <w:tcW w:w="3969"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部门员工出勤人数/部门员工总数</w:t>
            </w:r>
          </w:p>
        </w:tc>
        <w:tc>
          <w:tcPr>
            <w:tcW w:w="5106"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检测部门员工的出勤情况</w:t>
            </w:r>
          </w:p>
        </w:tc>
        <w:tc>
          <w:tcPr>
            <w:tcW w:w="2160"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7</w:t>
            </w:r>
          </w:p>
        </w:tc>
        <w:tc>
          <w:tcPr>
            <w:tcW w:w="1905"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薪酬总量控制的有效性</w:t>
            </w:r>
          </w:p>
        </w:tc>
        <w:tc>
          <w:tcPr>
            <w:tcW w:w="3969"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一定周期内实际发放的薪酬总额/计划预算总额</w:t>
            </w:r>
          </w:p>
        </w:tc>
        <w:tc>
          <w:tcPr>
            <w:tcW w:w="5106"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检测人力资源部门在薪酬总额控制方面的有效性</w:t>
            </w:r>
          </w:p>
        </w:tc>
        <w:tc>
          <w:tcPr>
            <w:tcW w:w="2160"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8</w:t>
            </w:r>
          </w:p>
        </w:tc>
        <w:tc>
          <w:tcPr>
            <w:tcW w:w="1905"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人才引进完成率</w:t>
            </w:r>
          </w:p>
        </w:tc>
        <w:tc>
          <w:tcPr>
            <w:tcW w:w="3969"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一定周期实际引进人才总数/计划引进人才总数</w:t>
            </w:r>
          </w:p>
        </w:tc>
        <w:tc>
          <w:tcPr>
            <w:tcW w:w="5106"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检测人力资源部门的招聘计划完成情况</w:t>
            </w:r>
          </w:p>
        </w:tc>
        <w:tc>
          <w:tcPr>
            <w:tcW w:w="2160"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9</w:t>
            </w:r>
          </w:p>
        </w:tc>
        <w:tc>
          <w:tcPr>
            <w:tcW w:w="1905"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考核工作完成的及时性准确性</w:t>
            </w:r>
          </w:p>
        </w:tc>
        <w:tc>
          <w:tcPr>
            <w:tcW w:w="3969"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公司绩效考核完成的是否及时、准确</w:t>
            </w:r>
          </w:p>
        </w:tc>
        <w:tc>
          <w:tcPr>
            <w:tcW w:w="5106"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检测人力资源相关部门在绩效考核方面的有效性</w:t>
            </w:r>
          </w:p>
        </w:tc>
        <w:tc>
          <w:tcPr>
            <w:tcW w:w="2160"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10</w:t>
            </w:r>
          </w:p>
        </w:tc>
        <w:tc>
          <w:tcPr>
            <w:tcW w:w="1905" w:type="dxa"/>
            <w:noWrap w:val="0"/>
            <w:vAlign w:val="top"/>
          </w:tcPr>
          <w:p>
            <w:pPr>
              <w:spacing w:line="360" w:lineRule="auto"/>
              <w:jc w:val="center"/>
              <w:rPr>
                <w:rFonts w:hint="eastAsia" w:ascii="楷体" w:hAnsi="楷体" w:eastAsia="楷体"/>
                <w:color w:val="000000"/>
                <w:sz w:val="24"/>
              </w:rPr>
            </w:pPr>
          </w:p>
        </w:tc>
        <w:tc>
          <w:tcPr>
            <w:tcW w:w="3969" w:type="dxa"/>
            <w:noWrap w:val="0"/>
            <w:vAlign w:val="top"/>
          </w:tcPr>
          <w:p>
            <w:pPr>
              <w:spacing w:line="360" w:lineRule="auto"/>
              <w:jc w:val="center"/>
              <w:rPr>
                <w:rFonts w:hint="eastAsia" w:ascii="楷体" w:hAnsi="楷体" w:eastAsia="楷体"/>
                <w:color w:val="000000"/>
                <w:sz w:val="24"/>
              </w:rPr>
            </w:pPr>
          </w:p>
        </w:tc>
        <w:tc>
          <w:tcPr>
            <w:tcW w:w="5106" w:type="dxa"/>
            <w:noWrap w:val="0"/>
            <w:vAlign w:val="top"/>
          </w:tcPr>
          <w:p>
            <w:pPr>
              <w:spacing w:line="360" w:lineRule="auto"/>
              <w:jc w:val="center"/>
              <w:rPr>
                <w:rFonts w:hint="eastAsia" w:ascii="楷体" w:hAnsi="楷体" w:eastAsia="楷体"/>
                <w:color w:val="000000"/>
                <w:sz w:val="24"/>
              </w:rPr>
            </w:pPr>
          </w:p>
        </w:tc>
        <w:tc>
          <w:tcPr>
            <w:tcW w:w="2160" w:type="dxa"/>
            <w:noWrap w:val="0"/>
            <w:vAlign w:val="top"/>
          </w:tcPr>
          <w:p>
            <w:pPr>
              <w:spacing w:line="360" w:lineRule="auto"/>
              <w:jc w:val="center"/>
              <w:rPr>
                <w:rFonts w:hint="eastAsia" w:ascii="楷体" w:hAnsi="楷体" w:eastAsia="楷体"/>
                <w:color w:val="000000"/>
                <w:sz w:val="24"/>
              </w:rPr>
            </w:pPr>
          </w:p>
        </w:tc>
      </w:tr>
    </w:tbl>
    <w:p>
      <w:pPr>
        <w:spacing w:line="360" w:lineRule="auto"/>
        <w:jc w:val="center"/>
        <w:rPr>
          <w:rFonts w:ascii="楷体" w:hAnsi="楷体" w:eastAsia="楷体"/>
          <w:color w:val="000000"/>
          <w:sz w:val="24"/>
          <w:szCs w:val="28"/>
        </w:rPr>
      </w:pPr>
    </w:p>
    <w:p>
      <w:pPr>
        <w:spacing w:line="360" w:lineRule="auto"/>
        <w:jc w:val="center"/>
        <w:rPr>
          <w:rFonts w:hint="eastAsia" w:ascii="楷体" w:hAnsi="楷体" w:eastAsia="楷体"/>
          <w:color w:val="000000"/>
          <w:sz w:val="24"/>
          <w:szCs w:val="28"/>
        </w:rPr>
      </w:pPr>
      <w:r>
        <w:rPr>
          <w:rFonts w:ascii="楷体" w:hAnsi="楷体" w:eastAsia="楷体"/>
          <w:color w:val="000000"/>
          <w:sz w:val="24"/>
          <w:szCs w:val="28"/>
        </w:rPr>
        <w:br w:type="page"/>
      </w:r>
      <w:r>
        <w:rPr>
          <w:rFonts w:hint="eastAsia" w:ascii="楷体" w:hAnsi="楷体" w:eastAsia="楷体"/>
          <w:color w:val="000000"/>
          <w:sz w:val="24"/>
          <w:szCs w:val="28"/>
        </w:rPr>
        <w:t>采购供应指标</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620"/>
        <w:gridCol w:w="3233"/>
        <w:gridCol w:w="6127"/>
        <w:gridCol w:w="2160"/>
      </w:tblGrid>
      <w:tr>
        <w:trPr>
          <w:jc w:val="center"/>
        </w:trPr>
        <w:tc>
          <w:tcPr>
            <w:tcW w:w="828" w:type="dxa"/>
            <w:noWrap w:val="0"/>
            <w:vAlign w:val="top"/>
          </w:tcPr>
          <w:p>
            <w:pPr>
              <w:spacing w:line="360" w:lineRule="auto"/>
              <w:jc w:val="center"/>
              <w:rPr>
                <w:rFonts w:hint="eastAsia" w:ascii="楷体" w:hAnsi="楷体" w:eastAsia="楷体"/>
                <w:color w:val="000000"/>
                <w:sz w:val="24"/>
                <w:szCs w:val="28"/>
              </w:rPr>
            </w:pPr>
            <w:r>
              <w:rPr>
                <w:rFonts w:hint="eastAsia" w:ascii="楷体" w:hAnsi="楷体" w:eastAsia="楷体"/>
                <w:color w:val="000000"/>
                <w:sz w:val="24"/>
                <w:szCs w:val="28"/>
              </w:rPr>
              <w:t>序号</w:t>
            </w:r>
          </w:p>
        </w:tc>
        <w:tc>
          <w:tcPr>
            <w:tcW w:w="1620" w:type="dxa"/>
            <w:noWrap w:val="0"/>
            <w:vAlign w:val="top"/>
          </w:tcPr>
          <w:p>
            <w:pPr>
              <w:spacing w:line="360" w:lineRule="auto"/>
              <w:jc w:val="center"/>
              <w:rPr>
                <w:rFonts w:hint="eastAsia" w:ascii="楷体" w:hAnsi="楷体" w:eastAsia="楷体"/>
                <w:color w:val="000000"/>
                <w:sz w:val="24"/>
                <w:szCs w:val="28"/>
              </w:rPr>
            </w:pPr>
            <w:r>
              <w:rPr>
                <w:rFonts w:hint="eastAsia" w:ascii="楷体" w:hAnsi="楷体" w:eastAsia="楷体"/>
                <w:color w:val="000000"/>
                <w:sz w:val="24"/>
                <w:szCs w:val="28"/>
              </w:rPr>
              <w:t>指标</w:t>
            </w:r>
          </w:p>
        </w:tc>
        <w:tc>
          <w:tcPr>
            <w:tcW w:w="3233" w:type="dxa"/>
            <w:noWrap w:val="0"/>
            <w:vAlign w:val="top"/>
          </w:tcPr>
          <w:p>
            <w:pPr>
              <w:spacing w:line="360" w:lineRule="auto"/>
              <w:jc w:val="center"/>
              <w:rPr>
                <w:rFonts w:hint="eastAsia" w:ascii="楷体" w:hAnsi="楷体" w:eastAsia="楷体"/>
                <w:color w:val="000000"/>
                <w:sz w:val="24"/>
                <w:szCs w:val="28"/>
              </w:rPr>
            </w:pPr>
            <w:r>
              <w:rPr>
                <w:rFonts w:hint="eastAsia" w:ascii="楷体" w:hAnsi="楷体" w:eastAsia="楷体"/>
                <w:color w:val="000000"/>
                <w:sz w:val="24"/>
                <w:szCs w:val="28"/>
              </w:rPr>
              <w:t>指标定义</w:t>
            </w:r>
          </w:p>
        </w:tc>
        <w:tc>
          <w:tcPr>
            <w:tcW w:w="6127" w:type="dxa"/>
            <w:noWrap w:val="0"/>
            <w:vAlign w:val="top"/>
          </w:tcPr>
          <w:p>
            <w:pPr>
              <w:spacing w:line="360" w:lineRule="auto"/>
              <w:jc w:val="center"/>
              <w:rPr>
                <w:rFonts w:hint="eastAsia" w:ascii="楷体" w:hAnsi="楷体" w:eastAsia="楷体"/>
                <w:color w:val="000000"/>
                <w:sz w:val="24"/>
                <w:szCs w:val="28"/>
              </w:rPr>
            </w:pPr>
            <w:r>
              <w:rPr>
                <w:rFonts w:hint="eastAsia" w:ascii="楷体" w:hAnsi="楷体" w:eastAsia="楷体"/>
                <w:color w:val="000000"/>
                <w:sz w:val="24"/>
                <w:szCs w:val="28"/>
              </w:rPr>
              <w:t>功能</w:t>
            </w:r>
          </w:p>
        </w:tc>
        <w:tc>
          <w:tcPr>
            <w:tcW w:w="2160" w:type="dxa"/>
            <w:noWrap w:val="0"/>
            <w:vAlign w:val="top"/>
          </w:tcPr>
          <w:p>
            <w:pPr>
              <w:spacing w:line="360" w:lineRule="auto"/>
              <w:jc w:val="center"/>
              <w:rPr>
                <w:rFonts w:hint="eastAsia" w:ascii="楷体" w:hAnsi="楷体" w:eastAsia="楷体"/>
                <w:color w:val="000000"/>
                <w:sz w:val="24"/>
                <w:szCs w:val="28"/>
              </w:rPr>
            </w:pPr>
            <w:r>
              <w:rPr>
                <w:rFonts w:hint="eastAsia" w:ascii="楷体" w:hAnsi="楷体" w:eastAsia="楷体"/>
                <w:color w:val="000000"/>
                <w:sz w:val="24"/>
                <w:szCs w:val="28"/>
              </w:rPr>
              <w:t>考核依据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1</w:t>
            </w:r>
          </w:p>
        </w:tc>
        <w:tc>
          <w:tcPr>
            <w:tcW w:w="1620"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采购计划完成率</w:t>
            </w:r>
          </w:p>
        </w:tc>
        <w:tc>
          <w:tcPr>
            <w:tcW w:w="3233"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当期采购实际完成数/当期物料需求计划</w:t>
            </w:r>
          </w:p>
        </w:tc>
        <w:tc>
          <w:tcPr>
            <w:tcW w:w="6127"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检测采购部门采购计划的完成情况</w:t>
            </w:r>
          </w:p>
        </w:tc>
        <w:tc>
          <w:tcPr>
            <w:tcW w:w="2160"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2</w:t>
            </w:r>
          </w:p>
        </w:tc>
        <w:tc>
          <w:tcPr>
            <w:tcW w:w="1620"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采购成本降低率</w:t>
            </w:r>
          </w:p>
        </w:tc>
        <w:tc>
          <w:tcPr>
            <w:tcW w:w="3233"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（上期采购成本—本期采购成本）/上期采购成本</w:t>
            </w:r>
          </w:p>
        </w:tc>
        <w:tc>
          <w:tcPr>
            <w:tcW w:w="6127"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检测采购部门降低采购成本的效果</w:t>
            </w:r>
          </w:p>
        </w:tc>
        <w:tc>
          <w:tcPr>
            <w:tcW w:w="2160"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3</w:t>
            </w:r>
          </w:p>
        </w:tc>
        <w:tc>
          <w:tcPr>
            <w:tcW w:w="1620"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供应商一次交检合格率</w:t>
            </w:r>
          </w:p>
        </w:tc>
        <w:tc>
          <w:tcPr>
            <w:tcW w:w="3233"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供应商一次交货合格的次数/该月所有供应商交货次数</w:t>
            </w:r>
          </w:p>
        </w:tc>
        <w:tc>
          <w:tcPr>
            <w:tcW w:w="6127"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检测采购供应部门对采购进程、采购质量控制的情况</w:t>
            </w:r>
          </w:p>
        </w:tc>
        <w:tc>
          <w:tcPr>
            <w:tcW w:w="2160"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4</w:t>
            </w:r>
          </w:p>
        </w:tc>
        <w:tc>
          <w:tcPr>
            <w:tcW w:w="1620"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供应商信息管理</w:t>
            </w:r>
          </w:p>
        </w:tc>
        <w:tc>
          <w:tcPr>
            <w:tcW w:w="3233"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供应商、外协商信息的完整性、准确性</w:t>
            </w:r>
          </w:p>
        </w:tc>
        <w:tc>
          <w:tcPr>
            <w:tcW w:w="6127"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检测采购供应部门是否及时录入供应商和外协商信息，以及是否及时更改</w:t>
            </w:r>
          </w:p>
        </w:tc>
        <w:tc>
          <w:tcPr>
            <w:tcW w:w="2160"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5</w:t>
            </w:r>
          </w:p>
        </w:tc>
        <w:tc>
          <w:tcPr>
            <w:tcW w:w="1620"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采购积压物资处理的及时性</w:t>
            </w:r>
          </w:p>
        </w:tc>
        <w:tc>
          <w:tcPr>
            <w:tcW w:w="3233"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是否及时有效地处理了仓库积压物资</w:t>
            </w:r>
          </w:p>
        </w:tc>
        <w:tc>
          <w:tcPr>
            <w:tcW w:w="6127"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检测采购供应部门对库存积压物资处理的及时性</w:t>
            </w:r>
          </w:p>
        </w:tc>
        <w:tc>
          <w:tcPr>
            <w:tcW w:w="2160"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6</w:t>
            </w:r>
          </w:p>
        </w:tc>
        <w:tc>
          <w:tcPr>
            <w:tcW w:w="1620"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采购资金使用情况</w:t>
            </w:r>
          </w:p>
        </w:tc>
        <w:tc>
          <w:tcPr>
            <w:tcW w:w="3233"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一定周期内采购资金付款数/采购物资的总额</w:t>
            </w:r>
          </w:p>
        </w:tc>
        <w:tc>
          <w:tcPr>
            <w:tcW w:w="6127"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检测采购供应部门的采购资金使用情况</w:t>
            </w:r>
          </w:p>
        </w:tc>
        <w:tc>
          <w:tcPr>
            <w:tcW w:w="2160"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7</w:t>
            </w:r>
          </w:p>
        </w:tc>
        <w:tc>
          <w:tcPr>
            <w:tcW w:w="1620" w:type="dxa"/>
            <w:noWrap w:val="0"/>
            <w:vAlign w:val="top"/>
          </w:tcPr>
          <w:p>
            <w:pPr>
              <w:spacing w:line="360" w:lineRule="auto"/>
              <w:jc w:val="center"/>
              <w:rPr>
                <w:rFonts w:hint="eastAsia" w:ascii="楷体" w:hAnsi="楷体" w:eastAsia="楷体"/>
                <w:color w:val="000000"/>
                <w:sz w:val="24"/>
              </w:rPr>
            </w:pPr>
          </w:p>
        </w:tc>
        <w:tc>
          <w:tcPr>
            <w:tcW w:w="3233" w:type="dxa"/>
            <w:noWrap w:val="0"/>
            <w:vAlign w:val="top"/>
          </w:tcPr>
          <w:p>
            <w:pPr>
              <w:spacing w:line="360" w:lineRule="auto"/>
              <w:jc w:val="center"/>
              <w:rPr>
                <w:rFonts w:hint="eastAsia" w:ascii="楷体" w:hAnsi="楷体" w:eastAsia="楷体"/>
                <w:color w:val="000000"/>
                <w:sz w:val="24"/>
              </w:rPr>
            </w:pPr>
          </w:p>
        </w:tc>
        <w:tc>
          <w:tcPr>
            <w:tcW w:w="6127" w:type="dxa"/>
            <w:noWrap w:val="0"/>
            <w:vAlign w:val="top"/>
          </w:tcPr>
          <w:p>
            <w:pPr>
              <w:spacing w:line="360" w:lineRule="auto"/>
              <w:jc w:val="center"/>
              <w:rPr>
                <w:rFonts w:hint="eastAsia" w:ascii="楷体" w:hAnsi="楷体" w:eastAsia="楷体"/>
                <w:color w:val="000000"/>
                <w:sz w:val="24"/>
              </w:rPr>
            </w:pPr>
          </w:p>
        </w:tc>
        <w:tc>
          <w:tcPr>
            <w:tcW w:w="2160"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8</w:t>
            </w:r>
          </w:p>
        </w:tc>
        <w:tc>
          <w:tcPr>
            <w:tcW w:w="1620" w:type="dxa"/>
            <w:noWrap w:val="0"/>
            <w:vAlign w:val="top"/>
          </w:tcPr>
          <w:p>
            <w:pPr>
              <w:spacing w:line="360" w:lineRule="auto"/>
              <w:jc w:val="center"/>
              <w:rPr>
                <w:rFonts w:hint="eastAsia" w:ascii="楷体" w:hAnsi="楷体" w:eastAsia="楷体"/>
                <w:color w:val="000000"/>
                <w:sz w:val="24"/>
              </w:rPr>
            </w:pPr>
          </w:p>
        </w:tc>
        <w:tc>
          <w:tcPr>
            <w:tcW w:w="3233" w:type="dxa"/>
            <w:noWrap w:val="0"/>
            <w:vAlign w:val="top"/>
          </w:tcPr>
          <w:p>
            <w:pPr>
              <w:spacing w:line="360" w:lineRule="auto"/>
              <w:jc w:val="center"/>
              <w:rPr>
                <w:rFonts w:hint="eastAsia" w:ascii="楷体" w:hAnsi="楷体" w:eastAsia="楷体"/>
                <w:color w:val="000000"/>
                <w:sz w:val="24"/>
              </w:rPr>
            </w:pPr>
          </w:p>
        </w:tc>
        <w:tc>
          <w:tcPr>
            <w:tcW w:w="6127" w:type="dxa"/>
            <w:noWrap w:val="0"/>
            <w:vAlign w:val="top"/>
          </w:tcPr>
          <w:p>
            <w:pPr>
              <w:spacing w:line="360" w:lineRule="auto"/>
              <w:jc w:val="center"/>
              <w:rPr>
                <w:rFonts w:hint="eastAsia" w:ascii="楷体" w:hAnsi="楷体" w:eastAsia="楷体"/>
                <w:color w:val="000000"/>
                <w:sz w:val="24"/>
              </w:rPr>
            </w:pPr>
          </w:p>
        </w:tc>
        <w:tc>
          <w:tcPr>
            <w:tcW w:w="2160" w:type="dxa"/>
            <w:noWrap w:val="0"/>
            <w:vAlign w:val="top"/>
          </w:tcPr>
          <w:p>
            <w:pPr>
              <w:spacing w:line="360" w:lineRule="auto"/>
              <w:jc w:val="center"/>
              <w:rPr>
                <w:rFonts w:hint="eastAsia" w:ascii="楷体" w:hAnsi="楷体" w:eastAsia="楷体"/>
                <w:color w:val="000000"/>
                <w:sz w:val="24"/>
              </w:rPr>
            </w:pPr>
          </w:p>
        </w:tc>
      </w:tr>
    </w:tbl>
    <w:p>
      <w:pPr>
        <w:spacing w:line="360" w:lineRule="auto"/>
        <w:jc w:val="center"/>
        <w:rPr>
          <w:rFonts w:hint="eastAsia" w:ascii="楷体" w:hAnsi="楷体" w:eastAsia="楷体"/>
          <w:color w:val="000000"/>
          <w:sz w:val="24"/>
          <w:szCs w:val="28"/>
        </w:rPr>
      </w:pPr>
      <w:r>
        <w:rPr>
          <w:rFonts w:hint="eastAsia" w:ascii="楷体" w:hAnsi="楷体" w:eastAsia="楷体"/>
          <w:color w:val="000000"/>
          <w:sz w:val="24"/>
          <w:szCs w:val="28"/>
        </w:rPr>
        <w:br w:type="page"/>
      </w:r>
      <w:r>
        <w:rPr>
          <w:rFonts w:hint="eastAsia" w:ascii="楷体" w:hAnsi="楷体" w:eastAsia="楷体"/>
          <w:color w:val="000000"/>
          <w:sz w:val="24"/>
          <w:szCs w:val="28"/>
        </w:rPr>
        <w:t xml:space="preserve">  产品技术设计指标</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897"/>
        <w:gridCol w:w="3827"/>
        <w:gridCol w:w="4256"/>
        <w:gridCol w:w="2160"/>
      </w:tblGrid>
      <w:tr>
        <w:trPr>
          <w:jc w:val="center"/>
        </w:trPr>
        <w:tc>
          <w:tcPr>
            <w:tcW w:w="828" w:type="dxa"/>
            <w:noWrap w:val="0"/>
            <w:vAlign w:val="top"/>
          </w:tcPr>
          <w:p>
            <w:pPr>
              <w:spacing w:line="360" w:lineRule="auto"/>
              <w:jc w:val="center"/>
              <w:rPr>
                <w:rFonts w:hint="eastAsia" w:ascii="楷体" w:hAnsi="楷体" w:eastAsia="楷体"/>
                <w:color w:val="000000"/>
                <w:sz w:val="24"/>
                <w:szCs w:val="28"/>
              </w:rPr>
            </w:pPr>
            <w:r>
              <w:rPr>
                <w:rFonts w:hint="eastAsia" w:ascii="楷体" w:hAnsi="楷体" w:eastAsia="楷体"/>
                <w:color w:val="000000"/>
                <w:sz w:val="24"/>
                <w:szCs w:val="28"/>
              </w:rPr>
              <w:t>序号</w:t>
            </w:r>
          </w:p>
        </w:tc>
        <w:tc>
          <w:tcPr>
            <w:tcW w:w="2897" w:type="dxa"/>
            <w:noWrap w:val="0"/>
            <w:vAlign w:val="top"/>
          </w:tcPr>
          <w:p>
            <w:pPr>
              <w:spacing w:line="360" w:lineRule="auto"/>
              <w:jc w:val="center"/>
              <w:rPr>
                <w:rFonts w:hint="eastAsia" w:ascii="楷体" w:hAnsi="楷体" w:eastAsia="楷体"/>
                <w:color w:val="000000"/>
                <w:sz w:val="24"/>
                <w:szCs w:val="28"/>
              </w:rPr>
            </w:pPr>
            <w:r>
              <w:rPr>
                <w:rFonts w:hint="eastAsia" w:ascii="楷体" w:hAnsi="楷体" w:eastAsia="楷体"/>
                <w:color w:val="000000"/>
                <w:sz w:val="24"/>
                <w:szCs w:val="28"/>
              </w:rPr>
              <w:t>指标</w:t>
            </w:r>
          </w:p>
        </w:tc>
        <w:tc>
          <w:tcPr>
            <w:tcW w:w="3827" w:type="dxa"/>
            <w:noWrap w:val="0"/>
            <w:vAlign w:val="top"/>
          </w:tcPr>
          <w:p>
            <w:pPr>
              <w:spacing w:line="360" w:lineRule="auto"/>
              <w:jc w:val="center"/>
              <w:rPr>
                <w:rFonts w:hint="eastAsia" w:ascii="楷体" w:hAnsi="楷体" w:eastAsia="楷体"/>
                <w:color w:val="000000"/>
                <w:sz w:val="24"/>
                <w:szCs w:val="28"/>
              </w:rPr>
            </w:pPr>
            <w:r>
              <w:rPr>
                <w:rFonts w:hint="eastAsia" w:ascii="楷体" w:hAnsi="楷体" w:eastAsia="楷体"/>
                <w:color w:val="000000"/>
                <w:sz w:val="24"/>
                <w:szCs w:val="28"/>
              </w:rPr>
              <w:t>指标定义</w:t>
            </w:r>
          </w:p>
        </w:tc>
        <w:tc>
          <w:tcPr>
            <w:tcW w:w="4256" w:type="dxa"/>
            <w:noWrap w:val="0"/>
            <w:vAlign w:val="top"/>
          </w:tcPr>
          <w:p>
            <w:pPr>
              <w:spacing w:line="360" w:lineRule="auto"/>
              <w:jc w:val="center"/>
              <w:rPr>
                <w:rFonts w:hint="eastAsia" w:ascii="楷体" w:hAnsi="楷体" w:eastAsia="楷体"/>
                <w:color w:val="000000"/>
                <w:sz w:val="24"/>
                <w:szCs w:val="28"/>
              </w:rPr>
            </w:pPr>
            <w:r>
              <w:rPr>
                <w:rFonts w:hint="eastAsia" w:ascii="楷体" w:hAnsi="楷体" w:eastAsia="楷体"/>
                <w:color w:val="000000"/>
                <w:sz w:val="24"/>
                <w:szCs w:val="28"/>
              </w:rPr>
              <w:t>功能</w:t>
            </w:r>
          </w:p>
        </w:tc>
        <w:tc>
          <w:tcPr>
            <w:tcW w:w="2160" w:type="dxa"/>
            <w:noWrap w:val="0"/>
            <w:vAlign w:val="top"/>
          </w:tcPr>
          <w:p>
            <w:pPr>
              <w:spacing w:line="360" w:lineRule="auto"/>
              <w:jc w:val="center"/>
              <w:rPr>
                <w:rFonts w:hint="eastAsia" w:ascii="楷体" w:hAnsi="楷体" w:eastAsia="楷体"/>
                <w:color w:val="000000"/>
                <w:sz w:val="24"/>
                <w:szCs w:val="28"/>
              </w:rPr>
            </w:pPr>
            <w:r>
              <w:rPr>
                <w:rFonts w:hint="eastAsia" w:ascii="楷体" w:hAnsi="楷体" w:eastAsia="楷体"/>
                <w:color w:val="000000"/>
                <w:sz w:val="24"/>
                <w:szCs w:val="28"/>
              </w:rPr>
              <w:t>考核依据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1</w:t>
            </w:r>
          </w:p>
        </w:tc>
        <w:tc>
          <w:tcPr>
            <w:tcW w:w="2897"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研发计划完成率</w:t>
            </w:r>
          </w:p>
        </w:tc>
        <w:tc>
          <w:tcPr>
            <w:tcW w:w="3827"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当期按计划完成的研发项目数占当期计划完成的研发项目数的比例</w:t>
            </w:r>
          </w:p>
        </w:tc>
        <w:tc>
          <w:tcPr>
            <w:tcW w:w="4256"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检测技术部门的研发计划完成情况</w:t>
            </w:r>
          </w:p>
        </w:tc>
        <w:tc>
          <w:tcPr>
            <w:tcW w:w="2160"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2</w:t>
            </w:r>
          </w:p>
        </w:tc>
        <w:tc>
          <w:tcPr>
            <w:tcW w:w="2897"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技术图档更改的及时性</w:t>
            </w:r>
          </w:p>
        </w:tc>
        <w:tc>
          <w:tcPr>
            <w:tcW w:w="3827"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是否及时将技术图档更改</w:t>
            </w:r>
          </w:p>
        </w:tc>
        <w:tc>
          <w:tcPr>
            <w:tcW w:w="4256"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检测技术中心技术图档更改的效果</w:t>
            </w:r>
          </w:p>
        </w:tc>
        <w:tc>
          <w:tcPr>
            <w:tcW w:w="2160"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3</w:t>
            </w:r>
          </w:p>
        </w:tc>
        <w:tc>
          <w:tcPr>
            <w:tcW w:w="2897"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技术出图的及时性准确性</w:t>
            </w:r>
          </w:p>
        </w:tc>
        <w:tc>
          <w:tcPr>
            <w:tcW w:w="3827"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是否按照生产进度及时准确的出图</w:t>
            </w:r>
          </w:p>
        </w:tc>
        <w:tc>
          <w:tcPr>
            <w:tcW w:w="4256"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检测技术部门的工作效果</w:t>
            </w:r>
          </w:p>
        </w:tc>
        <w:tc>
          <w:tcPr>
            <w:tcW w:w="2160"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4</w:t>
            </w:r>
          </w:p>
        </w:tc>
        <w:tc>
          <w:tcPr>
            <w:tcW w:w="2897"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标准化审查的差错率</w:t>
            </w:r>
          </w:p>
        </w:tc>
        <w:tc>
          <w:tcPr>
            <w:tcW w:w="3827"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标准化审查差错次数/标准化审查总次数</w:t>
            </w:r>
          </w:p>
        </w:tc>
        <w:tc>
          <w:tcPr>
            <w:tcW w:w="4256"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检测标准化人员的工作效果</w:t>
            </w:r>
          </w:p>
        </w:tc>
        <w:tc>
          <w:tcPr>
            <w:tcW w:w="2160"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5</w:t>
            </w:r>
          </w:p>
        </w:tc>
        <w:tc>
          <w:tcPr>
            <w:tcW w:w="2897" w:type="dxa"/>
            <w:noWrap w:val="0"/>
            <w:vAlign w:val="top"/>
          </w:tcPr>
          <w:p>
            <w:pPr>
              <w:spacing w:line="360" w:lineRule="auto"/>
              <w:jc w:val="center"/>
              <w:rPr>
                <w:rFonts w:hint="eastAsia" w:ascii="楷体" w:hAnsi="楷体" w:eastAsia="楷体"/>
                <w:color w:val="000000"/>
                <w:sz w:val="24"/>
              </w:rPr>
            </w:pPr>
          </w:p>
        </w:tc>
        <w:tc>
          <w:tcPr>
            <w:tcW w:w="3827" w:type="dxa"/>
            <w:noWrap w:val="0"/>
            <w:vAlign w:val="top"/>
          </w:tcPr>
          <w:p>
            <w:pPr>
              <w:spacing w:line="360" w:lineRule="auto"/>
              <w:jc w:val="center"/>
              <w:rPr>
                <w:rFonts w:hint="eastAsia" w:ascii="楷体" w:hAnsi="楷体" w:eastAsia="楷体"/>
                <w:color w:val="000000"/>
                <w:sz w:val="24"/>
              </w:rPr>
            </w:pPr>
          </w:p>
        </w:tc>
        <w:tc>
          <w:tcPr>
            <w:tcW w:w="4256" w:type="dxa"/>
            <w:noWrap w:val="0"/>
            <w:vAlign w:val="top"/>
          </w:tcPr>
          <w:p>
            <w:pPr>
              <w:spacing w:line="360" w:lineRule="auto"/>
              <w:jc w:val="center"/>
              <w:rPr>
                <w:rFonts w:hint="eastAsia" w:ascii="楷体" w:hAnsi="楷体" w:eastAsia="楷体"/>
                <w:color w:val="000000"/>
                <w:sz w:val="24"/>
              </w:rPr>
            </w:pPr>
          </w:p>
        </w:tc>
        <w:tc>
          <w:tcPr>
            <w:tcW w:w="2160"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6</w:t>
            </w:r>
          </w:p>
        </w:tc>
        <w:tc>
          <w:tcPr>
            <w:tcW w:w="2897" w:type="dxa"/>
            <w:noWrap w:val="0"/>
            <w:vAlign w:val="top"/>
          </w:tcPr>
          <w:p>
            <w:pPr>
              <w:spacing w:line="360" w:lineRule="auto"/>
              <w:jc w:val="center"/>
              <w:rPr>
                <w:rFonts w:hint="eastAsia" w:ascii="楷体" w:hAnsi="楷体" w:eastAsia="楷体"/>
                <w:color w:val="000000"/>
                <w:sz w:val="24"/>
              </w:rPr>
            </w:pPr>
          </w:p>
        </w:tc>
        <w:tc>
          <w:tcPr>
            <w:tcW w:w="3827" w:type="dxa"/>
            <w:noWrap w:val="0"/>
            <w:vAlign w:val="top"/>
          </w:tcPr>
          <w:p>
            <w:pPr>
              <w:spacing w:line="360" w:lineRule="auto"/>
              <w:jc w:val="center"/>
              <w:rPr>
                <w:rFonts w:hint="eastAsia" w:ascii="楷体" w:hAnsi="楷体" w:eastAsia="楷体"/>
                <w:color w:val="000000"/>
                <w:sz w:val="24"/>
              </w:rPr>
            </w:pPr>
          </w:p>
        </w:tc>
        <w:tc>
          <w:tcPr>
            <w:tcW w:w="4256" w:type="dxa"/>
            <w:noWrap w:val="0"/>
            <w:vAlign w:val="top"/>
          </w:tcPr>
          <w:p>
            <w:pPr>
              <w:spacing w:line="360" w:lineRule="auto"/>
              <w:jc w:val="center"/>
              <w:rPr>
                <w:rFonts w:hint="eastAsia" w:ascii="楷体" w:hAnsi="楷体" w:eastAsia="楷体"/>
                <w:color w:val="000000"/>
                <w:sz w:val="24"/>
              </w:rPr>
            </w:pPr>
          </w:p>
        </w:tc>
        <w:tc>
          <w:tcPr>
            <w:tcW w:w="2160"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7</w:t>
            </w:r>
          </w:p>
        </w:tc>
        <w:tc>
          <w:tcPr>
            <w:tcW w:w="2897" w:type="dxa"/>
            <w:noWrap w:val="0"/>
            <w:vAlign w:val="top"/>
          </w:tcPr>
          <w:p>
            <w:pPr>
              <w:spacing w:line="360" w:lineRule="auto"/>
              <w:jc w:val="center"/>
              <w:rPr>
                <w:rFonts w:hint="eastAsia" w:ascii="楷体" w:hAnsi="楷体" w:eastAsia="楷体"/>
                <w:color w:val="000000"/>
                <w:sz w:val="24"/>
              </w:rPr>
            </w:pPr>
          </w:p>
        </w:tc>
        <w:tc>
          <w:tcPr>
            <w:tcW w:w="3827" w:type="dxa"/>
            <w:noWrap w:val="0"/>
            <w:vAlign w:val="top"/>
          </w:tcPr>
          <w:p>
            <w:pPr>
              <w:spacing w:line="360" w:lineRule="auto"/>
              <w:jc w:val="center"/>
              <w:rPr>
                <w:rFonts w:hint="eastAsia" w:ascii="楷体" w:hAnsi="楷体" w:eastAsia="楷体"/>
                <w:color w:val="000000"/>
                <w:sz w:val="24"/>
              </w:rPr>
            </w:pPr>
          </w:p>
        </w:tc>
        <w:tc>
          <w:tcPr>
            <w:tcW w:w="4256" w:type="dxa"/>
            <w:noWrap w:val="0"/>
            <w:vAlign w:val="top"/>
          </w:tcPr>
          <w:p>
            <w:pPr>
              <w:spacing w:line="360" w:lineRule="auto"/>
              <w:jc w:val="center"/>
              <w:rPr>
                <w:rFonts w:hint="eastAsia" w:ascii="楷体" w:hAnsi="楷体" w:eastAsia="楷体"/>
                <w:color w:val="000000"/>
                <w:sz w:val="24"/>
              </w:rPr>
            </w:pPr>
          </w:p>
        </w:tc>
        <w:tc>
          <w:tcPr>
            <w:tcW w:w="2160"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8</w:t>
            </w:r>
          </w:p>
        </w:tc>
        <w:tc>
          <w:tcPr>
            <w:tcW w:w="2897" w:type="dxa"/>
            <w:noWrap w:val="0"/>
            <w:vAlign w:val="top"/>
          </w:tcPr>
          <w:p>
            <w:pPr>
              <w:spacing w:line="360" w:lineRule="auto"/>
              <w:jc w:val="center"/>
              <w:rPr>
                <w:rFonts w:hint="eastAsia" w:ascii="楷体" w:hAnsi="楷体" w:eastAsia="楷体"/>
                <w:color w:val="000000"/>
                <w:sz w:val="24"/>
              </w:rPr>
            </w:pPr>
          </w:p>
        </w:tc>
        <w:tc>
          <w:tcPr>
            <w:tcW w:w="3827" w:type="dxa"/>
            <w:noWrap w:val="0"/>
            <w:vAlign w:val="top"/>
          </w:tcPr>
          <w:p>
            <w:pPr>
              <w:spacing w:line="360" w:lineRule="auto"/>
              <w:jc w:val="center"/>
              <w:rPr>
                <w:rFonts w:hint="eastAsia" w:ascii="楷体" w:hAnsi="楷体" w:eastAsia="楷体"/>
                <w:color w:val="000000"/>
                <w:sz w:val="24"/>
              </w:rPr>
            </w:pPr>
          </w:p>
        </w:tc>
        <w:tc>
          <w:tcPr>
            <w:tcW w:w="4256" w:type="dxa"/>
            <w:noWrap w:val="0"/>
            <w:vAlign w:val="top"/>
          </w:tcPr>
          <w:p>
            <w:pPr>
              <w:spacing w:line="360" w:lineRule="auto"/>
              <w:jc w:val="center"/>
              <w:rPr>
                <w:rFonts w:hint="eastAsia" w:ascii="楷体" w:hAnsi="楷体" w:eastAsia="楷体"/>
                <w:color w:val="000000"/>
                <w:sz w:val="24"/>
              </w:rPr>
            </w:pPr>
          </w:p>
        </w:tc>
        <w:tc>
          <w:tcPr>
            <w:tcW w:w="2160"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9</w:t>
            </w:r>
          </w:p>
        </w:tc>
        <w:tc>
          <w:tcPr>
            <w:tcW w:w="2897" w:type="dxa"/>
            <w:noWrap w:val="0"/>
            <w:vAlign w:val="top"/>
          </w:tcPr>
          <w:p>
            <w:pPr>
              <w:spacing w:line="360" w:lineRule="auto"/>
              <w:jc w:val="center"/>
              <w:rPr>
                <w:rFonts w:hint="eastAsia" w:ascii="楷体" w:hAnsi="楷体" w:eastAsia="楷体"/>
                <w:color w:val="000000"/>
                <w:sz w:val="24"/>
              </w:rPr>
            </w:pPr>
          </w:p>
        </w:tc>
        <w:tc>
          <w:tcPr>
            <w:tcW w:w="3827" w:type="dxa"/>
            <w:noWrap w:val="0"/>
            <w:vAlign w:val="top"/>
          </w:tcPr>
          <w:p>
            <w:pPr>
              <w:spacing w:line="360" w:lineRule="auto"/>
              <w:jc w:val="center"/>
              <w:rPr>
                <w:rFonts w:hint="eastAsia" w:ascii="楷体" w:hAnsi="楷体" w:eastAsia="楷体"/>
                <w:color w:val="000000"/>
                <w:sz w:val="24"/>
              </w:rPr>
            </w:pPr>
          </w:p>
        </w:tc>
        <w:tc>
          <w:tcPr>
            <w:tcW w:w="4256" w:type="dxa"/>
            <w:noWrap w:val="0"/>
            <w:vAlign w:val="top"/>
          </w:tcPr>
          <w:p>
            <w:pPr>
              <w:spacing w:line="360" w:lineRule="auto"/>
              <w:jc w:val="center"/>
              <w:rPr>
                <w:rFonts w:hint="eastAsia" w:ascii="楷体" w:hAnsi="楷体" w:eastAsia="楷体"/>
                <w:color w:val="000000"/>
                <w:sz w:val="24"/>
              </w:rPr>
            </w:pPr>
          </w:p>
        </w:tc>
        <w:tc>
          <w:tcPr>
            <w:tcW w:w="2160"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10</w:t>
            </w:r>
          </w:p>
        </w:tc>
        <w:tc>
          <w:tcPr>
            <w:tcW w:w="2897" w:type="dxa"/>
            <w:noWrap w:val="0"/>
            <w:vAlign w:val="top"/>
          </w:tcPr>
          <w:p>
            <w:pPr>
              <w:spacing w:line="360" w:lineRule="auto"/>
              <w:jc w:val="center"/>
              <w:rPr>
                <w:rFonts w:hint="eastAsia" w:ascii="楷体" w:hAnsi="楷体" w:eastAsia="楷体"/>
                <w:color w:val="000000"/>
                <w:sz w:val="24"/>
              </w:rPr>
            </w:pPr>
          </w:p>
        </w:tc>
        <w:tc>
          <w:tcPr>
            <w:tcW w:w="3827" w:type="dxa"/>
            <w:noWrap w:val="0"/>
            <w:vAlign w:val="top"/>
          </w:tcPr>
          <w:p>
            <w:pPr>
              <w:spacing w:line="360" w:lineRule="auto"/>
              <w:jc w:val="center"/>
              <w:rPr>
                <w:rFonts w:hint="eastAsia" w:ascii="楷体" w:hAnsi="楷体" w:eastAsia="楷体"/>
                <w:color w:val="000000"/>
                <w:sz w:val="24"/>
              </w:rPr>
            </w:pPr>
          </w:p>
        </w:tc>
        <w:tc>
          <w:tcPr>
            <w:tcW w:w="4256" w:type="dxa"/>
            <w:noWrap w:val="0"/>
            <w:vAlign w:val="top"/>
          </w:tcPr>
          <w:p>
            <w:pPr>
              <w:spacing w:line="360" w:lineRule="auto"/>
              <w:jc w:val="center"/>
              <w:rPr>
                <w:rFonts w:hint="eastAsia" w:ascii="楷体" w:hAnsi="楷体" w:eastAsia="楷体"/>
                <w:color w:val="000000"/>
                <w:sz w:val="24"/>
              </w:rPr>
            </w:pPr>
          </w:p>
        </w:tc>
        <w:tc>
          <w:tcPr>
            <w:tcW w:w="2160" w:type="dxa"/>
            <w:noWrap w:val="0"/>
            <w:vAlign w:val="top"/>
          </w:tcPr>
          <w:p>
            <w:pPr>
              <w:spacing w:line="360" w:lineRule="auto"/>
              <w:jc w:val="center"/>
              <w:rPr>
                <w:rFonts w:hint="eastAsia" w:ascii="楷体" w:hAnsi="楷体" w:eastAsia="楷体"/>
                <w:color w:val="000000"/>
                <w:sz w:val="24"/>
              </w:rPr>
            </w:pPr>
          </w:p>
        </w:tc>
      </w:tr>
    </w:tbl>
    <w:p>
      <w:pPr>
        <w:spacing w:line="360" w:lineRule="auto"/>
        <w:jc w:val="center"/>
        <w:rPr>
          <w:rFonts w:hint="eastAsia" w:ascii="楷体" w:hAnsi="楷体" w:eastAsia="楷体"/>
          <w:color w:val="000000"/>
          <w:sz w:val="24"/>
          <w:szCs w:val="28"/>
        </w:rPr>
      </w:pPr>
      <w:r>
        <w:rPr>
          <w:rFonts w:hint="eastAsia" w:ascii="楷体" w:hAnsi="楷体" w:eastAsia="楷体"/>
          <w:color w:val="000000"/>
          <w:sz w:val="24"/>
          <w:szCs w:val="28"/>
        </w:rPr>
        <w:br w:type="page"/>
      </w:r>
      <w:r>
        <w:rPr>
          <w:rFonts w:hint="eastAsia" w:ascii="楷体" w:hAnsi="楷体" w:eastAsia="楷体"/>
          <w:color w:val="000000"/>
          <w:sz w:val="24"/>
          <w:szCs w:val="28"/>
        </w:rPr>
        <w:t xml:space="preserve">  仓库库存指标</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620"/>
        <w:gridCol w:w="3233"/>
        <w:gridCol w:w="6127"/>
        <w:gridCol w:w="2160"/>
      </w:tblGrid>
      <w:tr>
        <w:trPr>
          <w:jc w:val="center"/>
        </w:trPr>
        <w:tc>
          <w:tcPr>
            <w:tcW w:w="828" w:type="dxa"/>
            <w:noWrap w:val="0"/>
            <w:vAlign w:val="top"/>
          </w:tcPr>
          <w:p>
            <w:pPr>
              <w:spacing w:line="360" w:lineRule="auto"/>
              <w:jc w:val="center"/>
              <w:rPr>
                <w:rFonts w:hint="eastAsia" w:ascii="楷体" w:hAnsi="楷体" w:eastAsia="楷体"/>
                <w:color w:val="000000"/>
                <w:sz w:val="24"/>
                <w:szCs w:val="28"/>
              </w:rPr>
            </w:pPr>
            <w:r>
              <w:rPr>
                <w:rFonts w:hint="eastAsia" w:ascii="楷体" w:hAnsi="楷体" w:eastAsia="楷体"/>
                <w:color w:val="000000"/>
                <w:sz w:val="24"/>
                <w:szCs w:val="28"/>
              </w:rPr>
              <w:t>序号</w:t>
            </w:r>
          </w:p>
        </w:tc>
        <w:tc>
          <w:tcPr>
            <w:tcW w:w="1620" w:type="dxa"/>
            <w:noWrap w:val="0"/>
            <w:vAlign w:val="top"/>
          </w:tcPr>
          <w:p>
            <w:pPr>
              <w:spacing w:line="360" w:lineRule="auto"/>
              <w:jc w:val="center"/>
              <w:rPr>
                <w:rFonts w:hint="eastAsia" w:ascii="楷体" w:hAnsi="楷体" w:eastAsia="楷体"/>
                <w:color w:val="000000"/>
                <w:sz w:val="24"/>
                <w:szCs w:val="28"/>
              </w:rPr>
            </w:pPr>
            <w:r>
              <w:rPr>
                <w:rFonts w:hint="eastAsia" w:ascii="楷体" w:hAnsi="楷体" w:eastAsia="楷体"/>
                <w:color w:val="000000"/>
                <w:sz w:val="24"/>
                <w:szCs w:val="28"/>
              </w:rPr>
              <w:t>指标</w:t>
            </w:r>
          </w:p>
        </w:tc>
        <w:tc>
          <w:tcPr>
            <w:tcW w:w="3233" w:type="dxa"/>
            <w:noWrap w:val="0"/>
            <w:vAlign w:val="top"/>
          </w:tcPr>
          <w:p>
            <w:pPr>
              <w:spacing w:line="360" w:lineRule="auto"/>
              <w:jc w:val="center"/>
              <w:rPr>
                <w:rFonts w:hint="eastAsia" w:ascii="楷体" w:hAnsi="楷体" w:eastAsia="楷体"/>
                <w:color w:val="000000"/>
                <w:sz w:val="24"/>
                <w:szCs w:val="28"/>
              </w:rPr>
            </w:pPr>
            <w:r>
              <w:rPr>
                <w:rFonts w:hint="eastAsia" w:ascii="楷体" w:hAnsi="楷体" w:eastAsia="楷体"/>
                <w:color w:val="000000"/>
                <w:sz w:val="24"/>
                <w:szCs w:val="28"/>
              </w:rPr>
              <w:t>指标定义</w:t>
            </w:r>
          </w:p>
        </w:tc>
        <w:tc>
          <w:tcPr>
            <w:tcW w:w="6127" w:type="dxa"/>
            <w:noWrap w:val="0"/>
            <w:vAlign w:val="top"/>
          </w:tcPr>
          <w:p>
            <w:pPr>
              <w:spacing w:line="360" w:lineRule="auto"/>
              <w:jc w:val="center"/>
              <w:rPr>
                <w:rFonts w:hint="eastAsia" w:ascii="楷体" w:hAnsi="楷体" w:eastAsia="楷体"/>
                <w:color w:val="000000"/>
                <w:sz w:val="24"/>
                <w:szCs w:val="28"/>
              </w:rPr>
            </w:pPr>
            <w:r>
              <w:rPr>
                <w:rFonts w:hint="eastAsia" w:ascii="楷体" w:hAnsi="楷体" w:eastAsia="楷体"/>
                <w:color w:val="000000"/>
                <w:sz w:val="24"/>
                <w:szCs w:val="28"/>
              </w:rPr>
              <w:t>功能</w:t>
            </w:r>
          </w:p>
        </w:tc>
        <w:tc>
          <w:tcPr>
            <w:tcW w:w="2160" w:type="dxa"/>
            <w:noWrap w:val="0"/>
            <w:vAlign w:val="top"/>
          </w:tcPr>
          <w:p>
            <w:pPr>
              <w:spacing w:line="360" w:lineRule="auto"/>
              <w:jc w:val="center"/>
              <w:rPr>
                <w:rFonts w:hint="eastAsia" w:ascii="楷体" w:hAnsi="楷体" w:eastAsia="楷体"/>
                <w:color w:val="000000"/>
                <w:sz w:val="24"/>
                <w:szCs w:val="28"/>
              </w:rPr>
            </w:pPr>
            <w:r>
              <w:rPr>
                <w:rFonts w:hint="eastAsia" w:ascii="楷体" w:hAnsi="楷体" w:eastAsia="楷体"/>
                <w:color w:val="000000"/>
                <w:sz w:val="24"/>
                <w:szCs w:val="28"/>
              </w:rPr>
              <w:t>考核依据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1</w:t>
            </w:r>
          </w:p>
        </w:tc>
        <w:tc>
          <w:tcPr>
            <w:tcW w:w="1620"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总库存金额</w:t>
            </w:r>
          </w:p>
        </w:tc>
        <w:tc>
          <w:tcPr>
            <w:tcW w:w="3233"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月底全部库存产品按入库成本价格计算的总金额</w:t>
            </w:r>
          </w:p>
        </w:tc>
        <w:tc>
          <w:tcPr>
            <w:tcW w:w="6127"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检测分（子）公司的库存情况，促进销售部门加强销售，为生产部门合理安排生产提供依据</w:t>
            </w:r>
          </w:p>
        </w:tc>
        <w:tc>
          <w:tcPr>
            <w:tcW w:w="2160"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2</w:t>
            </w:r>
          </w:p>
        </w:tc>
        <w:tc>
          <w:tcPr>
            <w:tcW w:w="1620"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总库存数量</w:t>
            </w:r>
          </w:p>
        </w:tc>
        <w:tc>
          <w:tcPr>
            <w:tcW w:w="3233"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月底全部库存产品数量</w:t>
            </w:r>
          </w:p>
        </w:tc>
        <w:tc>
          <w:tcPr>
            <w:tcW w:w="6127"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检测分（子）公司的库存情况，促进销售部门加强销售，为生产部门合理安排生产提供依据</w:t>
            </w:r>
          </w:p>
        </w:tc>
        <w:tc>
          <w:tcPr>
            <w:tcW w:w="2160"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3</w:t>
            </w:r>
          </w:p>
        </w:tc>
        <w:tc>
          <w:tcPr>
            <w:tcW w:w="1620"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物资入库差错率</w:t>
            </w:r>
          </w:p>
        </w:tc>
        <w:tc>
          <w:tcPr>
            <w:tcW w:w="3233"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入库差错次数/入库总数</w:t>
            </w:r>
          </w:p>
        </w:tc>
        <w:tc>
          <w:tcPr>
            <w:tcW w:w="6127"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检测仓库部门的工作效果</w:t>
            </w:r>
          </w:p>
        </w:tc>
        <w:tc>
          <w:tcPr>
            <w:tcW w:w="2160"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4</w:t>
            </w:r>
          </w:p>
        </w:tc>
        <w:tc>
          <w:tcPr>
            <w:tcW w:w="1620"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物资领用差错率</w:t>
            </w:r>
          </w:p>
        </w:tc>
        <w:tc>
          <w:tcPr>
            <w:tcW w:w="3233"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出错次数/领用总数</w:t>
            </w:r>
          </w:p>
        </w:tc>
        <w:tc>
          <w:tcPr>
            <w:tcW w:w="6127"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检测仓库部门的工作效果</w:t>
            </w:r>
          </w:p>
        </w:tc>
        <w:tc>
          <w:tcPr>
            <w:tcW w:w="2160"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5</w:t>
            </w:r>
          </w:p>
        </w:tc>
        <w:tc>
          <w:tcPr>
            <w:tcW w:w="1620"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报表、台帐出错率</w:t>
            </w:r>
          </w:p>
        </w:tc>
        <w:tc>
          <w:tcPr>
            <w:tcW w:w="3233"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记录有误的报表、台帐总数</w:t>
            </w:r>
          </w:p>
        </w:tc>
        <w:tc>
          <w:tcPr>
            <w:tcW w:w="6127"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检测仓库部门的工作效果</w:t>
            </w:r>
          </w:p>
        </w:tc>
        <w:tc>
          <w:tcPr>
            <w:tcW w:w="2160"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6</w:t>
            </w:r>
          </w:p>
        </w:tc>
        <w:tc>
          <w:tcPr>
            <w:tcW w:w="1620"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仓库环境审查</w:t>
            </w:r>
          </w:p>
        </w:tc>
        <w:tc>
          <w:tcPr>
            <w:tcW w:w="3233"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仓库环境是否整洁有序</w:t>
            </w:r>
          </w:p>
        </w:tc>
        <w:tc>
          <w:tcPr>
            <w:tcW w:w="6127"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检测仓库部门的工作效果</w:t>
            </w:r>
          </w:p>
        </w:tc>
        <w:tc>
          <w:tcPr>
            <w:tcW w:w="2160"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7</w:t>
            </w:r>
          </w:p>
        </w:tc>
        <w:tc>
          <w:tcPr>
            <w:tcW w:w="1620"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标准库存量与实际库存量比率</w:t>
            </w:r>
          </w:p>
        </w:tc>
        <w:tc>
          <w:tcPr>
            <w:tcW w:w="3233"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标准库存量/实际库存量</w:t>
            </w:r>
          </w:p>
        </w:tc>
        <w:tc>
          <w:tcPr>
            <w:tcW w:w="6127"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检测标准库存量与实际库存量比率，设定存料对销货之基本比率，为决定安全存量提供依据</w:t>
            </w:r>
          </w:p>
        </w:tc>
        <w:tc>
          <w:tcPr>
            <w:tcW w:w="2160"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8</w:t>
            </w:r>
          </w:p>
        </w:tc>
        <w:tc>
          <w:tcPr>
            <w:tcW w:w="1620" w:type="dxa"/>
            <w:noWrap w:val="0"/>
            <w:vAlign w:val="top"/>
          </w:tcPr>
          <w:p>
            <w:pPr>
              <w:spacing w:line="360" w:lineRule="auto"/>
              <w:jc w:val="center"/>
              <w:rPr>
                <w:rFonts w:hint="eastAsia" w:ascii="楷体" w:hAnsi="楷体" w:eastAsia="楷体"/>
                <w:color w:val="000000"/>
                <w:sz w:val="24"/>
              </w:rPr>
            </w:pPr>
          </w:p>
        </w:tc>
        <w:tc>
          <w:tcPr>
            <w:tcW w:w="3233" w:type="dxa"/>
            <w:noWrap w:val="0"/>
            <w:vAlign w:val="top"/>
          </w:tcPr>
          <w:p>
            <w:pPr>
              <w:spacing w:line="360" w:lineRule="auto"/>
              <w:jc w:val="center"/>
              <w:rPr>
                <w:rFonts w:hint="eastAsia" w:ascii="楷体" w:hAnsi="楷体" w:eastAsia="楷体"/>
                <w:color w:val="000000"/>
                <w:sz w:val="24"/>
              </w:rPr>
            </w:pPr>
          </w:p>
        </w:tc>
        <w:tc>
          <w:tcPr>
            <w:tcW w:w="6127" w:type="dxa"/>
            <w:noWrap w:val="0"/>
            <w:vAlign w:val="top"/>
          </w:tcPr>
          <w:p>
            <w:pPr>
              <w:spacing w:line="360" w:lineRule="auto"/>
              <w:jc w:val="center"/>
              <w:rPr>
                <w:rFonts w:hint="eastAsia" w:ascii="楷体" w:hAnsi="楷体" w:eastAsia="楷体"/>
                <w:color w:val="000000"/>
                <w:sz w:val="24"/>
              </w:rPr>
            </w:pPr>
          </w:p>
        </w:tc>
        <w:tc>
          <w:tcPr>
            <w:tcW w:w="2160" w:type="dxa"/>
            <w:noWrap w:val="0"/>
            <w:vAlign w:val="top"/>
          </w:tcPr>
          <w:p>
            <w:pPr>
              <w:spacing w:line="360" w:lineRule="auto"/>
              <w:jc w:val="center"/>
              <w:rPr>
                <w:rFonts w:hint="eastAsia" w:ascii="楷体" w:hAnsi="楷体" w:eastAsia="楷体"/>
                <w:color w:val="000000"/>
                <w:sz w:val="24"/>
              </w:rPr>
            </w:pPr>
          </w:p>
        </w:tc>
      </w:tr>
    </w:tbl>
    <w:p>
      <w:pPr>
        <w:widowControl/>
        <w:spacing w:line="360" w:lineRule="auto"/>
        <w:jc w:val="center"/>
        <w:rPr>
          <w:rFonts w:hint="eastAsia" w:ascii="楷体" w:hAnsi="楷体" w:eastAsia="楷体"/>
          <w:color w:val="000000"/>
          <w:sz w:val="24"/>
        </w:rPr>
      </w:pPr>
      <w:r>
        <w:rPr>
          <w:rFonts w:hint="eastAsia" w:ascii="楷体" w:hAnsi="楷体" w:eastAsia="楷体"/>
          <w:color w:val="000000"/>
          <w:sz w:val="24"/>
        </w:rPr>
        <w:br w:type="page"/>
      </w:r>
      <w:r>
        <w:rPr>
          <w:rFonts w:hint="eastAsia" w:ascii="楷体" w:hAnsi="宋体" w:eastAsia="楷体" w:cs="宋体"/>
          <w:b/>
          <w:bCs/>
          <w:color w:val="000000"/>
          <w:kern w:val="0"/>
          <w:sz w:val="28"/>
        </w:rPr>
        <w:t>企业（二）关键绩效指标（KPI）辞典</w:t>
      </w:r>
    </w:p>
    <w:p>
      <w:pPr>
        <w:spacing w:line="360" w:lineRule="auto"/>
        <w:jc w:val="center"/>
        <w:rPr>
          <w:rFonts w:hint="eastAsia" w:ascii="楷体" w:hAnsi="楷体" w:eastAsia="楷体"/>
          <w:color w:val="000000"/>
          <w:sz w:val="24"/>
        </w:rPr>
      </w:pPr>
      <w:r>
        <w:rPr>
          <w:rFonts w:hint="eastAsia" w:ascii="楷体" w:hAnsi="楷体" w:eastAsia="楷体"/>
          <w:color w:val="000000"/>
          <w:sz w:val="24"/>
          <w:szCs w:val="28"/>
        </w:rPr>
        <w:t>财务类指标</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68"/>
        <w:gridCol w:w="6300"/>
        <w:gridCol w:w="3201"/>
      </w:tblGrid>
      <w:tr>
        <w:trPr>
          <w:trHeight w:val="494" w:hRule="atLeast"/>
          <w:jc w:val="center"/>
        </w:trPr>
        <w:tc>
          <w:tcPr>
            <w:tcW w:w="4068" w:type="dxa"/>
            <w:shd w:val="clear" w:color="auto" w:fill="FFFF00"/>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关键绩效指标</w:t>
            </w:r>
          </w:p>
        </w:tc>
        <w:tc>
          <w:tcPr>
            <w:tcW w:w="6300" w:type="dxa"/>
            <w:shd w:val="clear" w:color="auto" w:fill="FFFF00"/>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指标定义/计算公式</w:t>
            </w:r>
          </w:p>
        </w:tc>
        <w:tc>
          <w:tcPr>
            <w:tcW w:w="3201" w:type="dxa"/>
            <w:shd w:val="clear" w:color="auto" w:fill="FFFF00"/>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数据来源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068" w:type="dxa"/>
            <w:noWrap w:val="0"/>
            <w:vAlign w:val="top"/>
          </w:tcPr>
          <w:p>
            <w:pPr>
              <w:spacing w:line="360" w:lineRule="auto"/>
              <w:jc w:val="center"/>
              <w:rPr>
                <w:rFonts w:ascii="楷体" w:hAnsi="楷体" w:eastAsia="楷体"/>
                <w:color w:val="000000"/>
                <w:sz w:val="24"/>
              </w:rPr>
            </w:pPr>
            <w:r>
              <w:rPr>
                <w:rFonts w:ascii="楷体" w:hAnsi="楷体" w:eastAsia="楷体"/>
                <w:color w:val="000000"/>
                <w:sz w:val="24"/>
              </w:rPr>
              <w:t>部门费用预算达成率</w:t>
            </w:r>
          </w:p>
        </w:tc>
        <w:tc>
          <w:tcPr>
            <w:tcW w:w="6300" w:type="dxa"/>
            <w:noWrap w:val="0"/>
            <w:vAlign w:val="top"/>
          </w:tcPr>
          <w:p>
            <w:pPr>
              <w:spacing w:line="360" w:lineRule="auto"/>
              <w:jc w:val="center"/>
              <w:rPr>
                <w:rFonts w:ascii="楷体" w:hAnsi="楷体" w:eastAsia="楷体"/>
                <w:color w:val="000000"/>
                <w:sz w:val="24"/>
              </w:rPr>
            </w:pPr>
            <w:r>
              <w:rPr>
                <w:rFonts w:ascii="楷体" w:hAnsi="楷体" w:eastAsia="楷体"/>
                <w:color w:val="000000"/>
                <w:sz w:val="24"/>
              </w:rPr>
              <w:t>(实际</w:t>
            </w:r>
            <w:r>
              <w:rPr>
                <w:rFonts w:hint="eastAsia" w:ascii="楷体" w:hAnsi="楷体" w:eastAsia="楷体"/>
                <w:color w:val="000000"/>
                <w:sz w:val="24"/>
              </w:rPr>
              <w:t>部门</w:t>
            </w:r>
            <w:r>
              <w:rPr>
                <w:rFonts w:ascii="楷体" w:hAnsi="楷体" w:eastAsia="楷体"/>
                <w:color w:val="000000"/>
                <w:sz w:val="24"/>
              </w:rPr>
              <w:t>费用/计划费用)*100%</w:t>
            </w:r>
          </w:p>
        </w:tc>
        <w:tc>
          <w:tcPr>
            <w:tcW w:w="320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部门费用实际及预算资料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068" w:type="dxa"/>
            <w:noWrap w:val="0"/>
            <w:vAlign w:val="top"/>
          </w:tcPr>
          <w:p>
            <w:pPr>
              <w:spacing w:line="360" w:lineRule="auto"/>
              <w:jc w:val="center"/>
              <w:rPr>
                <w:rFonts w:ascii="楷体" w:hAnsi="楷体" w:eastAsia="楷体"/>
                <w:color w:val="000000"/>
                <w:sz w:val="24"/>
              </w:rPr>
            </w:pPr>
            <w:r>
              <w:rPr>
                <w:rFonts w:ascii="楷体" w:hAnsi="楷体" w:eastAsia="楷体"/>
                <w:color w:val="000000"/>
                <w:sz w:val="24"/>
              </w:rPr>
              <w:t>项目研究开发费用预算达成率</w:t>
            </w:r>
          </w:p>
        </w:tc>
        <w:tc>
          <w:tcPr>
            <w:tcW w:w="6300" w:type="dxa"/>
            <w:noWrap w:val="0"/>
            <w:vAlign w:val="top"/>
          </w:tcPr>
          <w:p>
            <w:pPr>
              <w:spacing w:line="360" w:lineRule="auto"/>
              <w:jc w:val="center"/>
              <w:rPr>
                <w:rFonts w:ascii="楷体" w:hAnsi="楷体" w:eastAsia="楷体"/>
                <w:color w:val="000000"/>
                <w:sz w:val="24"/>
              </w:rPr>
            </w:pPr>
            <w:r>
              <w:rPr>
                <w:rFonts w:ascii="楷体" w:hAnsi="楷体" w:eastAsia="楷体"/>
                <w:color w:val="000000"/>
                <w:sz w:val="24"/>
              </w:rPr>
              <w:t>(实际</w:t>
            </w:r>
            <w:r>
              <w:rPr>
                <w:rFonts w:hint="eastAsia" w:ascii="楷体" w:hAnsi="楷体" w:eastAsia="楷体"/>
                <w:color w:val="000000"/>
                <w:sz w:val="24"/>
              </w:rPr>
              <w:t>项目研究开发</w:t>
            </w:r>
            <w:r>
              <w:rPr>
                <w:rFonts w:ascii="楷体" w:hAnsi="楷体" w:eastAsia="楷体"/>
                <w:color w:val="000000"/>
                <w:sz w:val="24"/>
              </w:rPr>
              <w:t>费用/计划费用)*100%</w:t>
            </w:r>
          </w:p>
        </w:tc>
        <w:tc>
          <w:tcPr>
            <w:tcW w:w="320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项目研究开发费用实际及预算资料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068" w:type="dxa"/>
            <w:noWrap w:val="0"/>
            <w:vAlign w:val="top"/>
          </w:tcPr>
          <w:p>
            <w:pPr>
              <w:spacing w:line="360" w:lineRule="auto"/>
              <w:jc w:val="center"/>
              <w:rPr>
                <w:rFonts w:ascii="楷体" w:hAnsi="楷体" w:eastAsia="楷体"/>
                <w:color w:val="000000"/>
                <w:sz w:val="24"/>
              </w:rPr>
            </w:pPr>
            <w:r>
              <w:rPr>
                <w:rFonts w:ascii="楷体" w:hAnsi="楷体" w:eastAsia="楷体"/>
                <w:color w:val="000000"/>
                <w:sz w:val="24"/>
              </w:rPr>
              <w:t>课题费用预算达成率</w:t>
            </w:r>
          </w:p>
        </w:tc>
        <w:tc>
          <w:tcPr>
            <w:tcW w:w="6300" w:type="dxa"/>
            <w:noWrap w:val="0"/>
            <w:vAlign w:val="top"/>
          </w:tcPr>
          <w:p>
            <w:pPr>
              <w:spacing w:line="360" w:lineRule="auto"/>
              <w:jc w:val="center"/>
              <w:rPr>
                <w:rFonts w:ascii="楷体" w:hAnsi="楷体" w:eastAsia="楷体"/>
                <w:color w:val="000000"/>
                <w:sz w:val="24"/>
              </w:rPr>
            </w:pPr>
            <w:r>
              <w:rPr>
                <w:rFonts w:ascii="楷体" w:hAnsi="楷体" w:eastAsia="楷体"/>
                <w:color w:val="000000"/>
                <w:sz w:val="24"/>
              </w:rPr>
              <w:t>(实际</w:t>
            </w:r>
            <w:r>
              <w:rPr>
                <w:rFonts w:hint="eastAsia" w:ascii="楷体" w:hAnsi="楷体" w:eastAsia="楷体"/>
                <w:color w:val="000000"/>
                <w:sz w:val="24"/>
              </w:rPr>
              <w:t>课题</w:t>
            </w:r>
            <w:r>
              <w:rPr>
                <w:rFonts w:ascii="楷体" w:hAnsi="楷体" w:eastAsia="楷体"/>
                <w:color w:val="000000"/>
                <w:sz w:val="24"/>
              </w:rPr>
              <w:t>费用/计划费用)*100%</w:t>
            </w:r>
          </w:p>
        </w:tc>
        <w:tc>
          <w:tcPr>
            <w:tcW w:w="320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课题费用实际及预算资料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068" w:type="dxa"/>
            <w:noWrap w:val="0"/>
            <w:vAlign w:val="top"/>
          </w:tcPr>
          <w:p>
            <w:pPr>
              <w:spacing w:line="360" w:lineRule="auto"/>
              <w:jc w:val="center"/>
              <w:rPr>
                <w:rFonts w:ascii="楷体" w:hAnsi="楷体" w:eastAsia="楷体"/>
                <w:color w:val="000000"/>
                <w:sz w:val="24"/>
              </w:rPr>
            </w:pPr>
            <w:r>
              <w:rPr>
                <w:rFonts w:ascii="楷体" w:hAnsi="楷体" w:eastAsia="楷体"/>
                <w:color w:val="000000"/>
                <w:sz w:val="24"/>
              </w:rPr>
              <w:t>招聘费用预算达成率</w:t>
            </w:r>
          </w:p>
        </w:tc>
        <w:tc>
          <w:tcPr>
            <w:tcW w:w="6300" w:type="dxa"/>
            <w:noWrap w:val="0"/>
            <w:vAlign w:val="top"/>
          </w:tcPr>
          <w:p>
            <w:pPr>
              <w:spacing w:line="360" w:lineRule="auto"/>
              <w:jc w:val="center"/>
              <w:rPr>
                <w:rFonts w:ascii="楷体" w:hAnsi="楷体" w:eastAsia="楷体"/>
                <w:color w:val="000000"/>
                <w:sz w:val="24"/>
              </w:rPr>
            </w:pPr>
            <w:r>
              <w:rPr>
                <w:rFonts w:ascii="楷体" w:hAnsi="楷体" w:eastAsia="楷体"/>
                <w:color w:val="000000"/>
                <w:sz w:val="24"/>
              </w:rPr>
              <w:t>(实际</w:t>
            </w:r>
            <w:r>
              <w:rPr>
                <w:rFonts w:hint="eastAsia" w:ascii="楷体" w:hAnsi="楷体" w:eastAsia="楷体"/>
                <w:color w:val="000000"/>
                <w:sz w:val="24"/>
              </w:rPr>
              <w:t>招聘</w:t>
            </w:r>
            <w:r>
              <w:rPr>
                <w:rFonts w:ascii="楷体" w:hAnsi="楷体" w:eastAsia="楷体"/>
                <w:color w:val="000000"/>
                <w:sz w:val="24"/>
              </w:rPr>
              <w:t>费用/计划费用)*100%</w:t>
            </w:r>
          </w:p>
        </w:tc>
        <w:tc>
          <w:tcPr>
            <w:tcW w:w="320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招聘费用实际及预算资料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068" w:type="dxa"/>
            <w:noWrap w:val="0"/>
            <w:vAlign w:val="top"/>
          </w:tcPr>
          <w:p>
            <w:pPr>
              <w:spacing w:line="360" w:lineRule="auto"/>
              <w:jc w:val="center"/>
              <w:rPr>
                <w:rFonts w:ascii="楷体" w:hAnsi="楷体" w:eastAsia="楷体"/>
                <w:color w:val="000000"/>
                <w:sz w:val="24"/>
              </w:rPr>
            </w:pPr>
            <w:r>
              <w:rPr>
                <w:rFonts w:ascii="楷体" w:hAnsi="楷体" w:eastAsia="楷体"/>
                <w:color w:val="000000"/>
                <w:sz w:val="24"/>
              </w:rPr>
              <w:t>培训费用预算达成率</w:t>
            </w:r>
          </w:p>
        </w:tc>
        <w:tc>
          <w:tcPr>
            <w:tcW w:w="6300" w:type="dxa"/>
            <w:noWrap w:val="0"/>
            <w:vAlign w:val="top"/>
          </w:tcPr>
          <w:p>
            <w:pPr>
              <w:spacing w:line="360" w:lineRule="auto"/>
              <w:jc w:val="center"/>
              <w:rPr>
                <w:rFonts w:ascii="楷体" w:hAnsi="楷体" w:eastAsia="楷体"/>
                <w:color w:val="000000"/>
                <w:sz w:val="24"/>
              </w:rPr>
            </w:pPr>
            <w:r>
              <w:rPr>
                <w:rFonts w:ascii="楷体" w:hAnsi="楷体" w:eastAsia="楷体"/>
                <w:color w:val="000000"/>
                <w:sz w:val="24"/>
              </w:rPr>
              <w:t>(实际</w:t>
            </w:r>
            <w:r>
              <w:rPr>
                <w:rFonts w:hint="eastAsia" w:ascii="楷体" w:hAnsi="楷体" w:eastAsia="楷体"/>
                <w:color w:val="000000"/>
                <w:sz w:val="24"/>
              </w:rPr>
              <w:t>培训</w:t>
            </w:r>
            <w:r>
              <w:rPr>
                <w:rFonts w:ascii="楷体" w:hAnsi="楷体" w:eastAsia="楷体"/>
                <w:color w:val="000000"/>
                <w:sz w:val="24"/>
              </w:rPr>
              <w:t>费用/计划费用)*100%</w:t>
            </w:r>
          </w:p>
        </w:tc>
        <w:tc>
          <w:tcPr>
            <w:tcW w:w="320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培训费用实际及预算资料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3" w:hRule="atLeast"/>
          <w:jc w:val="center"/>
        </w:trPr>
        <w:tc>
          <w:tcPr>
            <w:tcW w:w="4068" w:type="dxa"/>
            <w:noWrap w:val="0"/>
            <w:vAlign w:val="top"/>
          </w:tcPr>
          <w:p>
            <w:pPr>
              <w:spacing w:line="360" w:lineRule="auto"/>
              <w:jc w:val="center"/>
              <w:rPr>
                <w:rFonts w:ascii="楷体" w:hAnsi="楷体" w:eastAsia="楷体"/>
                <w:color w:val="000000"/>
                <w:sz w:val="24"/>
              </w:rPr>
            </w:pPr>
            <w:r>
              <w:rPr>
                <w:rFonts w:ascii="楷体" w:hAnsi="楷体" w:eastAsia="楷体"/>
                <w:color w:val="000000"/>
                <w:sz w:val="24"/>
              </w:rPr>
              <w:t>新产品研究开发费用预算达成率</w:t>
            </w:r>
          </w:p>
        </w:tc>
        <w:tc>
          <w:tcPr>
            <w:tcW w:w="6300" w:type="dxa"/>
            <w:noWrap w:val="0"/>
            <w:vAlign w:val="top"/>
          </w:tcPr>
          <w:p>
            <w:pPr>
              <w:spacing w:line="360" w:lineRule="auto"/>
              <w:jc w:val="center"/>
              <w:rPr>
                <w:rFonts w:ascii="楷体" w:hAnsi="楷体" w:eastAsia="楷体"/>
                <w:color w:val="000000"/>
                <w:sz w:val="24"/>
              </w:rPr>
            </w:pPr>
            <w:r>
              <w:rPr>
                <w:rFonts w:ascii="楷体" w:hAnsi="楷体" w:eastAsia="楷体"/>
                <w:color w:val="000000"/>
                <w:sz w:val="24"/>
              </w:rPr>
              <w:t>(实际</w:t>
            </w:r>
            <w:r>
              <w:rPr>
                <w:rFonts w:hint="eastAsia" w:ascii="楷体" w:hAnsi="楷体" w:eastAsia="楷体"/>
                <w:color w:val="000000"/>
                <w:sz w:val="24"/>
              </w:rPr>
              <w:t>新产品研究开发</w:t>
            </w:r>
            <w:r>
              <w:rPr>
                <w:rFonts w:ascii="楷体" w:hAnsi="楷体" w:eastAsia="楷体"/>
                <w:color w:val="000000"/>
                <w:sz w:val="24"/>
              </w:rPr>
              <w:t>费用/计划费用)*100%</w:t>
            </w:r>
          </w:p>
        </w:tc>
        <w:tc>
          <w:tcPr>
            <w:tcW w:w="320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新产品研究开发费用实际及预算资料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068"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承保利润</w:t>
            </w:r>
          </w:p>
        </w:tc>
        <w:tc>
          <w:tcPr>
            <w:tcW w:w="6300"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寿险各险种的死差损益情况，死差损益</w:t>
            </w:r>
            <w:r>
              <w:rPr>
                <w:rFonts w:ascii="楷体" w:hAnsi="楷体" w:eastAsia="楷体"/>
                <w:color w:val="000000"/>
                <w:sz w:val="24"/>
              </w:rPr>
              <w:t>=</w:t>
            </w:r>
            <w:r>
              <w:rPr>
                <w:rFonts w:hint="eastAsia" w:ascii="楷体" w:hAnsi="楷体" w:eastAsia="楷体"/>
                <w:color w:val="000000"/>
                <w:sz w:val="24"/>
              </w:rPr>
              <w:t>实际死亡率</w:t>
            </w:r>
            <w:r>
              <w:rPr>
                <w:rFonts w:ascii="楷体" w:hAnsi="楷体" w:eastAsia="楷体"/>
                <w:color w:val="000000"/>
                <w:sz w:val="24"/>
              </w:rPr>
              <w:t>-</w:t>
            </w:r>
            <w:r>
              <w:rPr>
                <w:rFonts w:hint="eastAsia" w:ascii="楷体" w:hAnsi="楷体" w:eastAsia="楷体"/>
                <w:color w:val="000000"/>
                <w:sz w:val="24"/>
              </w:rPr>
              <w:t>预期死亡率</w:t>
            </w:r>
          </w:p>
        </w:tc>
        <w:tc>
          <w:tcPr>
            <w:tcW w:w="320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理赔统计、精算部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068"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赔付率</w:t>
            </w:r>
          </w:p>
        </w:tc>
        <w:tc>
          <w:tcPr>
            <w:tcW w:w="6300"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（本期实际赔付额</w:t>
            </w:r>
            <w:r>
              <w:rPr>
                <w:rFonts w:ascii="楷体" w:hAnsi="楷体" w:eastAsia="楷体"/>
                <w:color w:val="000000"/>
                <w:sz w:val="24"/>
              </w:rPr>
              <w:t>+</w:t>
            </w:r>
            <w:r>
              <w:rPr>
                <w:rFonts w:hint="eastAsia" w:ascii="楷体" w:hAnsi="楷体" w:eastAsia="楷体"/>
                <w:color w:val="000000"/>
                <w:sz w:val="24"/>
              </w:rPr>
              <w:t>本期未决赔款</w:t>
            </w:r>
            <w:r>
              <w:rPr>
                <w:rFonts w:ascii="楷体" w:hAnsi="楷体" w:eastAsia="楷体"/>
                <w:color w:val="000000"/>
                <w:sz w:val="24"/>
              </w:rPr>
              <w:t>-</w:t>
            </w:r>
            <w:r>
              <w:rPr>
                <w:rFonts w:hint="eastAsia" w:ascii="楷体" w:hAnsi="楷体" w:eastAsia="楷体"/>
                <w:color w:val="000000"/>
                <w:sz w:val="24"/>
              </w:rPr>
              <w:t>本期支付上期未决赔款）</w:t>
            </w:r>
            <w:r>
              <w:rPr>
                <w:rFonts w:ascii="楷体" w:hAnsi="楷体" w:eastAsia="楷体"/>
                <w:color w:val="000000"/>
                <w:sz w:val="24"/>
              </w:rPr>
              <w:t>/</w:t>
            </w:r>
            <w:r>
              <w:rPr>
                <w:rFonts w:hint="eastAsia" w:ascii="楷体" w:hAnsi="楷体" w:eastAsia="楷体"/>
                <w:color w:val="000000"/>
                <w:sz w:val="24"/>
              </w:rPr>
              <w:t>本期经过的寿险风险保费</w:t>
            </w:r>
          </w:p>
        </w:tc>
        <w:tc>
          <w:tcPr>
            <w:tcW w:w="320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理赔统计、精算部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06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内嵌价值的增加</w:t>
            </w:r>
          </w:p>
        </w:tc>
        <w:tc>
          <w:tcPr>
            <w:tcW w:w="6300"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将来保单价值的贴现值</w:t>
            </w:r>
          </w:p>
        </w:tc>
        <w:tc>
          <w:tcPr>
            <w:tcW w:w="320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精算部、财务部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068"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人力成本总额控制率</w:t>
            </w:r>
          </w:p>
        </w:tc>
        <w:tc>
          <w:tcPr>
            <w:tcW w:w="6300"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(实际人力成本</w:t>
            </w:r>
            <w:r>
              <w:rPr>
                <w:rFonts w:ascii="楷体" w:hAnsi="楷体" w:eastAsia="楷体"/>
                <w:color w:val="000000"/>
                <w:sz w:val="24"/>
              </w:rPr>
              <w:t>/</w:t>
            </w:r>
            <w:r>
              <w:rPr>
                <w:rFonts w:hint="eastAsia" w:ascii="楷体" w:hAnsi="楷体" w:eastAsia="楷体"/>
                <w:color w:val="000000"/>
                <w:sz w:val="24"/>
              </w:rPr>
              <w:t>计划人力成本)</w:t>
            </w:r>
            <w:r>
              <w:rPr>
                <w:rFonts w:ascii="楷体" w:hAnsi="楷体" w:eastAsia="楷体"/>
                <w:color w:val="000000"/>
                <w:sz w:val="24"/>
              </w:rPr>
              <w:t>*100%</w:t>
            </w:r>
          </w:p>
        </w:tc>
        <w:tc>
          <w:tcPr>
            <w:tcW w:w="320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068"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标准保费达成率</w:t>
            </w:r>
          </w:p>
        </w:tc>
        <w:tc>
          <w:tcPr>
            <w:tcW w:w="6300"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(公司实际标准保费</w:t>
            </w:r>
            <w:r>
              <w:rPr>
                <w:rFonts w:ascii="楷体" w:hAnsi="楷体" w:eastAsia="楷体"/>
                <w:color w:val="000000"/>
                <w:sz w:val="24"/>
              </w:rPr>
              <w:t>/</w:t>
            </w:r>
            <w:r>
              <w:rPr>
                <w:rFonts w:hint="eastAsia" w:ascii="楷体" w:hAnsi="楷体" w:eastAsia="楷体"/>
                <w:color w:val="000000"/>
                <w:sz w:val="24"/>
              </w:rPr>
              <w:t>计划标准保费)*100%</w:t>
            </w:r>
          </w:p>
        </w:tc>
        <w:tc>
          <w:tcPr>
            <w:tcW w:w="320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068"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附加佣金占标准保费比率</w:t>
            </w:r>
          </w:p>
        </w:tc>
        <w:tc>
          <w:tcPr>
            <w:tcW w:w="6300"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(附加佣金</w:t>
            </w:r>
            <w:r>
              <w:rPr>
                <w:rFonts w:ascii="楷体" w:hAnsi="楷体" w:eastAsia="楷体"/>
                <w:color w:val="000000"/>
                <w:sz w:val="24"/>
              </w:rPr>
              <w:t>/</w:t>
            </w:r>
            <w:r>
              <w:rPr>
                <w:rFonts w:hint="eastAsia" w:ascii="楷体" w:hAnsi="楷体" w:eastAsia="楷体"/>
                <w:color w:val="000000"/>
                <w:sz w:val="24"/>
              </w:rPr>
              <w:t>营销标准保费)*100%</w:t>
            </w:r>
          </w:p>
        </w:tc>
        <w:tc>
          <w:tcPr>
            <w:tcW w:w="320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7" w:hRule="atLeast"/>
          <w:jc w:val="center"/>
        </w:trPr>
        <w:tc>
          <w:tcPr>
            <w:tcW w:w="4068"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续期推动费用率</w:t>
            </w:r>
          </w:p>
        </w:tc>
        <w:tc>
          <w:tcPr>
            <w:tcW w:w="6300"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(续期推动费用</w:t>
            </w:r>
            <w:r>
              <w:rPr>
                <w:rFonts w:ascii="楷体" w:hAnsi="楷体" w:eastAsia="楷体"/>
                <w:color w:val="000000"/>
                <w:sz w:val="24"/>
              </w:rPr>
              <w:t>/</w:t>
            </w:r>
            <w:r>
              <w:rPr>
                <w:rFonts w:hint="eastAsia" w:ascii="楷体" w:hAnsi="楷体" w:eastAsia="楷体"/>
                <w:color w:val="000000"/>
                <w:sz w:val="24"/>
              </w:rPr>
              <w:t>“孤儿单”佣金)</w:t>
            </w:r>
            <w:r>
              <w:rPr>
                <w:rFonts w:ascii="楷体" w:hAnsi="楷体" w:eastAsia="楷体"/>
                <w:color w:val="000000"/>
                <w:sz w:val="24"/>
              </w:rPr>
              <w:t>*100%</w:t>
            </w:r>
          </w:p>
        </w:tc>
        <w:tc>
          <w:tcPr>
            <w:tcW w:w="320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2" w:hRule="atLeast"/>
          <w:jc w:val="center"/>
        </w:trPr>
        <w:tc>
          <w:tcPr>
            <w:tcW w:w="4068"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业务推动费用占标准保费比率</w:t>
            </w:r>
          </w:p>
        </w:tc>
        <w:tc>
          <w:tcPr>
            <w:tcW w:w="6300"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(业务推动费</w:t>
            </w:r>
            <w:r>
              <w:rPr>
                <w:rFonts w:ascii="楷体" w:hAnsi="楷体" w:eastAsia="楷体"/>
                <w:color w:val="000000"/>
                <w:sz w:val="24"/>
              </w:rPr>
              <w:t>/</w:t>
            </w:r>
            <w:r>
              <w:rPr>
                <w:rFonts w:hint="eastAsia" w:ascii="楷体" w:hAnsi="楷体" w:eastAsia="楷体"/>
                <w:color w:val="000000"/>
                <w:sz w:val="24"/>
              </w:rPr>
              <w:t>标准保费)*100%</w:t>
            </w:r>
          </w:p>
        </w:tc>
        <w:tc>
          <w:tcPr>
            <w:tcW w:w="320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068"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公司总体费用预算达成率</w:t>
            </w:r>
          </w:p>
        </w:tc>
        <w:tc>
          <w:tcPr>
            <w:tcW w:w="6300"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(公司实际总费用</w:t>
            </w:r>
            <w:r>
              <w:rPr>
                <w:rFonts w:ascii="楷体" w:hAnsi="楷体" w:eastAsia="楷体"/>
                <w:color w:val="000000"/>
                <w:sz w:val="24"/>
              </w:rPr>
              <w:t>/</w:t>
            </w:r>
            <w:r>
              <w:rPr>
                <w:rFonts w:hint="eastAsia" w:ascii="楷体" w:hAnsi="楷体" w:eastAsia="楷体"/>
                <w:color w:val="000000"/>
                <w:sz w:val="24"/>
              </w:rPr>
              <w:t>预算总费用)*100%</w:t>
            </w:r>
          </w:p>
        </w:tc>
        <w:tc>
          <w:tcPr>
            <w:tcW w:w="320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管理费用实际及预算资料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068"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公司办公及物业管理费用预算达成率</w:t>
            </w:r>
          </w:p>
        </w:tc>
        <w:tc>
          <w:tcPr>
            <w:tcW w:w="6300"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(实际数</w:t>
            </w:r>
            <w:r>
              <w:rPr>
                <w:rFonts w:ascii="楷体" w:hAnsi="楷体" w:eastAsia="楷体"/>
                <w:color w:val="000000"/>
                <w:sz w:val="24"/>
              </w:rPr>
              <w:t>/</w:t>
            </w:r>
            <w:r>
              <w:rPr>
                <w:rFonts w:hint="eastAsia" w:ascii="楷体" w:hAnsi="楷体" w:eastAsia="楷体"/>
                <w:color w:val="000000"/>
                <w:sz w:val="24"/>
              </w:rPr>
              <w:t>预算数)*100%</w:t>
            </w:r>
          </w:p>
        </w:tc>
        <w:tc>
          <w:tcPr>
            <w:tcW w:w="320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0" w:hRule="atLeast"/>
          <w:jc w:val="center"/>
        </w:trPr>
        <w:tc>
          <w:tcPr>
            <w:tcW w:w="4068"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车辆费用预算达成率</w:t>
            </w:r>
          </w:p>
        </w:tc>
        <w:tc>
          <w:tcPr>
            <w:tcW w:w="6300"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(实际数</w:t>
            </w:r>
            <w:r>
              <w:rPr>
                <w:rFonts w:ascii="楷体" w:hAnsi="楷体" w:eastAsia="楷体"/>
                <w:color w:val="000000"/>
                <w:sz w:val="24"/>
              </w:rPr>
              <w:t>/</w:t>
            </w:r>
            <w:r>
              <w:rPr>
                <w:rFonts w:hint="eastAsia" w:ascii="楷体" w:hAnsi="楷体" w:eastAsia="楷体"/>
                <w:color w:val="000000"/>
                <w:sz w:val="24"/>
              </w:rPr>
              <w:t>预算数)*100%</w:t>
            </w:r>
          </w:p>
        </w:tc>
        <w:tc>
          <w:tcPr>
            <w:tcW w:w="320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068"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党办管理费用预算达成率</w:t>
            </w:r>
          </w:p>
        </w:tc>
        <w:tc>
          <w:tcPr>
            <w:tcW w:w="6300"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(实际数</w:t>
            </w:r>
            <w:r>
              <w:rPr>
                <w:rFonts w:ascii="楷体" w:hAnsi="楷体" w:eastAsia="楷体"/>
                <w:color w:val="000000"/>
                <w:sz w:val="24"/>
              </w:rPr>
              <w:t>/</w:t>
            </w:r>
            <w:r>
              <w:rPr>
                <w:rFonts w:hint="eastAsia" w:ascii="楷体" w:hAnsi="楷体" w:eastAsia="楷体"/>
                <w:color w:val="000000"/>
                <w:sz w:val="24"/>
              </w:rPr>
              <w:t>预算数)*100%</w:t>
            </w:r>
          </w:p>
        </w:tc>
        <w:tc>
          <w:tcPr>
            <w:tcW w:w="320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068"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党办、工会费用预算达成率</w:t>
            </w:r>
          </w:p>
        </w:tc>
        <w:tc>
          <w:tcPr>
            <w:tcW w:w="6300"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(实际数</w:t>
            </w:r>
            <w:r>
              <w:rPr>
                <w:rFonts w:ascii="楷体" w:hAnsi="楷体" w:eastAsia="楷体"/>
                <w:color w:val="000000"/>
                <w:sz w:val="24"/>
              </w:rPr>
              <w:t>/</w:t>
            </w:r>
            <w:r>
              <w:rPr>
                <w:rFonts w:hint="eastAsia" w:ascii="楷体" w:hAnsi="楷体" w:eastAsia="楷体"/>
                <w:color w:val="000000"/>
                <w:sz w:val="24"/>
              </w:rPr>
              <w:t>预算数)*100%</w:t>
            </w:r>
          </w:p>
        </w:tc>
        <w:tc>
          <w:tcPr>
            <w:tcW w:w="320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068"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日常办公费用预算达成率</w:t>
            </w:r>
          </w:p>
        </w:tc>
        <w:tc>
          <w:tcPr>
            <w:tcW w:w="6300"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(实际数</w:t>
            </w:r>
            <w:r>
              <w:rPr>
                <w:rFonts w:ascii="楷体" w:hAnsi="楷体" w:eastAsia="楷体"/>
                <w:color w:val="000000"/>
                <w:sz w:val="24"/>
              </w:rPr>
              <w:t>/</w:t>
            </w:r>
            <w:r>
              <w:rPr>
                <w:rFonts w:hint="eastAsia" w:ascii="楷体" w:hAnsi="楷体" w:eastAsia="楷体"/>
                <w:color w:val="000000"/>
                <w:sz w:val="24"/>
              </w:rPr>
              <w:t>预算数)*100%</w:t>
            </w:r>
          </w:p>
        </w:tc>
        <w:tc>
          <w:tcPr>
            <w:tcW w:w="320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068"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办公费用预算达成率</w:t>
            </w:r>
          </w:p>
        </w:tc>
        <w:tc>
          <w:tcPr>
            <w:tcW w:w="6300"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(实际数</w:t>
            </w:r>
            <w:r>
              <w:rPr>
                <w:rFonts w:ascii="楷体" w:hAnsi="楷体" w:eastAsia="楷体"/>
                <w:color w:val="000000"/>
                <w:sz w:val="24"/>
              </w:rPr>
              <w:t>/</w:t>
            </w:r>
            <w:r>
              <w:rPr>
                <w:rFonts w:hint="eastAsia" w:ascii="楷体" w:hAnsi="楷体" w:eastAsia="楷体"/>
                <w:color w:val="000000"/>
                <w:sz w:val="24"/>
              </w:rPr>
              <w:t>预算数)*100%</w:t>
            </w:r>
          </w:p>
        </w:tc>
        <w:tc>
          <w:tcPr>
            <w:tcW w:w="320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068"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会务、接待费用达成率</w:t>
            </w:r>
          </w:p>
        </w:tc>
        <w:tc>
          <w:tcPr>
            <w:tcW w:w="6300"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(实际数</w:t>
            </w:r>
            <w:r>
              <w:rPr>
                <w:rFonts w:ascii="楷体" w:hAnsi="楷体" w:eastAsia="楷体"/>
                <w:color w:val="000000"/>
                <w:sz w:val="24"/>
              </w:rPr>
              <w:t>/</w:t>
            </w:r>
            <w:r>
              <w:rPr>
                <w:rFonts w:hint="eastAsia" w:ascii="楷体" w:hAnsi="楷体" w:eastAsia="楷体"/>
                <w:color w:val="000000"/>
                <w:sz w:val="24"/>
              </w:rPr>
              <w:t>预算数)*100%</w:t>
            </w:r>
          </w:p>
        </w:tc>
        <w:tc>
          <w:tcPr>
            <w:tcW w:w="320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068"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专项费用预算达成率</w:t>
            </w:r>
          </w:p>
        </w:tc>
        <w:tc>
          <w:tcPr>
            <w:tcW w:w="6300"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(实际专项费用</w:t>
            </w:r>
            <w:r>
              <w:rPr>
                <w:rFonts w:ascii="楷体" w:hAnsi="楷体" w:eastAsia="楷体"/>
                <w:color w:val="000000"/>
                <w:sz w:val="24"/>
              </w:rPr>
              <w:t>/</w:t>
            </w:r>
            <w:r>
              <w:rPr>
                <w:rFonts w:hint="eastAsia" w:ascii="楷体" w:hAnsi="楷体" w:eastAsia="楷体"/>
                <w:color w:val="000000"/>
                <w:sz w:val="24"/>
              </w:rPr>
              <w:t>预算专项费用)*100%</w:t>
            </w:r>
          </w:p>
        </w:tc>
        <w:tc>
          <w:tcPr>
            <w:tcW w:w="320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068" w:type="dxa"/>
            <w:noWrap w:val="0"/>
            <w:vAlign w:val="top"/>
          </w:tcPr>
          <w:p>
            <w:pPr>
              <w:spacing w:line="360" w:lineRule="auto"/>
              <w:jc w:val="center"/>
              <w:rPr>
                <w:rFonts w:ascii="楷体" w:hAnsi="楷体" w:eastAsia="楷体"/>
                <w:color w:val="000000"/>
                <w:sz w:val="24"/>
              </w:rPr>
            </w:pPr>
            <w:r>
              <w:rPr>
                <w:rFonts w:ascii="楷体" w:hAnsi="楷体" w:eastAsia="楷体"/>
                <w:color w:val="000000"/>
                <w:sz w:val="24"/>
              </w:rPr>
              <w:t>销售目标达成率</w:t>
            </w:r>
          </w:p>
        </w:tc>
        <w:tc>
          <w:tcPr>
            <w:tcW w:w="6300" w:type="dxa"/>
            <w:noWrap w:val="0"/>
            <w:vAlign w:val="top"/>
          </w:tcPr>
          <w:p>
            <w:pPr>
              <w:spacing w:line="360" w:lineRule="auto"/>
              <w:jc w:val="center"/>
              <w:rPr>
                <w:rFonts w:ascii="楷体" w:hAnsi="楷体" w:eastAsia="楷体"/>
                <w:color w:val="000000"/>
                <w:sz w:val="24"/>
              </w:rPr>
            </w:pPr>
            <w:r>
              <w:rPr>
                <w:rFonts w:ascii="楷体" w:hAnsi="楷体" w:eastAsia="楷体"/>
                <w:color w:val="000000"/>
                <w:sz w:val="24"/>
              </w:rPr>
              <w:t>(实际销售额/计划销售额)*100%</w:t>
            </w:r>
          </w:p>
        </w:tc>
        <w:tc>
          <w:tcPr>
            <w:tcW w:w="3201"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销售报表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068" w:type="dxa"/>
            <w:noWrap w:val="0"/>
            <w:vAlign w:val="top"/>
          </w:tcPr>
          <w:p>
            <w:pPr>
              <w:spacing w:line="360" w:lineRule="auto"/>
              <w:jc w:val="center"/>
              <w:rPr>
                <w:rFonts w:ascii="楷体" w:hAnsi="楷体" w:eastAsia="楷体"/>
                <w:color w:val="000000"/>
                <w:sz w:val="24"/>
              </w:rPr>
            </w:pPr>
            <w:r>
              <w:rPr>
                <w:rFonts w:ascii="楷体" w:hAnsi="楷体" w:eastAsia="楷体"/>
                <w:color w:val="000000"/>
                <w:sz w:val="24"/>
              </w:rPr>
              <w:t>理赔率</w:t>
            </w:r>
          </w:p>
        </w:tc>
        <w:tc>
          <w:tcPr>
            <w:tcW w:w="6300"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w:t>
            </w:r>
            <w:r>
              <w:rPr>
                <w:rFonts w:ascii="楷体" w:hAnsi="楷体" w:eastAsia="楷体"/>
                <w:color w:val="000000"/>
                <w:sz w:val="24"/>
              </w:rPr>
              <w:t>理赔数量/销售数量</w:t>
            </w:r>
            <w:r>
              <w:rPr>
                <w:rFonts w:hint="eastAsia" w:ascii="楷体" w:hAnsi="楷体" w:eastAsia="楷体"/>
                <w:color w:val="000000"/>
                <w:sz w:val="24"/>
              </w:rPr>
              <w:t>)*100%</w:t>
            </w:r>
          </w:p>
        </w:tc>
        <w:tc>
          <w:tcPr>
            <w:tcW w:w="3201"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理赔报表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068" w:type="dxa"/>
            <w:noWrap w:val="0"/>
            <w:vAlign w:val="top"/>
          </w:tcPr>
          <w:p>
            <w:pPr>
              <w:spacing w:line="360" w:lineRule="auto"/>
              <w:jc w:val="center"/>
              <w:rPr>
                <w:rFonts w:ascii="楷体" w:hAnsi="楷体" w:eastAsia="楷体"/>
                <w:color w:val="000000"/>
                <w:sz w:val="24"/>
              </w:rPr>
            </w:pPr>
            <w:r>
              <w:rPr>
                <w:rFonts w:ascii="楷体" w:hAnsi="楷体" w:eastAsia="楷体"/>
                <w:color w:val="000000"/>
                <w:sz w:val="24"/>
              </w:rPr>
              <w:t>产品/服务销售收入达成率</w:t>
            </w:r>
          </w:p>
        </w:tc>
        <w:tc>
          <w:tcPr>
            <w:tcW w:w="6300"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(实际销售收入/计划销售收入)*100%</w:t>
            </w:r>
          </w:p>
        </w:tc>
        <w:tc>
          <w:tcPr>
            <w:tcW w:w="3201"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销售月报表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4068"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全部账户净投资收益率</w:t>
            </w:r>
            <w:r>
              <w:rPr>
                <w:rFonts w:ascii="楷体" w:hAnsi="楷体" w:eastAsia="楷体"/>
                <w:color w:val="000000"/>
                <w:sz w:val="24"/>
              </w:rPr>
              <w:t>/</w:t>
            </w:r>
            <w:r>
              <w:rPr>
                <w:rFonts w:hint="eastAsia" w:ascii="楷体" w:hAnsi="楷体" w:eastAsia="楷体"/>
                <w:color w:val="000000"/>
                <w:sz w:val="24"/>
              </w:rPr>
              <w:t>同期 B</w:t>
            </w:r>
            <w:r>
              <w:rPr>
                <w:rFonts w:ascii="楷体" w:hAnsi="楷体" w:eastAsia="楷体"/>
                <w:color w:val="000000"/>
                <w:sz w:val="24"/>
              </w:rPr>
              <w:t>enchmark</w:t>
            </w:r>
          </w:p>
          <w:p>
            <w:pPr>
              <w:spacing w:line="360" w:lineRule="auto"/>
              <w:jc w:val="center"/>
              <w:rPr>
                <w:rFonts w:ascii="楷体" w:hAnsi="楷体" w:eastAsia="楷体"/>
                <w:color w:val="000000"/>
                <w:sz w:val="24"/>
              </w:rPr>
            </w:pPr>
          </w:p>
        </w:tc>
        <w:tc>
          <w:tcPr>
            <w:tcW w:w="6300" w:type="dxa"/>
            <w:noWrap w:val="0"/>
            <w:vAlign w:val="top"/>
          </w:tcPr>
          <w:p>
            <w:pPr>
              <w:spacing w:line="360" w:lineRule="auto"/>
              <w:rPr>
                <w:rFonts w:hint="eastAsia" w:ascii="楷体" w:hAnsi="楷体" w:eastAsia="楷体"/>
                <w:color w:val="000000"/>
                <w:sz w:val="24"/>
              </w:rPr>
            </w:pPr>
            <w:r>
              <w:rPr>
                <w:rFonts w:hint="eastAsia" w:ascii="楷体" w:hAnsi="楷体" w:eastAsia="楷体"/>
                <w:color w:val="000000"/>
                <w:sz w:val="24"/>
              </w:rPr>
              <w:t>全部帐户净投资收益率</w:t>
            </w:r>
            <w:r>
              <w:rPr>
                <w:rFonts w:ascii="楷体" w:hAnsi="楷体" w:eastAsia="楷体"/>
                <w:color w:val="000000"/>
                <w:sz w:val="24"/>
              </w:rPr>
              <w:t>/</w:t>
            </w:r>
            <w:r>
              <w:rPr>
                <w:rFonts w:hint="eastAsia" w:ascii="楷体" w:hAnsi="楷体" w:eastAsia="楷体"/>
                <w:color w:val="000000"/>
                <w:sz w:val="24"/>
              </w:rPr>
              <w:t>投资委员会选择的市场基准收益率</w:t>
            </w:r>
          </w:p>
          <w:p>
            <w:pPr>
              <w:spacing w:line="360" w:lineRule="auto"/>
              <w:rPr>
                <w:rFonts w:ascii="楷体" w:hAnsi="楷体" w:eastAsia="楷体"/>
                <w:color w:val="000000"/>
                <w:sz w:val="24"/>
              </w:rPr>
            </w:pPr>
            <w:r>
              <w:rPr>
                <w:rFonts w:hint="eastAsia" w:ascii="楷体" w:hAnsi="楷体" w:eastAsia="楷体"/>
                <w:color w:val="000000"/>
                <w:sz w:val="24"/>
              </w:rPr>
              <w:t>（</w:t>
            </w:r>
            <w:r>
              <w:rPr>
                <w:rFonts w:ascii="楷体" w:hAnsi="楷体" w:eastAsia="楷体"/>
                <w:color w:val="000000"/>
                <w:sz w:val="24"/>
              </w:rPr>
              <w:t>Benchmark</w:t>
            </w:r>
            <w:r>
              <w:rPr>
                <w:rFonts w:hint="eastAsia" w:ascii="楷体" w:hAnsi="楷体" w:eastAsia="楷体"/>
                <w:color w:val="000000"/>
                <w:sz w:val="24"/>
              </w:rPr>
              <w:t>=国债指数、企业债指数、封闭式基金指数、</w:t>
            </w:r>
            <w:r>
              <w:rPr>
                <w:rFonts w:ascii="楷体" w:hAnsi="楷体" w:eastAsia="楷体"/>
                <w:color w:val="000000"/>
                <w:sz w:val="24"/>
              </w:rPr>
              <w:t>LIBOR</w:t>
            </w:r>
            <w:r>
              <w:rPr>
                <w:rFonts w:hint="eastAsia" w:ascii="楷体" w:hAnsi="楷体" w:eastAsia="楷体"/>
                <w:color w:val="000000"/>
                <w:sz w:val="24"/>
              </w:rPr>
              <w:t>、</w:t>
            </w:r>
            <w:r>
              <w:rPr>
                <w:rFonts w:ascii="楷体" w:hAnsi="楷体" w:eastAsia="楷体"/>
                <w:color w:val="000000"/>
                <w:sz w:val="24"/>
              </w:rPr>
              <w:t>CFO</w:t>
            </w:r>
            <w:r>
              <w:rPr>
                <w:rFonts w:hint="eastAsia" w:ascii="楷体" w:hAnsi="楷体" w:eastAsia="楷体"/>
                <w:color w:val="000000"/>
                <w:sz w:val="24"/>
              </w:rPr>
              <w:t>评估的</w:t>
            </w:r>
            <w:r>
              <w:rPr>
                <w:rFonts w:ascii="楷体" w:hAnsi="楷体" w:eastAsia="楷体"/>
                <w:color w:val="000000"/>
                <w:sz w:val="24"/>
              </w:rPr>
              <w:t>CD</w:t>
            </w:r>
            <w:r>
              <w:rPr>
                <w:rFonts w:hint="eastAsia" w:ascii="楷体" w:hAnsi="楷体" w:eastAsia="楷体"/>
                <w:color w:val="000000"/>
                <w:sz w:val="24"/>
              </w:rPr>
              <w:t>基准利率按计划的可投资比例加权的同期收益率</w:t>
            </w:r>
            <w:r>
              <w:rPr>
                <w:rFonts w:ascii="楷体" w:hAnsi="楷体" w:eastAsia="楷体"/>
                <w:color w:val="000000"/>
                <w:sz w:val="24"/>
              </w:rPr>
              <w:t>)</w:t>
            </w:r>
          </w:p>
        </w:tc>
        <w:tc>
          <w:tcPr>
            <w:tcW w:w="320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财务部</w:t>
            </w:r>
            <w:r>
              <w:rPr>
                <w:rFonts w:ascii="楷体" w:hAnsi="楷体" w:eastAsia="楷体"/>
                <w:color w:val="000000"/>
                <w:sz w:val="24"/>
              </w:rPr>
              <w:t>/</w:t>
            </w:r>
            <w:r>
              <w:rPr>
                <w:rFonts w:hint="eastAsia" w:ascii="楷体" w:hAnsi="楷体" w:eastAsia="楷体"/>
                <w:color w:val="000000"/>
                <w:sz w:val="24"/>
              </w:rPr>
              <w:t>证券市场公布数据</w:t>
            </w:r>
          </w:p>
          <w:p>
            <w:pPr>
              <w:spacing w:line="360" w:lineRule="auto"/>
              <w:jc w:val="center"/>
              <w:rPr>
                <w:rFonts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068"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投资收益率计划达成率</w:t>
            </w:r>
            <w:r>
              <w:rPr>
                <w:rFonts w:ascii="楷体" w:hAnsi="楷体" w:eastAsia="楷体"/>
                <w:color w:val="000000"/>
                <w:sz w:val="24"/>
              </w:rPr>
              <w:t>(</w:t>
            </w:r>
            <w:r>
              <w:rPr>
                <w:rFonts w:hint="eastAsia" w:ascii="楷体" w:hAnsi="楷体" w:eastAsia="楷体"/>
                <w:color w:val="000000"/>
                <w:sz w:val="24"/>
              </w:rPr>
              <w:t>董事会批准的年度计划收益率</w:t>
            </w:r>
            <w:r>
              <w:rPr>
                <w:rFonts w:ascii="楷体" w:hAnsi="楷体" w:eastAsia="楷体"/>
                <w:color w:val="000000"/>
                <w:sz w:val="24"/>
              </w:rPr>
              <w:t>)</w:t>
            </w:r>
          </w:p>
        </w:tc>
        <w:tc>
          <w:tcPr>
            <w:tcW w:w="6300"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全部帐户净投资收益率</w:t>
            </w:r>
            <w:r>
              <w:rPr>
                <w:rFonts w:ascii="楷体" w:hAnsi="楷体" w:eastAsia="楷体"/>
                <w:color w:val="000000"/>
                <w:sz w:val="24"/>
              </w:rPr>
              <w:t>/</w:t>
            </w:r>
            <w:r>
              <w:rPr>
                <w:rFonts w:hint="eastAsia" w:ascii="楷体" w:hAnsi="楷体" w:eastAsia="楷体"/>
                <w:color w:val="000000"/>
                <w:sz w:val="24"/>
              </w:rPr>
              <w:t>董事会批准及不时调整的的年度投资计划</w:t>
            </w:r>
          </w:p>
        </w:tc>
        <w:tc>
          <w:tcPr>
            <w:tcW w:w="320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068"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不良帐款比率</w:t>
            </w:r>
            <w:r>
              <w:rPr>
                <w:rFonts w:ascii="楷体" w:hAnsi="楷体" w:eastAsia="楷体"/>
                <w:color w:val="000000"/>
                <w:sz w:val="24"/>
              </w:rPr>
              <w:t>/Benchmark</w:t>
            </w:r>
          </w:p>
        </w:tc>
        <w:tc>
          <w:tcPr>
            <w:tcW w:w="6300"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按照中央银行贷款分类标准逾期不能收回的资产占可投资资产的比重</w:t>
            </w:r>
            <w:r>
              <w:rPr>
                <w:rFonts w:ascii="楷体" w:hAnsi="楷体" w:eastAsia="楷体"/>
                <w:color w:val="000000"/>
                <w:sz w:val="24"/>
              </w:rPr>
              <w:t>/</w:t>
            </w:r>
            <w:r>
              <w:rPr>
                <w:rFonts w:hint="eastAsia" w:ascii="楷体" w:hAnsi="楷体" w:eastAsia="楷体"/>
                <w:color w:val="000000"/>
                <w:sz w:val="24"/>
              </w:rPr>
              <w:t>年初投资委员会确定的基准</w:t>
            </w:r>
          </w:p>
          <w:p>
            <w:pPr>
              <w:spacing w:line="360" w:lineRule="auto"/>
              <w:jc w:val="center"/>
              <w:rPr>
                <w:rFonts w:ascii="楷体" w:hAnsi="楷体" w:eastAsia="楷体"/>
                <w:color w:val="000000"/>
                <w:sz w:val="24"/>
              </w:rPr>
            </w:pPr>
            <w:r>
              <w:rPr>
                <w:rFonts w:ascii="楷体" w:hAnsi="楷体" w:eastAsia="楷体"/>
                <w:color w:val="000000"/>
                <w:sz w:val="24"/>
              </w:rPr>
              <w:t>(Benchmark</w:t>
            </w:r>
            <w:r>
              <w:rPr>
                <w:rFonts w:hint="eastAsia" w:ascii="楷体" w:hAnsi="楷体" w:eastAsia="楷体"/>
                <w:color w:val="000000"/>
                <w:sz w:val="24"/>
              </w:rPr>
              <w:t>=投资委员会年初批准的比例</w:t>
            </w:r>
            <w:r>
              <w:rPr>
                <w:rFonts w:ascii="楷体" w:hAnsi="楷体" w:eastAsia="楷体"/>
                <w:color w:val="000000"/>
                <w:sz w:val="24"/>
              </w:rPr>
              <w:t>)</w:t>
            </w:r>
          </w:p>
        </w:tc>
        <w:tc>
          <w:tcPr>
            <w:tcW w:w="320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068"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(普通账户债券投资</w:t>
            </w:r>
            <w:r>
              <w:rPr>
                <w:rFonts w:ascii="楷体" w:hAnsi="楷体" w:eastAsia="楷体"/>
                <w:color w:val="000000"/>
                <w:sz w:val="24"/>
              </w:rPr>
              <w:t>+</w:t>
            </w:r>
            <w:r>
              <w:rPr>
                <w:rFonts w:hint="eastAsia" w:ascii="楷体" w:hAnsi="楷体" w:eastAsia="楷体"/>
                <w:color w:val="000000"/>
                <w:sz w:val="24"/>
              </w:rPr>
              <w:t>全部账户直接投资净投资收益率)</w:t>
            </w:r>
            <w:r>
              <w:rPr>
                <w:rFonts w:ascii="楷体" w:hAnsi="楷体" w:eastAsia="楷体"/>
                <w:color w:val="000000"/>
                <w:sz w:val="24"/>
              </w:rPr>
              <w:t>/</w:t>
            </w:r>
            <w:r>
              <w:rPr>
                <w:rFonts w:hint="eastAsia" w:ascii="楷体" w:hAnsi="楷体" w:eastAsia="楷体"/>
                <w:color w:val="000000"/>
                <w:sz w:val="24"/>
              </w:rPr>
              <w:t>同期</w:t>
            </w:r>
            <w:r>
              <w:rPr>
                <w:rFonts w:ascii="楷体" w:hAnsi="楷体" w:eastAsia="楷体"/>
                <w:color w:val="000000"/>
                <w:sz w:val="24"/>
              </w:rPr>
              <w:t>Benchmark</w:t>
            </w:r>
          </w:p>
        </w:tc>
        <w:tc>
          <w:tcPr>
            <w:tcW w:w="6300"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所管辖帐户净投资收益率</w:t>
            </w:r>
            <w:r>
              <w:rPr>
                <w:rFonts w:ascii="楷体" w:hAnsi="楷体" w:eastAsia="楷体"/>
                <w:color w:val="000000"/>
                <w:sz w:val="24"/>
              </w:rPr>
              <w:t>/</w:t>
            </w:r>
            <w:r>
              <w:rPr>
                <w:rFonts w:hint="eastAsia" w:ascii="楷体" w:hAnsi="楷体" w:eastAsia="楷体"/>
                <w:color w:val="000000"/>
                <w:sz w:val="24"/>
              </w:rPr>
              <w:t>总经理选择的市场基准收益率</w:t>
            </w:r>
          </w:p>
          <w:p>
            <w:pPr>
              <w:spacing w:line="360" w:lineRule="auto"/>
              <w:jc w:val="center"/>
              <w:rPr>
                <w:rFonts w:ascii="楷体" w:hAnsi="楷体" w:eastAsia="楷体"/>
                <w:color w:val="000000"/>
                <w:sz w:val="24"/>
              </w:rPr>
            </w:pPr>
            <w:r>
              <w:rPr>
                <w:rFonts w:ascii="楷体" w:hAnsi="楷体" w:eastAsia="楷体"/>
                <w:color w:val="000000"/>
                <w:sz w:val="24"/>
              </w:rPr>
              <w:t>(Benchmark</w:t>
            </w:r>
            <w:r>
              <w:rPr>
                <w:rFonts w:hint="eastAsia" w:ascii="楷体" w:hAnsi="楷体" w:eastAsia="楷体"/>
                <w:color w:val="000000"/>
                <w:sz w:val="24"/>
              </w:rPr>
              <w:t>=国债指数、企业债指数、</w:t>
            </w:r>
            <w:r>
              <w:rPr>
                <w:rFonts w:ascii="楷体" w:hAnsi="楷体" w:eastAsia="楷体"/>
                <w:color w:val="000000"/>
                <w:sz w:val="24"/>
              </w:rPr>
              <w:t>LIBOR</w:t>
            </w:r>
            <w:r>
              <w:rPr>
                <w:rFonts w:hint="eastAsia" w:ascii="楷体" w:hAnsi="楷体" w:eastAsia="楷体"/>
                <w:color w:val="000000"/>
                <w:sz w:val="24"/>
              </w:rPr>
              <w:t>、</w:t>
            </w:r>
            <w:r>
              <w:rPr>
                <w:rFonts w:ascii="楷体" w:hAnsi="楷体" w:eastAsia="楷体"/>
                <w:color w:val="000000"/>
                <w:sz w:val="24"/>
              </w:rPr>
              <w:t>CFO</w:t>
            </w:r>
            <w:r>
              <w:rPr>
                <w:rFonts w:hint="eastAsia" w:ascii="楷体" w:hAnsi="楷体" w:eastAsia="楷体"/>
                <w:color w:val="000000"/>
                <w:sz w:val="24"/>
              </w:rPr>
              <w:t>评估的</w:t>
            </w:r>
            <w:r>
              <w:rPr>
                <w:rFonts w:ascii="楷体" w:hAnsi="楷体" w:eastAsia="楷体"/>
                <w:color w:val="000000"/>
                <w:sz w:val="24"/>
              </w:rPr>
              <w:t>CD</w:t>
            </w:r>
            <w:r>
              <w:rPr>
                <w:rFonts w:hint="eastAsia" w:ascii="楷体" w:hAnsi="楷体" w:eastAsia="楷体"/>
                <w:color w:val="000000"/>
                <w:sz w:val="24"/>
              </w:rPr>
              <w:t>基准利率按计划的可投资比例加权的同期收益率</w:t>
            </w:r>
            <w:r>
              <w:rPr>
                <w:rFonts w:ascii="楷体" w:hAnsi="楷体" w:eastAsia="楷体"/>
                <w:color w:val="000000"/>
                <w:sz w:val="24"/>
              </w:rPr>
              <w:t>)</w:t>
            </w:r>
          </w:p>
        </w:tc>
        <w:tc>
          <w:tcPr>
            <w:tcW w:w="320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068"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普通账户基金投资净投资收益率</w:t>
            </w:r>
            <w:r>
              <w:rPr>
                <w:rFonts w:ascii="楷体" w:hAnsi="楷体" w:eastAsia="楷体"/>
                <w:color w:val="000000"/>
                <w:sz w:val="24"/>
              </w:rPr>
              <w:t>/</w:t>
            </w:r>
            <w:r>
              <w:rPr>
                <w:rFonts w:hint="eastAsia" w:ascii="楷体" w:hAnsi="楷体" w:eastAsia="楷体"/>
                <w:color w:val="000000"/>
                <w:sz w:val="24"/>
              </w:rPr>
              <w:t>同期</w:t>
            </w:r>
            <w:r>
              <w:rPr>
                <w:rFonts w:ascii="楷体" w:hAnsi="楷体" w:eastAsia="楷体"/>
                <w:color w:val="000000"/>
                <w:sz w:val="24"/>
              </w:rPr>
              <w:t>Benchmark</w:t>
            </w:r>
          </w:p>
        </w:tc>
        <w:tc>
          <w:tcPr>
            <w:tcW w:w="6300"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所管辖帐户净投资收益率</w:t>
            </w:r>
            <w:r>
              <w:rPr>
                <w:rFonts w:ascii="楷体" w:hAnsi="楷体" w:eastAsia="楷体"/>
                <w:color w:val="000000"/>
                <w:sz w:val="24"/>
              </w:rPr>
              <w:t>/</w:t>
            </w:r>
            <w:r>
              <w:rPr>
                <w:rFonts w:hint="eastAsia" w:ascii="楷体" w:hAnsi="楷体" w:eastAsia="楷体"/>
                <w:color w:val="000000"/>
                <w:sz w:val="24"/>
              </w:rPr>
              <w:t>总经理选择的市场基准收益率</w:t>
            </w:r>
          </w:p>
          <w:p>
            <w:pPr>
              <w:spacing w:line="360" w:lineRule="auto"/>
              <w:jc w:val="center"/>
              <w:rPr>
                <w:rFonts w:ascii="楷体" w:hAnsi="楷体" w:eastAsia="楷体"/>
                <w:color w:val="000000"/>
                <w:sz w:val="24"/>
              </w:rPr>
            </w:pPr>
            <w:r>
              <w:rPr>
                <w:rFonts w:ascii="楷体" w:hAnsi="楷体" w:eastAsia="楷体"/>
                <w:color w:val="000000"/>
                <w:sz w:val="24"/>
              </w:rPr>
              <w:t>(Benchmark</w:t>
            </w:r>
            <w:r>
              <w:rPr>
                <w:rFonts w:hint="eastAsia" w:ascii="楷体" w:hAnsi="楷体" w:eastAsia="楷体"/>
                <w:color w:val="000000"/>
                <w:sz w:val="24"/>
              </w:rPr>
              <w:t>=同期封闭式基金指数收益率</w:t>
            </w:r>
            <w:r>
              <w:rPr>
                <w:rFonts w:ascii="楷体" w:hAnsi="楷体" w:eastAsia="楷体"/>
                <w:color w:val="000000"/>
                <w:sz w:val="24"/>
              </w:rPr>
              <w:t>)</w:t>
            </w:r>
          </w:p>
        </w:tc>
        <w:tc>
          <w:tcPr>
            <w:tcW w:w="320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06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全部独立账户直接投资净投资收益率</w:t>
            </w:r>
            <w:r>
              <w:rPr>
                <w:rFonts w:ascii="楷体" w:hAnsi="楷体" w:eastAsia="楷体"/>
                <w:color w:val="000000"/>
                <w:sz w:val="24"/>
              </w:rPr>
              <w:t>/</w:t>
            </w:r>
            <w:r>
              <w:rPr>
                <w:rFonts w:hint="eastAsia" w:ascii="楷体" w:hAnsi="楷体" w:eastAsia="楷体"/>
                <w:color w:val="000000"/>
                <w:sz w:val="24"/>
              </w:rPr>
              <w:t>同期</w:t>
            </w:r>
            <w:r>
              <w:rPr>
                <w:rFonts w:ascii="楷体" w:hAnsi="楷体" w:eastAsia="楷体"/>
                <w:color w:val="000000"/>
                <w:sz w:val="24"/>
              </w:rPr>
              <w:t>Benchmark</w:t>
            </w:r>
          </w:p>
          <w:p>
            <w:pPr>
              <w:spacing w:line="360" w:lineRule="auto"/>
              <w:jc w:val="center"/>
              <w:rPr>
                <w:rFonts w:ascii="楷体" w:hAnsi="楷体" w:eastAsia="楷体"/>
                <w:color w:val="000000"/>
                <w:sz w:val="24"/>
              </w:rPr>
            </w:pPr>
          </w:p>
        </w:tc>
        <w:tc>
          <w:tcPr>
            <w:tcW w:w="6300"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所管辖帐户净投资收益率</w:t>
            </w:r>
            <w:r>
              <w:rPr>
                <w:rFonts w:ascii="楷体" w:hAnsi="楷体" w:eastAsia="楷体"/>
                <w:color w:val="000000"/>
                <w:sz w:val="24"/>
              </w:rPr>
              <w:t>/</w:t>
            </w:r>
            <w:r>
              <w:rPr>
                <w:rFonts w:hint="eastAsia" w:ascii="楷体" w:hAnsi="楷体" w:eastAsia="楷体"/>
                <w:color w:val="000000"/>
                <w:sz w:val="24"/>
              </w:rPr>
              <w:t>总经理选择的市场基准收益率</w:t>
            </w:r>
          </w:p>
          <w:p>
            <w:pPr>
              <w:spacing w:line="360" w:lineRule="auto"/>
              <w:jc w:val="center"/>
              <w:rPr>
                <w:rFonts w:ascii="楷体" w:hAnsi="楷体" w:eastAsia="楷体"/>
                <w:color w:val="000000"/>
                <w:sz w:val="24"/>
              </w:rPr>
            </w:pPr>
            <w:r>
              <w:rPr>
                <w:rFonts w:ascii="楷体" w:hAnsi="楷体" w:eastAsia="楷体"/>
                <w:color w:val="000000"/>
                <w:sz w:val="24"/>
              </w:rPr>
              <w:t>(Benchmark</w:t>
            </w:r>
            <w:r>
              <w:rPr>
                <w:rFonts w:hint="eastAsia" w:ascii="楷体" w:hAnsi="楷体" w:eastAsia="楷体"/>
                <w:color w:val="000000"/>
                <w:sz w:val="24"/>
              </w:rPr>
              <w:t>=同期国债指数、企业债指数、封闭式基金指数及</w:t>
            </w:r>
            <w:r>
              <w:rPr>
                <w:rFonts w:ascii="楷体" w:hAnsi="楷体" w:eastAsia="楷体"/>
                <w:color w:val="000000"/>
                <w:sz w:val="24"/>
              </w:rPr>
              <w:t>CD</w:t>
            </w:r>
            <w:r>
              <w:rPr>
                <w:rFonts w:hint="eastAsia" w:ascii="楷体" w:hAnsi="楷体" w:eastAsia="楷体"/>
                <w:color w:val="000000"/>
                <w:sz w:val="24"/>
              </w:rPr>
              <w:t>基准利率按可投资比例加权的同期收益率</w:t>
            </w:r>
            <w:r>
              <w:rPr>
                <w:rFonts w:ascii="楷体" w:hAnsi="楷体" w:eastAsia="楷体"/>
                <w:color w:val="000000"/>
                <w:sz w:val="24"/>
              </w:rPr>
              <w:t>)</w:t>
            </w:r>
          </w:p>
        </w:tc>
        <w:tc>
          <w:tcPr>
            <w:tcW w:w="320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06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所负责项目的净投资收益率</w:t>
            </w:r>
            <w:r>
              <w:rPr>
                <w:rFonts w:ascii="楷体" w:hAnsi="楷体" w:eastAsia="楷体"/>
                <w:color w:val="000000"/>
                <w:sz w:val="24"/>
              </w:rPr>
              <w:t>/</w:t>
            </w:r>
            <w:r>
              <w:rPr>
                <w:rFonts w:hint="eastAsia" w:ascii="楷体" w:hAnsi="楷体" w:eastAsia="楷体"/>
                <w:color w:val="000000"/>
                <w:sz w:val="24"/>
              </w:rPr>
              <w:t>同期</w:t>
            </w:r>
            <w:r>
              <w:rPr>
                <w:rFonts w:ascii="楷体" w:hAnsi="楷体" w:eastAsia="楷体"/>
                <w:color w:val="000000"/>
                <w:sz w:val="24"/>
              </w:rPr>
              <w:t>Benchmark</w:t>
            </w:r>
          </w:p>
          <w:p>
            <w:pPr>
              <w:spacing w:line="360" w:lineRule="auto"/>
              <w:jc w:val="center"/>
              <w:rPr>
                <w:rFonts w:ascii="楷体" w:hAnsi="楷体" w:eastAsia="楷体"/>
                <w:color w:val="000000"/>
                <w:sz w:val="24"/>
              </w:rPr>
            </w:pPr>
          </w:p>
        </w:tc>
        <w:tc>
          <w:tcPr>
            <w:tcW w:w="6300"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所管辖帐户净投资收益率</w:t>
            </w:r>
            <w:r>
              <w:rPr>
                <w:rFonts w:ascii="楷体" w:hAnsi="楷体" w:eastAsia="楷体"/>
                <w:color w:val="000000"/>
                <w:sz w:val="24"/>
              </w:rPr>
              <w:t>/</w:t>
            </w:r>
            <w:r>
              <w:rPr>
                <w:rFonts w:hint="eastAsia" w:ascii="楷体" w:hAnsi="楷体" w:eastAsia="楷体"/>
                <w:color w:val="000000"/>
                <w:sz w:val="24"/>
              </w:rPr>
              <w:t>总经理选择的市场基准收益率</w:t>
            </w:r>
          </w:p>
          <w:p>
            <w:pPr>
              <w:spacing w:line="360" w:lineRule="auto"/>
              <w:jc w:val="center"/>
              <w:rPr>
                <w:rFonts w:ascii="楷体" w:hAnsi="楷体" w:eastAsia="楷体"/>
                <w:color w:val="000000"/>
                <w:sz w:val="24"/>
              </w:rPr>
            </w:pPr>
            <w:r>
              <w:rPr>
                <w:rFonts w:ascii="楷体" w:hAnsi="楷体" w:eastAsia="楷体"/>
                <w:color w:val="000000"/>
                <w:sz w:val="24"/>
              </w:rPr>
              <w:t>(Benchmark</w:t>
            </w:r>
            <w:r>
              <w:rPr>
                <w:rFonts w:hint="eastAsia" w:ascii="楷体" w:hAnsi="楷体" w:eastAsia="楷体"/>
                <w:color w:val="000000"/>
                <w:sz w:val="24"/>
              </w:rPr>
              <w:t>=相应项目的指数同期收益率水平</w:t>
            </w:r>
            <w:r>
              <w:rPr>
                <w:rFonts w:ascii="楷体" w:hAnsi="楷体" w:eastAsia="楷体"/>
                <w:color w:val="000000"/>
                <w:sz w:val="24"/>
              </w:rPr>
              <w:t>)</w:t>
            </w:r>
          </w:p>
        </w:tc>
        <w:tc>
          <w:tcPr>
            <w:tcW w:w="320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068"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投资收益率计划达成率</w:t>
            </w:r>
          </w:p>
        </w:tc>
        <w:tc>
          <w:tcPr>
            <w:tcW w:w="6300"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所管辖帐户净投资收益率</w:t>
            </w:r>
            <w:r>
              <w:rPr>
                <w:rFonts w:ascii="楷体" w:hAnsi="楷体" w:eastAsia="楷体"/>
                <w:color w:val="000000"/>
                <w:sz w:val="24"/>
              </w:rPr>
              <w:t>/</w:t>
            </w:r>
            <w:r>
              <w:rPr>
                <w:rFonts w:hint="eastAsia" w:ascii="楷体" w:hAnsi="楷体" w:eastAsia="楷体"/>
                <w:color w:val="000000"/>
                <w:sz w:val="24"/>
              </w:rPr>
              <w:t>总经理批准及不时调整的的年度投资计划</w:t>
            </w:r>
          </w:p>
        </w:tc>
        <w:tc>
          <w:tcPr>
            <w:tcW w:w="320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068"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销售目标达成率(资产管理中心)</w:t>
            </w:r>
          </w:p>
        </w:tc>
        <w:tc>
          <w:tcPr>
            <w:tcW w:w="6300"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(实际直接销售资产管理产品收入</w:t>
            </w:r>
            <w:r>
              <w:rPr>
                <w:rFonts w:ascii="楷体" w:hAnsi="楷体" w:eastAsia="楷体"/>
                <w:color w:val="000000"/>
                <w:sz w:val="24"/>
              </w:rPr>
              <w:t>/</w:t>
            </w:r>
            <w:r>
              <w:rPr>
                <w:rFonts w:hint="eastAsia" w:ascii="楷体" w:hAnsi="楷体" w:eastAsia="楷体"/>
                <w:color w:val="000000"/>
                <w:sz w:val="24"/>
              </w:rPr>
              <w:t>计划收入)*100%</w:t>
            </w:r>
          </w:p>
        </w:tc>
        <w:tc>
          <w:tcPr>
            <w:tcW w:w="320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综合管理部</w:t>
            </w:r>
          </w:p>
        </w:tc>
      </w:tr>
    </w:tbl>
    <w:p>
      <w:pPr>
        <w:spacing w:line="360" w:lineRule="auto"/>
        <w:jc w:val="center"/>
        <w:rPr>
          <w:rFonts w:hint="eastAsia" w:ascii="楷体" w:hAnsi="楷体" w:eastAsia="楷体"/>
          <w:color w:val="000000"/>
          <w:sz w:val="24"/>
        </w:rPr>
      </w:pPr>
      <w:r>
        <w:rPr>
          <w:rFonts w:ascii="楷体" w:hAnsi="楷体" w:eastAsia="楷体"/>
          <w:color w:val="000000"/>
          <w:sz w:val="24"/>
        </w:rPr>
        <w:br w:type="page"/>
      </w:r>
      <w:r>
        <w:rPr>
          <w:rFonts w:hint="eastAsia" w:ascii="楷体" w:hAnsi="楷体" w:eastAsia="楷体"/>
          <w:color w:val="000000"/>
          <w:sz w:val="24"/>
        </w:rPr>
        <w:t xml:space="preserve"> </w:t>
      </w:r>
      <w:r>
        <w:rPr>
          <w:rFonts w:hint="eastAsia" w:ascii="楷体" w:hAnsi="楷体" w:eastAsia="楷体"/>
          <w:color w:val="000000"/>
          <w:sz w:val="24"/>
          <w:szCs w:val="28"/>
        </w:rPr>
        <w:t xml:space="preserve">    客户类指标</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68"/>
        <w:gridCol w:w="6300"/>
        <w:gridCol w:w="36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068" w:type="dxa"/>
            <w:shd w:val="clear" w:color="auto" w:fill="FFFF00"/>
            <w:noWrap w:val="0"/>
            <w:vAlign w:val="top"/>
          </w:tcPr>
          <w:p>
            <w:pPr>
              <w:spacing w:line="360" w:lineRule="auto"/>
              <w:jc w:val="center"/>
              <w:rPr>
                <w:rFonts w:hint="eastAsia" w:ascii="楷体" w:hAnsi="楷体" w:eastAsia="楷体"/>
                <w:color w:val="000000"/>
                <w:sz w:val="24"/>
                <w:szCs w:val="21"/>
                <w:highlight w:val="yellow"/>
              </w:rPr>
            </w:pPr>
            <w:r>
              <w:rPr>
                <w:rFonts w:hint="eastAsia" w:ascii="楷体" w:hAnsi="楷体" w:eastAsia="楷体"/>
                <w:color w:val="000000"/>
                <w:sz w:val="24"/>
                <w:szCs w:val="21"/>
                <w:highlight w:val="yellow"/>
              </w:rPr>
              <w:t>关键绩效指标</w:t>
            </w:r>
          </w:p>
        </w:tc>
        <w:tc>
          <w:tcPr>
            <w:tcW w:w="6300" w:type="dxa"/>
            <w:shd w:val="clear" w:color="auto" w:fill="FFFF00"/>
            <w:noWrap w:val="0"/>
            <w:vAlign w:val="top"/>
          </w:tcPr>
          <w:p>
            <w:pPr>
              <w:spacing w:line="360" w:lineRule="auto"/>
              <w:jc w:val="center"/>
              <w:rPr>
                <w:rFonts w:hint="eastAsia" w:ascii="楷体" w:hAnsi="楷体" w:eastAsia="楷体"/>
                <w:color w:val="000000"/>
                <w:sz w:val="24"/>
                <w:szCs w:val="21"/>
                <w:highlight w:val="yellow"/>
              </w:rPr>
            </w:pPr>
            <w:r>
              <w:rPr>
                <w:rFonts w:hint="eastAsia" w:ascii="楷体" w:hAnsi="楷体" w:eastAsia="楷体"/>
                <w:color w:val="000000"/>
                <w:sz w:val="24"/>
                <w:szCs w:val="21"/>
                <w:highlight w:val="yellow"/>
              </w:rPr>
              <w:t>指标定义/计算公式</w:t>
            </w:r>
          </w:p>
        </w:tc>
        <w:tc>
          <w:tcPr>
            <w:tcW w:w="3632" w:type="dxa"/>
            <w:shd w:val="clear" w:color="auto" w:fill="FFFF00"/>
            <w:noWrap w:val="0"/>
            <w:vAlign w:val="top"/>
          </w:tcPr>
          <w:p>
            <w:pPr>
              <w:spacing w:line="360" w:lineRule="auto"/>
              <w:jc w:val="center"/>
              <w:rPr>
                <w:rFonts w:hint="eastAsia" w:ascii="楷体" w:hAnsi="楷体" w:eastAsia="楷体"/>
                <w:color w:val="000000"/>
                <w:sz w:val="24"/>
                <w:szCs w:val="21"/>
                <w:highlight w:val="yellow"/>
              </w:rPr>
            </w:pPr>
            <w:r>
              <w:rPr>
                <w:rFonts w:hint="eastAsia" w:ascii="楷体" w:hAnsi="楷体" w:eastAsia="楷体"/>
                <w:color w:val="000000"/>
                <w:sz w:val="24"/>
                <w:szCs w:val="21"/>
                <w:highlight w:val="yellow"/>
              </w:rPr>
              <w:t>数据来源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068"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包装水平客户满意度</w:t>
            </w:r>
          </w:p>
        </w:tc>
        <w:tc>
          <w:tcPr>
            <w:tcW w:w="6300"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接受随机调研的客户对包装水平满意度评分的算术平均值</w:t>
            </w:r>
          </w:p>
        </w:tc>
        <w:tc>
          <w:tcPr>
            <w:tcW w:w="363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包装水平客户满意度调研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068"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某重点产品市场占有率</w:t>
            </w:r>
          </w:p>
        </w:tc>
        <w:tc>
          <w:tcPr>
            <w:tcW w:w="6300"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平均值：产品市场销售额/市场容量</w:t>
            </w:r>
          </w:p>
        </w:tc>
        <w:tc>
          <w:tcPr>
            <w:tcW w:w="363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市场销售月报，市场资料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068"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公共关系效果评定</w:t>
            </w:r>
          </w:p>
        </w:tc>
        <w:tc>
          <w:tcPr>
            <w:tcW w:w="6300"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对与媒体、保险学会及社会的效果评定</w:t>
            </w:r>
          </w:p>
        </w:tc>
        <w:tc>
          <w:tcPr>
            <w:tcW w:w="363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上级领导评定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068"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解决投诉率</w:t>
            </w:r>
          </w:p>
        </w:tc>
        <w:tc>
          <w:tcPr>
            <w:tcW w:w="6300"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(解决的投诉数/投诉总数)*100%</w:t>
            </w:r>
          </w:p>
        </w:tc>
        <w:tc>
          <w:tcPr>
            <w:tcW w:w="363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投诉记录及投诉解决记录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068"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客户投诉解决速度</w:t>
            </w:r>
          </w:p>
        </w:tc>
        <w:tc>
          <w:tcPr>
            <w:tcW w:w="6300"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年客户投诉解决总时间/年解决投诉总数</w:t>
            </w:r>
          </w:p>
        </w:tc>
        <w:tc>
          <w:tcPr>
            <w:tcW w:w="363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投诉记录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068" w:type="dxa"/>
            <w:noWrap w:val="0"/>
            <w:vAlign w:val="top"/>
          </w:tcPr>
          <w:p>
            <w:pPr>
              <w:spacing w:line="360" w:lineRule="auto"/>
              <w:jc w:val="center"/>
              <w:rPr>
                <w:rFonts w:ascii="楷体" w:hAnsi="楷体" w:eastAsia="楷体"/>
                <w:color w:val="000000"/>
                <w:sz w:val="24"/>
                <w:szCs w:val="21"/>
              </w:rPr>
            </w:pPr>
            <w:r>
              <w:rPr>
                <w:rFonts w:hint="eastAsia" w:ascii="楷体" w:hAnsi="楷体" w:eastAsia="楷体"/>
                <w:color w:val="000000"/>
                <w:sz w:val="24"/>
                <w:szCs w:val="21"/>
              </w:rPr>
              <w:t>营销计划达成率</w:t>
            </w:r>
          </w:p>
        </w:tc>
        <w:tc>
          <w:tcPr>
            <w:tcW w:w="6300" w:type="dxa"/>
            <w:noWrap w:val="0"/>
            <w:vAlign w:val="top"/>
          </w:tcPr>
          <w:p>
            <w:pPr>
              <w:spacing w:line="360" w:lineRule="auto"/>
              <w:jc w:val="center"/>
              <w:rPr>
                <w:rFonts w:ascii="楷体" w:hAnsi="楷体" w:eastAsia="楷体"/>
                <w:color w:val="000000"/>
                <w:sz w:val="24"/>
                <w:szCs w:val="21"/>
              </w:rPr>
            </w:pPr>
            <w:r>
              <w:rPr>
                <w:rFonts w:hint="eastAsia" w:ascii="楷体" w:hAnsi="楷体" w:eastAsia="楷体"/>
                <w:color w:val="000000"/>
                <w:sz w:val="24"/>
                <w:szCs w:val="21"/>
              </w:rPr>
              <w:t>(营销实际标保</w:t>
            </w:r>
            <w:r>
              <w:rPr>
                <w:rFonts w:ascii="楷体" w:hAnsi="楷体" w:eastAsia="楷体"/>
                <w:color w:val="000000"/>
                <w:sz w:val="24"/>
                <w:szCs w:val="21"/>
              </w:rPr>
              <w:t>/</w:t>
            </w:r>
            <w:r>
              <w:rPr>
                <w:rFonts w:hint="eastAsia" w:ascii="楷体" w:hAnsi="楷体" w:eastAsia="楷体"/>
                <w:color w:val="000000"/>
                <w:sz w:val="24"/>
                <w:szCs w:val="21"/>
              </w:rPr>
              <w:t>营销计划标保)*100%</w:t>
            </w:r>
          </w:p>
        </w:tc>
        <w:tc>
          <w:tcPr>
            <w:tcW w:w="3632" w:type="dxa"/>
            <w:noWrap w:val="0"/>
            <w:vAlign w:val="top"/>
          </w:tcPr>
          <w:p>
            <w:pPr>
              <w:spacing w:line="360" w:lineRule="auto"/>
              <w:jc w:val="center"/>
              <w:rPr>
                <w:rFonts w:ascii="楷体" w:hAnsi="楷体" w:eastAsia="楷体"/>
                <w:color w:val="000000"/>
                <w:sz w:val="24"/>
                <w:szCs w:val="21"/>
              </w:rPr>
            </w:pPr>
            <w:r>
              <w:rPr>
                <w:rFonts w:hint="eastAsia" w:ascii="楷体" w:hAnsi="楷体" w:eastAsia="楷体"/>
                <w:color w:val="000000"/>
                <w:sz w:val="24"/>
                <w:szCs w:val="21"/>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068" w:type="dxa"/>
            <w:noWrap w:val="0"/>
            <w:vAlign w:val="top"/>
          </w:tcPr>
          <w:p>
            <w:pPr>
              <w:spacing w:line="360" w:lineRule="auto"/>
              <w:jc w:val="center"/>
              <w:rPr>
                <w:rFonts w:ascii="楷体" w:hAnsi="楷体" w:eastAsia="楷体"/>
                <w:color w:val="000000"/>
                <w:sz w:val="24"/>
                <w:szCs w:val="21"/>
              </w:rPr>
            </w:pPr>
            <w:r>
              <w:rPr>
                <w:rFonts w:hint="eastAsia" w:ascii="楷体" w:hAnsi="楷体" w:eastAsia="楷体"/>
                <w:color w:val="000000"/>
                <w:sz w:val="24"/>
                <w:szCs w:val="21"/>
              </w:rPr>
              <w:t>新契约保费市场占有率</w:t>
            </w:r>
          </w:p>
        </w:tc>
        <w:tc>
          <w:tcPr>
            <w:tcW w:w="6300" w:type="dxa"/>
            <w:noWrap w:val="0"/>
            <w:vAlign w:val="top"/>
          </w:tcPr>
          <w:p>
            <w:pPr>
              <w:spacing w:line="360" w:lineRule="auto"/>
              <w:jc w:val="center"/>
              <w:rPr>
                <w:rFonts w:ascii="楷体" w:hAnsi="楷体" w:eastAsia="楷体"/>
                <w:color w:val="000000"/>
                <w:sz w:val="24"/>
                <w:szCs w:val="21"/>
              </w:rPr>
            </w:pPr>
            <w:r>
              <w:rPr>
                <w:rFonts w:hint="eastAsia" w:ascii="楷体" w:hAnsi="楷体" w:eastAsia="楷体"/>
                <w:color w:val="000000"/>
                <w:sz w:val="24"/>
                <w:szCs w:val="21"/>
              </w:rPr>
              <w:t>(新契约标保</w:t>
            </w:r>
            <w:r>
              <w:rPr>
                <w:rFonts w:ascii="楷体" w:hAnsi="楷体" w:eastAsia="楷体"/>
                <w:color w:val="000000"/>
                <w:sz w:val="24"/>
                <w:szCs w:val="21"/>
              </w:rPr>
              <w:t>/</w:t>
            </w:r>
            <w:r>
              <w:rPr>
                <w:rFonts w:hint="eastAsia" w:ascii="楷体" w:hAnsi="楷体" w:eastAsia="楷体"/>
                <w:color w:val="000000"/>
                <w:sz w:val="24"/>
                <w:szCs w:val="21"/>
              </w:rPr>
              <w:t>新契约市场总容量)*100%</w:t>
            </w:r>
          </w:p>
        </w:tc>
        <w:tc>
          <w:tcPr>
            <w:tcW w:w="3632" w:type="dxa"/>
            <w:noWrap w:val="0"/>
            <w:vAlign w:val="top"/>
          </w:tcPr>
          <w:p>
            <w:pPr>
              <w:spacing w:line="360" w:lineRule="auto"/>
              <w:jc w:val="center"/>
              <w:rPr>
                <w:rFonts w:ascii="楷体" w:hAnsi="楷体" w:eastAsia="楷体"/>
                <w:color w:val="000000"/>
                <w:sz w:val="24"/>
                <w:szCs w:val="21"/>
              </w:rPr>
            </w:pPr>
            <w:r>
              <w:rPr>
                <w:rFonts w:hint="eastAsia" w:ascii="楷体" w:hAnsi="楷体" w:eastAsia="楷体"/>
                <w:color w:val="000000"/>
                <w:sz w:val="24"/>
                <w:szCs w:val="21"/>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068" w:type="dxa"/>
            <w:noWrap w:val="0"/>
            <w:vAlign w:val="top"/>
          </w:tcPr>
          <w:p>
            <w:pPr>
              <w:spacing w:line="360" w:lineRule="auto"/>
              <w:jc w:val="center"/>
              <w:rPr>
                <w:rFonts w:ascii="楷体" w:hAnsi="楷体" w:eastAsia="楷体"/>
                <w:color w:val="000000"/>
                <w:sz w:val="24"/>
                <w:szCs w:val="21"/>
              </w:rPr>
            </w:pPr>
            <w:r>
              <w:rPr>
                <w:rFonts w:hint="eastAsia" w:ascii="楷体" w:hAnsi="楷体" w:eastAsia="楷体"/>
                <w:color w:val="000000"/>
                <w:sz w:val="24"/>
                <w:szCs w:val="21"/>
              </w:rPr>
              <w:t>新契约保费增长率</w:t>
            </w:r>
          </w:p>
        </w:tc>
        <w:tc>
          <w:tcPr>
            <w:tcW w:w="6300" w:type="dxa"/>
            <w:noWrap w:val="0"/>
            <w:vAlign w:val="top"/>
          </w:tcPr>
          <w:p>
            <w:pPr>
              <w:spacing w:line="360" w:lineRule="auto"/>
              <w:jc w:val="center"/>
              <w:rPr>
                <w:rFonts w:ascii="楷体" w:hAnsi="楷体" w:eastAsia="楷体"/>
                <w:color w:val="000000"/>
                <w:sz w:val="24"/>
                <w:szCs w:val="21"/>
              </w:rPr>
            </w:pPr>
            <w:r>
              <w:rPr>
                <w:rFonts w:hint="eastAsia" w:ascii="楷体" w:hAnsi="楷体" w:eastAsia="楷体"/>
                <w:color w:val="000000"/>
                <w:sz w:val="24"/>
                <w:szCs w:val="21"/>
              </w:rPr>
              <w:t>（本年度新契约标保</w:t>
            </w:r>
            <w:r>
              <w:rPr>
                <w:rFonts w:ascii="楷体" w:hAnsi="楷体" w:eastAsia="楷体"/>
                <w:color w:val="000000"/>
                <w:sz w:val="24"/>
                <w:szCs w:val="21"/>
              </w:rPr>
              <w:t>-</w:t>
            </w:r>
            <w:r>
              <w:rPr>
                <w:rFonts w:hint="eastAsia" w:ascii="楷体" w:hAnsi="楷体" w:eastAsia="楷体"/>
                <w:color w:val="000000"/>
                <w:sz w:val="24"/>
                <w:szCs w:val="21"/>
              </w:rPr>
              <w:t>上年度新契约标保）</w:t>
            </w:r>
            <w:r>
              <w:rPr>
                <w:rFonts w:ascii="楷体" w:hAnsi="楷体" w:eastAsia="楷体"/>
                <w:color w:val="000000"/>
                <w:sz w:val="24"/>
                <w:szCs w:val="21"/>
              </w:rPr>
              <w:t>/</w:t>
            </w:r>
            <w:r>
              <w:rPr>
                <w:rFonts w:hint="eastAsia" w:ascii="楷体" w:hAnsi="楷体" w:eastAsia="楷体"/>
                <w:color w:val="000000"/>
                <w:sz w:val="24"/>
                <w:szCs w:val="21"/>
              </w:rPr>
              <w:t>上年度新契约标保</w:t>
            </w:r>
          </w:p>
        </w:tc>
        <w:tc>
          <w:tcPr>
            <w:tcW w:w="3632" w:type="dxa"/>
            <w:noWrap w:val="0"/>
            <w:vAlign w:val="top"/>
          </w:tcPr>
          <w:p>
            <w:pPr>
              <w:spacing w:line="360" w:lineRule="auto"/>
              <w:jc w:val="center"/>
              <w:rPr>
                <w:rFonts w:ascii="楷体" w:hAnsi="楷体" w:eastAsia="楷体"/>
                <w:color w:val="000000"/>
                <w:sz w:val="24"/>
                <w:szCs w:val="21"/>
              </w:rPr>
            </w:pPr>
            <w:r>
              <w:rPr>
                <w:rFonts w:hint="eastAsia" w:ascii="楷体" w:hAnsi="楷体" w:eastAsia="楷体"/>
                <w:color w:val="000000"/>
                <w:sz w:val="24"/>
                <w:szCs w:val="21"/>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068"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13个月代理人留存率</w:t>
            </w:r>
          </w:p>
        </w:tc>
        <w:tc>
          <w:tcPr>
            <w:tcW w:w="6300" w:type="dxa"/>
            <w:noWrap w:val="0"/>
            <w:vAlign w:val="top"/>
          </w:tcPr>
          <w:p>
            <w:pPr>
              <w:spacing w:line="360" w:lineRule="auto"/>
              <w:jc w:val="center"/>
              <w:rPr>
                <w:rFonts w:ascii="楷体" w:hAnsi="楷体" w:eastAsia="楷体"/>
                <w:color w:val="000000"/>
                <w:sz w:val="24"/>
                <w:szCs w:val="21"/>
              </w:rPr>
            </w:pPr>
            <w:r>
              <w:rPr>
                <w:rFonts w:hint="eastAsia" w:ascii="楷体" w:hAnsi="楷体" w:eastAsia="楷体"/>
                <w:color w:val="000000"/>
                <w:sz w:val="24"/>
                <w:szCs w:val="21"/>
              </w:rPr>
              <w:t>(服务满</w:t>
            </w:r>
            <w:r>
              <w:rPr>
                <w:rFonts w:ascii="楷体" w:hAnsi="楷体" w:eastAsia="楷体"/>
                <w:color w:val="000000"/>
                <w:sz w:val="24"/>
                <w:szCs w:val="21"/>
              </w:rPr>
              <w:t>12</w:t>
            </w:r>
            <w:r>
              <w:rPr>
                <w:rFonts w:hint="eastAsia" w:ascii="楷体" w:hAnsi="楷体" w:eastAsia="楷体"/>
                <w:color w:val="000000"/>
                <w:sz w:val="24"/>
                <w:szCs w:val="21"/>
              </w:rPr>
              <w:t>个月的人数</w:t>
            </w:r>
            <w:r>
              <w:rPr>
                <w:rFonts w:ascii="楷体" w:hAnsi="楷体" w:eastAsia="楷体"/>
                <w:color w:val="000000"/>
                <w:sz w:val="24"/>
                <w:szCs w:val="21"/>
              </w:rPr>
              <w:t>/12</w:t>
            </w:r>
            <w:r>
              <w:rPr>
                <w:rFonts w:hint="eastAsia" w:ascii="楷体" w:hAnsi="楷体" w:eastAsia="楷体"/>
                <w:color w:val="000000"/>
                <w:sz w:val="24"/>
                <w:szCs w:val="21"/>
              </w:rPr>
              <w:t>个月前入司的人数)*100%</w:t>
            </w:r>
          </w:p>
        </w:tc>
        <w:tc>
          <w:tcPr>
            <w:tcW w:w="3632" w:type="dxa"/>
            <w:noWrap w:val="0"/>
            <w:vAlign w:val="top"/>
          </w:tcPr>
          <w:p>
            <w:pPr>
              <w:spacing w:line="360" w:lineRule="auto"/>
              <w:jc w:val="center"/>
              <w:rPr>
                <w:rFonts w:ascii="楷体" w:hAnsi="楷体" w:eastAsia="楷体"/>
                <w:color w:val="000000"/>
                <w:sz w:val="24"/>
                <w:szCs w:val="21"/>
              </w:rPr>
            </w:pPr>
            <w:r>
              <w:rPr>
                <w:rFonts w:hint="eastAsia" w:ascii="楷体" w:hAnsi="楷体" w:eastAsia="楷体"/>
                <w:color w:val="000000"/>
                <w:sz w:val="24"/>
                <w:szCs w:val="21"/>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068" w:type="dxa"/>
            <w:noWrap w:val="0"/>
            <w:vAlign w:val="top"/>
          </w:tcPr>
          <w:p>
            <w:pPr>
              <w:spacing w:line="360" w:lineRule="auto"/>
              <w:jc w:val="center"/>
              <w:rPr>
                <w:rFonts w:ascii="楷体" w:hAnsi="楷体" w:eastAsia="楷体"/>
                <w:color w:val="000000"/>
                <w:sz w:val="24"/>
                <w:szCs w:val="21"/>
              </w:rPr>
            </w:pPr>
            <w:r>
              <w:rPr>
                <w:rFonts w:hint="eastAsia" w:ascii="楷体" w:hAnsi="楷体" w:eastAsia="楷体"/>
                <w:color w:val="000000"/>
                <w:sz w:val="24"/>
                <w:szCs w:val="21"/>
              </w:rPr>
              <w:t>续期任务达成率</w:t>
            </w:r>
          </w:p>
        </w:tc>
        <w:tc>
          <w:tcPr>
            <w:tcW w:w="6300" w:type="dxa"/>
            <w:noWrap w:val="0"/>
            <w:vAlign w:val="top"/>
          </w:tcPr>
          <w:p>
            <w:pPr>
              <w:spacing w:line="360" w:lineRule="auto"/>
              <w:jc w:val="center"/>
              <w:rPr>
                <w:rFonts w:ascii="楷体" w:hAnsi="楷体" w:eastAsia="楷体"/>
                <w:color w:val="000000"/>
                <w:sz w:val="24"/>
                <w:szCs w:val="21"/>
              </w:rPr>
            </w:pPr>
            <w:r>
              <w:rPr>
                <w:rFonts w:hint="eastAsia" w:ascii="楷体" w:hAnsi="楷体" w:eastAsia="楷体"/>
                <w:color w:val="000000"/>
                <w:sz w:val="24"/>
                <w:szCs w:val="21"/>
              </w:rPr>
              <w:t>二次达成率</w:t>
            </w:r>
            <w:r>
              <w:rPr>
                <w:rFonts w:ascii="楷体" w:hAnsi="楷体" w:eastAsia="楷体"/>
                <w:color w:val="000000"/>
                <w:sz w:val="24"/>
                <w:szCs w:val="21"/>
              </w:rPr>
              <w:t>=</w:t>
            </w:r>
            <w:r>
              <w:rPr>
                <w:rFonts w:hint="eastAsia" w:ascii="楷体" w:hAnsi="楷体" w:eastAsia="楷体"/>
                <w:color w:val="000000"/>
                <w:sz w:val="24"/>
                <w:szCs w:val="21"/>
              </w:rPr>
              <w:t>宽限期未实收的二次保费</w:t>
            </w:r>
            <w:r>
              <w:rPr>
                <w:rFonts w:ascii="楷体" w:hAnsi="楷体" w:eastAsia="楷体"/>
                <w:color w:val="000000"/>
                <w:sz w:val="24"/>
                <w:szCs w:val="21"/>
              </w:rPr>
              <w:t>/</w:t>
            </w:r>
            <w:r>
              <w:rPr>
                <w:rFonts w:hint="eastAsia" w:ascii="楷体" w:hAnsi="楷体" w:eastAsia="楷体"/>
                <w:color w:val="000000"/>
                <w:sz w:val="24"/>
                <w:szCs w:val="21"/>
              </w:rPr>
              <w:t>考核期间应收的二次保费；三次达成率</w:t>
            </w:r>
            <w:r>
              <w:rPr>
                <w:rFonts w:ascii="楷体" w:hAnsi="楷体" w:eastAsia="楷体"/>
                <w:color w:val="000000"/>
                <w:sz w:val="24"/>
                <w:szCs w:val="21"/>
              </w:rPr>
              <w:t>=</w:t>
            </w:r>
            <w:r>
              <w:rPr>
                <w:rFonts w:hint="eastAsia" w:ascii="楷体" w:hAnsi="楷体" w:eastAsia="楷体"/>
                <w:color w:val="000000"/>
                <w:sz w:val="24"/>
                <w:szCs w:val="21"/>
              </w:rPr>
              <w:t>宽限期未实收三次保费</w:t>
            </w:r>
            <w:r>
              <w:rPr>
                <w:rFonts w:ascii="楷体" w:hAnsi="楷体" w:eastAsia="楷体"/>
                <w:color w:val="000000"/>
                <w:sz w:val="24"/>
                <w:szCs w:val="21"/>
              </w:rPr>
              <w:t>/</w:t>
            </w:r>
            <w:r>
              <w:rPr>
                <w:rFonts w:hint="eastAsia" w:ascii="楷体" w:hAnsi="楷体" w:eastAsia="楷体"/>
                <w:color w:val="000000"/>
                <w:sz w:val="24"/>
                <w:szCs w:val="21"/>
              </w:rPr>
              <w:t>考核期间应收的三次保费</w:t>
            </w:r>
            <w:r>
              <w:rPr>
                <w:rFonts w:ascii="楷体" w:hAnsi="楷体" w:eastAsia="楷体"/>
                <w:color w:val="000000"/>
                <w:sz w:val="24"/>
                <w:szCs w:val="21"/>
              </w:rPr>
              <w:t xml:space="preserve">                                                      </w:t>
            </w:r>
          </w:p>
        </w:tc>
        <w:tc>
          <w:tcPr>
            <w:tcW w:w="3632" w:type="dxa"/>
            <w:noWrap w:val="0"/>
            <w:vAlign w:val="top"/>
          </w:tcPr>
          <w:p>
            <w:pPr>
              <w:spacing w:line="360" w:lineRule="auto"/>
              <w:jc w:val="center"/>
              <w:rPr>
                <w:rFonts w:ascii="楷体" w:hAnsi="楷体" w:eastAsia="楷体"/>
                <w:color w:val="000000"/>
                <w:sz w:val="24"/>
                <w:szCs w:val="21"/>
              </w:rPr>
            </w:pPr>
            <w:r>
              <w:rPr>
                <w:rFonts w:hint="eastAsia" w:ascii="楷体" w:hAnsi="楷体" w:eastAsia="楷体"/>
                <w:color w:val="000000"/>
                <w:sz w:val="24"/>
                <w:szCs w:val="21"/>
              </w:rPr>
              <w:t>信息技术部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068" w:type="dxa"/>
            <w:noWrap w:val="0"/>
            <w:vAlign w:val="top"/>
          </w:tcPr>
          <w:p>
            <w:pPr>
              <w:spacing w:line="360" w:lineRule="auto"/>
              <w:jc w:val="center"/>
              <w:rPr>
                <w:rFonts w:ascii="楷体" w:hAnsi="楷体" w:eastAsia="楷体"/>
                <w:color w:val="000000"/>
                <w:sz w:val="24"/>
                <w:szCs w:val="21"/>
              </w:rPr>
            </w:pPr>
            <w:r>
              <w:rPr>
                <w:rFonts w:hint="eastAsia" w:ascii="楷体" w:hAnsi="楷体" w:eastAsia="楷体"/>
                <w:color w:val="000000"/>
                <w:sz w:val="24"/>
                <w:szCs w:val="21"/>
              </w:rPr>
              <w:t>续保率</w:t>
            </w:r>
          </w:p>
        </w:tc>
        <w:tc>
          <w:tcPr>
            <w:tcW w:w="6300" w:type="dxa"/>
            <w:noWrap w:val="0"/>
            <w:vAlign w:val="top"/>
          </w:tcPr>
          <w:p>
            <w:pPr>
              <w:spacing w:line="360" w:lineRule="auto"/>
              <w:jc w:val="center"/>
              <w:rPr>
                <w:rFonts w:ascii="楷体" w:hAnsi="楷体" w:eastAsia="楷体"/>
                <w:color w:val="000000"/>
                <w:sz w:val="24"/>
                <w:szCs w:val="21"/>
              </w:rPr>
            </w:pPr>
            <w:r>
              <w:rPr>
                <w:rFonts w:hint="eastAsia" w:ascii="楷体" w:hAnsi="楷体" w:eastAsia="楷体"/>
                <w:color w:val="000000"/>
                <w:sz w:val="24"/>
                <w:szCs w:val="21"/>
              </w:rPr>
              <w:t>(续保实收首期件数</w:t>
            </w:r>
            <w:r>
              <w:rPr>
                <w:rFonts w:ascii="楷体" w:hAnsi="楷体" w:eastAsia="楷体"/>
                <w:color w:val="000000"/>
                <w:sz w:val="24"/>
                <w:szCs w:val="21"/>
              </w:rPr>
              <w:t>/</w:t>
            </w:r>
            <w:r>
              <w:rPr>
                <w:rFonts w:hint="eastAsia" w:ascii="楷体" w:hAnsi="楷体" w:eastAsia="楷体"/>
                <w:color w:val="000000"/>
                <w:sz w:val="24"/>
                <w:szCs w:val="21"/>
              </w:rPr>
              <w:t>续保应收首期件数)*100%</w:t>
            </w:r>
          </w:p>
        </w:tc>
        <w:tc>
          <w:tcPr>
            <w:tcW w:w="3632" w:type="dxa"/>
            <w:noWrap w:val="0"/>
            <w:vAlign w:val="top"/>
          </w:tcPr>
          <w:p>
            <w:pPr>
              <w:spacing w:line="360" w:lineRule="auto"/>
              <w:jc w:val="center"/>
              <w:rPr>
                <w:rFonts w:ascii="楷体" w:hAnsi="楷体" w:eastAsia="楷体"/>
                <w:color w:val="000000"/>
                <w:sz w:val="24"/>
                <w:szCs w:val="21"/>
              </w:rPr>
            </w:pPr>
            <w:r>
              <w:rPr>
                <w:rFonts w:hint="eastAsia" w:ascii="楷体" w:hAnsi="楷体" w:eastAsia="楷体"/>
                <w:color w:val="000000"/>
                <w:sz w:val="24"/>
                <w:szCs w:val="21"/>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068" w:type="dxa"/>
            <w:noWrap w:val="0"/>
            <w:vAlign w:val="top"/>
          </w:tcPr>
          <w:p>
            <w:pPr>
              <w:spacing w:line="360" w:lineRule="auto"/>
              <w:jc w:val="center"/>
              <w:rPr>
                <w:rFonts w:ascii="楷体" w:hAnsi="楷体" w:eastAsia="楷体"/>
                <w:color w:val="000000"/>
                <w:sz w:val="24"/>
                <w:szCs w:val="21"/>
              </w:rPr>
            </w:pPr>
            <w:r>
              <w:rPr>
                <w:rFonts w:hint="eastAsia" w:ascii="楷体" w:hAnsi="楷体" w:eastAsia="楷体"/>
                <w:color w:val="000000"/>
                <w:sz w:val="24"/>
                <w:szCs w:val="21"/>
              </w:rPr>
              <w:t>出租率</w:t>
            </w:r>
          </w:p>
        </w:tc>
        <w:tc>
          <w:tcPr>
            <w:tcW w:w="6300" w:type="dxa"/>
            <w:noWrap w:val="0"/>
            <w:vAlign w:val="top"/>
          </w:tcPr>
          <w:p>
            <w:pPr>
              <w:spacing w:line="360" w:lineRule="auto"/>
              <w:jc w:val="center"/>
              <w:rPr>
                <w:rFonts w:ascii="楷体" w:hAnsi="楷体" w:eastAsia="楷体"/>
                <w:color w:val="000000"/>
                <w:sz w:val="24"/>
                <w:szCs w:val="21"/>
              </w:rPr>
            </w:pPr>
            <w:r>
              <w:rPr>
                <w:rFonts w:hint="eastAsia" w:ascii="楷体" w:hAnsi="楷体" w:eastAsia="楷体"/>
                <w:color w:val="000000"/>
                <w:sz w:val="24"/>
                <w:szCs w:val="21"/>
              </w:rPr>
              <w:t>出租的面积</w:t>
            </w:r>
            <w:r>
              <w:rPr>
                <w:rFonts w:ascii="楷体" w:hAnsi="楷体" w:eastAsia="楷体"/>
                <w:color w:val="000000"/>
                <w:sz w:val="24"/>
                <w:szCs w:val="21"/>
              </w:rPr>
              <w:t>/</w:t>
            </w:r>
            <w:r>
              <w:rPr>
                <w:rFonts w:hint="eastAsia" w:ascii="楷体" w:hAnsi="楷体" w:eastAsia="楷体"/>
                <w:color w:val="000000"/>
                <w:sz w:val="24"/>
                <w:szCs w:val="21"/>
              </w:rPr>
              <w:t>应出租的面积</w:t>
            </w:r>
          </w:p>
        </w:tc>
        <w:tc>
          <w:tcPr>
            <w:tcW w:w="3632" w:type="dxa"/>
            <w:noWrap w:val="0"/>
            <w:vAlign w:val="top"/>
          </w:tcPr>
          <w:p>
            <w:pPr>
              <w:spacing w:line="360" w:lineRule="auto"/>
              <w:jc w:val="center"/>
              <w:rPr>
                <w:rFonts w:ascii="楷体" w:hAnsi="楷体" w:eastAsia="楷体"/>
                <w:color w:val="000000"/>
                <w:sz w:val="24"/>
                <w:szCs w:val="21"/>
              </w:rPr>
            </w:pPr>
            <w:r>
              <w:rPr>
                <w:rFonts w:hint="eastAsia" w:ascii="楷体" w:hAnsi="楷体" w:eastAsia="楷体"/>
                <w:color w:val="000000"/>
                <w:sz w:val="24"/>
                <w:szCs w:val="21"/>
              </w:rPr>
              <w:t>物控中心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068" w:type="dxa"/>
            <w:noWrap w:val="0"/>
            <w:vAlign w:val="top"/>
          </w:tcPr>
          <w:p>
            <w:pPr>
              <w:spacing w:line="360" w:lineRule="auto"/>
              <w:jc w:val="center"/>
              <w:rPr>
                <w:rFonts w:ascii="楷体" w:hAnsi="楷体" w:eastAsia="楷体"/>
                <w:color w:val="000000"/>
                <w:sz w:val="24"/>
                <w:szCs w:val="21"/>
              </w:rPr>
            </w:pPr>
            <w:r>
              <w:rPr>
                <w:rFonts w:hint="eastAsia" w:ascii="楷体" w:hAnsi="楷体" w:eastAsia="楷体"/>
                <w:color w:val="000000"/>
                <w:sz w:val="24"/>
                <w:szCs w:val="21"/>
              </w:rPr>
              <w:t>市场知名度</w:t>
            </w:r>
          </w:p>
        </w:tc>
        <w:tc>
          <w:tcPr>
            <w:tcW w:w="6300" w:type="dxa"/>
            <w:noWrap w:val="0"/>
            <w:vAlign w:val="top"/>
          </w:tcPr>
          <w:p>
            <w:pPr>
              <w:spacing w:line="360" w:lineRule="auto"/>
              <w:jc w:val="center"/>
              <w:rPr>
                <w:rFonts w:ascii="楷体" w:hAnsi="楷体" w:eastAsia="楷体"/>
                <w:color w:val="000000"/>
                <w:sz w:val="24"/>
                <w:szCs w:val="21"/>
              </w:rPr>
            </w:pPr>
            <w:r>
              <w:rPr>
                <w:rFonts w:hint="eastAsia" w:ascii="楷体" w:hAnsi="楷体" w:eastAsia="楷体"/>
                <w:color w:val="000000"/>
                <w:sz w:val="24"/>
                <w:szCs w:val="21"/>
              </w:rPr>
              <w:t>接受随机调查的客户对公司知名度评分的算术平均值</w:t>
            </w:r>
          </w:p>
        </w:tc>
        <w:tc>
          <w:tcPr>
            <w:tcW w:w="3632" w:type="dxa"/>
            <w:noWrap w:val="0"/>
            <w:vAlign w:val="top"/>
          </w:tcPr>
          <w:p>
            <w:pPr>
              <w:spacing w:line="360" w:lineRule="auto"/>
              <w:jc w:val="center"/>
              <w:rPr>
                <w:rFonts w:ascii="楷体" w:hAnsi="楷体" w:eastAsia="楷体"/>
                <w:color w:val="000000"/>
                <w:sz w:val="24"/>
                <w:szCs w:val="21"/>
              </w:rPr>
            </w:pPr>
            <w:r>
              <w:rPr>
                <w:rFonts w:hint="eastAsia" w:ascii="楷体" w:hAnsi="楷体" w:eastAsia="楷体"/>
                <w:color w:val="000000"/>
                <w:sz w:val="24"/>
                <w:szCs w:val="21"/>
              </w:rPr>
              <w:t>问卷调查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068" w:type="dxa"/>
            <w:noWrap w:val="0"/>
            <w:vAlign w:val="top"/>
          </w:tcPr>
          <w:p>
            <w:pPr>
              <w:spacing w:line="360" w:lineRule="auto"/>
              <w:jc w:val="center"/>
              <w:rPr>
                <w:rFonts w:ascii="楷体" w:hAnsi="楷体" w:eastAsia="楷体"/>
                <w:color w:val="000000"/>
                <w:sz w:val="24"/>
                <w:szCs w:val="21"/>
              </w:rPr>
            </w:pPr>
            <w:r>
              <w:rPr>
                <w:rFonts w:hint="eastAsia" w:ascii="楷体" w:hAnsi="楷体" w:eastAsia="楷体"/>
                <w:color w:val="000000"/>
                <w:sz w:val="24"/>
                <w:szCs w:val="21"/>
              </w:rPr>
              <w:t>媒体正面爆光次数</w:t>
            </w:r>
          </w:p>
        </w:tc>
        <w:tc>
          <w:tcPr>
            <w:tcW w:w="6300" w:type="dxa"/>
            <w:noWrap w:val="0"/>
            <w:vAlign w:val="top"/>
          </w:tcPr>
          <w:p>
            <w:pPr>
              <w:spacing w:line="360" w:lineRule="auto"/>
              <w:jc w:val="center"/>
              <w:rPr>
                <w:rFonts w:ascii="楷体" w:hAnsi="楷体" w:eastAsia="楷体"/>
                <w:color w:val="000000"/>
                <w:sz w:val="24"/>
                <w:szCs w:val="21"/>
              </w:rPr>
            </w:pPr>
            <w:r>
              <w:rPr>
                <w:rFonts w:hint="eastAsia" w:ascii="楷体" w:hAnsi="楷体" w:eastAsia="楷体"/>
                <w:color w:val="000000"/>
                <w:sz w:val="24"/>
                <w:szCs w:val="21"/>
              </w:rPr>
              <w:t>在公众媒体上发表宣传公司的新闻报道及宣传广告的次数</w:t>
            </w:r>
          </w:p>
        </w:tc>
        <w:tc>
          <w:tcPr>
            <w:tcW w:w="3632" w:type="dxa"/>
            <w:noWrap w:val="0"/>
            <w:vAlign w:val="top"/>
          </w:tcPr>
          <w:p>
            <w:pPr>
              <w:spacing w:line="360" w:lineRule="auto"/>
              <w:jc w:val="center"/>
              <w:rPr>
                <w:rFonts w:ascii="楷体" w:hAnsi="楷体" w:eastAsia="楷体"/>
                <w:color w:val="000000"/>
                <w:sz w:val="24"/>
                <w:szCs w:val="21"/>
              </w:rPr>
            </w:pPr>
            <w:r>
              <w:rPr>
                <w:rFonts w:hint="eastAsia" w:ascii="楷体" w:hAnsi="楷体" w:eastAsia="楷体"/>
                <w:color w:val="000000"/>
                <w:sz w:val="24"/>
                <w:szCs w:val="21"/>
              </w:rPr>
              <w:t>公众媒体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068" w:type="dxa"/>
            <w:noWrap w:val="0"/>
            <w:vAlign w:val="top"/>
          </w:tcPr>
          <w:p>
            <w:pPr>
              <w:spacing w:line="360" w:lineRule="auto"/>
              <w:jc w:val="center"/>
              <w:rPr>
                <w:rFonts w:ascii="楷体" w:hAnsi="楷体" w:eastAsia="楷体"/>
                <w:color w:val="000000"/>
                <w:sz w:val="24"/>
                <w:szCs w:val="21"/>
              </w:rPr>
            </w:pPr>
            <w:r>
              <w:rPr>
                <w:rFonts w:hint="eastAsia" w:ascii="楷体" w:hAnsi="楷体" w:eastAsia="楷体"/>
                <w:color w:val="000000"/>
                <w:sz w:val="24"/>
                <w:szCs w:val="21"/>
              </w:rPr>
              <w:t>危机公关出现次数及处理情况</w:t>
            </w:r>
          </w:p>
        </w:tc>
        <w:tc>
          <w:tcPr>
            <w:tcW w:w="6300" w:type="dxa"/>
            <w:noWrap w:val="0"/>
            <w:vAlign w:val="top"/>
          </w:tcPr>
          <w:p>
            <w:pPr>
              <w:spacing w:line="360" w:lineRule="auto"/>
              <w:jc w:val="center"/>
              <w:rPr>
                <w:rFonts w:ascii="楷体" w:hAnsi="楷体" w:eastAsia="楷体"/>
                <w:color w:val="000000"/>
                <w:sz w:val="24"/>
                <w:szCs w:val="21"/>
              </w:rPr>
            </w:pPr>
            <w:r>
              <w:rPr>
                <w:rFonts w:hint="eastAsia" w:ascii="楷体" w:hAnsi="楷体" w:eastAsia="楷体"/>
                <w:color w:val="000000"/>
                <w:sz w:val="24"/>
                <w:szCs w:val="21"/>
              </w:rPr>
              <w:t>总公司级危机事件在中央级、全国性媒体出现的产生重大负面影响的报导次数及处理情况</w:t>
            </w:r>
          </w:p>
        </w:tc>
        <w:tc>
          <w:tcPr>
            <w:tcW w:w="3632" w:type="dxa"/>
            <w:noWrap w:val="0"/>
            <w:vAlign w:val="top"/>
          </w:tcPr>
          <w:p>
            <w:pPr>
              <w:spacing w:line="360" w:lineRule="auto"/>
              <w:jc w:val="center"/>
              <w:rPr>
                <w:rFonts w:ascii="楷体" w:hAnsi="楷体" w:eastAsia="楷体"/>
                <w:color w:val="000000"/>
                <w:sz w:val="24"/>
                <w:szCs w:val="21"/>
              </w:rPr>
            </w:pPr>
            <w:r>
              <w:rPr>
                <w:rFonts w:hint="eastAsia" w:ascii="楷体" w:hAnsi="楷体" w:eastAsia="楷体"/>
                <w:color w:val="000000"/>
                <w:sz w:val="24"/>
                <w:szCs w:val="21"/>
              </w:rPr>
              <w:t>公众媒体、上级领导评价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068" w:type="dxa"/>
            <w:noWrap w:val="0"/>
            <w:vAlign w:val="top"/>
          </w:tcPr>
          <w:p>
            <w:pPr>
              <w:spacing w:line="360" w:lineRule="auto"/>
              <w:jc w:val="center"/>
              <w:rPr>
                <w:rFonts w:ascii="楷体" w:hAnsi="楷体" w:eastAsia="楷体"/>
                <w:color w:val="000000"/>
                <w:sz w:val="24"/>
                <w:szCs w:val="21"/>
              </w:rPr>
            </w:pPr>
            <w:r>
              <w:rPr>
                <w:rFonts w:hint="eastAsia" w:ascii="楷体" w:hAnsi="楷体" w:eastAsia="楷体"/>
                <w:color w:val="000000"/>
                <w:sz w:val="24"/>
                <w:szCs w:val="21"/>
              </w:rPr>
              <w:t>公共关系维护状况评定</w:t>
            </w:r>
          </w:p>
        </w:tc>
        <w:tc>
          <w:tcPr>
            <w:tcW w:w="6300" w:type="dxa"/>
            <w:noWrap w:val="0"/>
            <w:vAlign w:val="top"/>
          </w:tcPr>
          <w:p>
            <w:pPr>
              <w:spacing w:line="360" w:lineRule="auto"/>
              <w:jc w:val="center"/>
              <w:rPr>
                <w:rFonts w:ascii="楷体" w:hAnsi="楷体" w:eastAsia="楷体"/>
                <w:color w:val="000000"/>
                <w:sz w:val="24"/>
                <w:szCs w:val="21"/>
              </w:rPr>
            </w:pPr>
            <w:r>
              <w:rPr>
                <w:rFonts w:hint="eastAsia" w:ascii="楷体" w:hAnsi="楷体" w:eastAsia="楷体"/>
                <w:color w:val="000000"/>
                <w:sz w:val="24"/>
                <w:szCs w:val="21"/>
              </w:rPr>
              <w:t>与媒体、保险学会及社会保持良好沟通和合作的状况</w:t>
            </w:r>
          </w:p>
        </w:tc>
        <w:tc>
          <w:tcPr>
            <w:tcW w:w="3632" w:type="dxa"/>
            <w:noWrap w:val="0"/>
            <w:vAlign w:val="top"/>
          </w:tcPr>
          <w:p>
            <w:pPr>
              <w:spacing w:line="360" w:lineRule="auto"/>
              <w:jc w:val="center"/>
              <w:rPr>
                <w:rFonts w:ascii="楷体" w:hAnsi="楷体" w:eastAsia="楷体"/>
                <w:color w:val="000000"/>
                <w:sz w:val="24"/>
                <w:szCs w:val="21"/>
              </w:rPr>
            </w:pPr>
            <w:r>
              <w:rPr>
                <w:rFonts w:hint="eastAsia" w:ascii="楷体" w:hAnsi="楷体" w:eastAsia="楷体"/>
                <w:color w:val="000000"/>
                <w:sz w:val="24"/>
                <w:szCs w:val="21"/>
              </w:rPr>
              <w:t>上级领导评价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068"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网站用户满意度</w:t>
            </w:r>
          </w:p>
        </w:tc>
        <w:tc>
          <w:tcPr>
            <w:tcW w:w="6300" w:type="dxa"/>
            <w:noWrap w:val="0"/>
            <w:vAlign w:val="top"/>
          </w:tcPr>
          <w:p>
            <w:pPr>
              <w:spacing w:line="360" w:lineRule="auto"/>
              <w:jc w:val="center"/>
              <w:rPr>
                <w:rFonts w:hint="eastAsia" w:ascii="楷体" w:hAnsi="楷体" w:eastAsia="楷体"/>
                <w:color w:val="000000"/>
                <w:sz w:val="24"/>
                <w:szCs w:val="21"/>
              </w:rPr>
            </w:pPr>
            <w:r>
              <w:rPr>
                <w:rFonts w:ascii="楷体" w:hAnsi="楷体" w:eastAsia="楷体"/>
                <w:color w:val="000000"/>
                <w:sz w:val="24"/>
                <w:szCs w:val="21"/>
              </w:rPr>
              <w:t>对客户进行随机调查的网站满意度评分的算术平均值</w:t>
            </w:r>
          </w:p>
        </w:tc>
        <w:tc>
          <w:tcPr>
            <w:tcW w:w="3632" w:type="dxa"/>
            <w:noWrap w:val="0"/>
            <w:vAlign w:val="top"/>
          </w:tcPr>
          <w:p>
            <w:pPr>
              <w:spacing w:line="360" w:lineRule="auto"/>
              <w:jc w:val="center"/>
              <w:rPr>
                <w:rFonts w:hint="eastAsia" w:ascii="楷体" w:hAnsi="楷体" w:eastAsia="楷体"/>
                <w:color w:val="000000"/>
                <w:sz w:val="24"/>
                <w:szCs w:val="21"/>
              </w:rPr>
            </w:pPr>
            <w:r>
              <w:rPr>
                <w:rFonts w:ascii="楷体" w:hAnsi="楷体" w:eastAsia="楷体"/>
                <w:color w:val="000000"/>
                <w:sz w:val="24"/>
                <w:szCs w:val="21"/>
              </w:rPr>
              <w:t>支持满意度调研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068"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客户满意度</w:t>
            </w:r>
          </w:p>
        </w:tc>
        <w:tc>
          <w:tcPr>
            <w:tcW w:w="6300" w:type="dxa"/>
            <w:noWrap w:val="0"/>
            <w:vAlign w:val="top"/>
          </w:tcPr>
          <w:p>
            <w:pPr>
              <w:spacing w:line="360" w:lineRule="auto"/>
              <w:jc w:val="center"/>
              <w:rPr>
                <w:rFonts w:hint="eastAsia" w:ascii="楷体" w:hAnsi="楷体" w:eastAsia="楷体"/>
                <w:color w:val="000000"/>
                <w:sz w:val="24"/>
                <w:szCs w:val="21"/>
              </w:rPr>
            </w:pPr>
            <w:r>
              <w:rPr>
                <w:rFonts w:ascii="楷体" w:hAnsi="楷体" w:eastAsia="楷体"/>
                <w:color w:val="000000"/>
                <w:sz w:val="24"/>
                <w:szCs w:val="21"/>
              </w:rPr>
              <w:t>接受随机调研的客户和代理人对服务满意度评分的算术平均值</w:t>
            </w:r>
          </w:p>
        </w:tc>
        <w:tc>
          <w:tcPr>
            <w:tcW w:w="3632" w:type="dxa"/>
            <w:noWrap w:val="0"/>
            <w:vAlign w:val="top"/>
          </w:tcPr>
          <w:p>
            <w:pPr>
              <w:spacing w:line="360" w:lineRule="auto"/>
              <w:jc w:val="center"/>
              <w:rPr>
                <w:rFonts w:hint="eastAsia" w:ascii="楷体" w:hAnsi="楷体" w:eastAsia="楷体"/>
                <w:color w:val="000000"/>
                <w:sz w:val="24"/>
                <w:szCs w:val="21"/>
              </w:rPr>
            </w:pPr>
            <w:r>
              <w:rPr>
                <w:rFonts w:ascii="楷体" w:hAnsi="楷体" w:eastAsia="楷体"/>
                <w:color w:val="000000"/>
                <w:sz w:val="24"/>
                <w:szCs w:val="21"/>
              </w:rPr>
              <w:t>客户满意度调研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068"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客户投诉解决的满意率</w:t>
            </w:r>
          </w:p>
        </w:tc>
        <w:tc>
          <w:tcPr>
            <w:tcW w:w="6300"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w:t>
            </w:r>
            <w:r>
              <w:rPr>
                <w:rFonts w:ascii="楷体" w:hAnsi="楷体" w:eastAsia="楷体"/>
                <w:color w:val="000000"/>
                <w:sz w:val="24"/>
                <w:szCs w:val="21"/>
              </w:rPr>
              <w:t>客户对解决结果满意的投诉数量/总投诉数量</w:t>
            </w:r>
            <w:r>
              <w:rPr>
                <w:rFonts w:hint="eastAsia" w:ascii="楷体" w:hAnsi="楷体" w:eastAsia="楷体"/>
                <w:color w:val="000000"/>
                <w:sz w:val="24"/>
                <w:szCs w:val="21"/>
              </w:rPr>
              <w:t>)*100%</w:t>
            </w:r>
          </w:p>
        </w:tc>
        <w:tc>
          <w:tcPr>
            <w:tcW w:w="3632" w:type="dxa"/>
            <w:noWrap w:val="0"/>
            <w:vAlign w:val="top"/>
          </w:tcPr>
          <w:p>
            <w:pPr>
              <w:spacing w:line="360" w:lineRule="auto"/>
              <w:jc w:val="center"/>
              <w:rPr>
                <w:rFonts w:hint="eastAsia" w:ascii="楷体" w:hAnsi="楷体" w:eastAsia="楷体"/>
                <w:color w:val="000000"/>
                <w:sz w:val="24"/>
                <w:szCs w:val="21"/>
              </w:rPr>
            </w:pPr>
            <w:r>
              <w:rPr>
                <w:rFonts w:ascii="楷体" w:hAnsi="楷体" w:eastAsia="楷体"/>
                <w:color w:val="000000"/>
                <w:sz w:val="24"/>
                <w:szCs w:val="21"/>
              </w:rPr>
              <w:t>客户投诉记录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068"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服务推广数量的达成率</w:t>
            </w:r>
          </w:p>
        </w:tc>
        <w:tc>
          <w:tcPr>
            <w:tcW w:w="6300" w:type="dxa"/>
            <w:noWrap w:val="0"/>
            <w:vAlign w:val="top"/>
          </w:tcPr>
          <w:p>
            <w:pPr>
              <w:spacing w:line="360" w:lineRule="auto"/>
              <w:jc w:val="center"/>
              <w:rPr>
                <w:rFonts w:hint="eastAsia" w:ascii="楷体" w:hAnsi="楷体" w:eastAsia="楷体"/>
                <w:color w:val="000000"/>
                <w:sz w:val="24"/>
                <w:szCs w:val="21"/>
              </w:rPr>
            </w:pPr>
            <w:r>
              <w:rPr>
                <w:rFonts w:ascii="楷体" w:hAnsi="楷体" w:eastAsia="楷体"/>
                <w:color w:val="000000"/>
                <w:sz w:val="24"/>
                <w:szCs w:val="21"/>
              </w:rPr>
              <w:t>（服务实际推广数量/服务计划推广数量）*100%</w:t>
            </w:r>
          </w:p>
        </w:tc>
        <w:tc>
          <w:tcPr>
            <w:tcW w:w="3632" w:type="dxa"/>
            <w:noWrap w:val="0"/>
            <w:vAlign w:val="top"/>
          </w:tcPr>
          <w:p>
            <w:pPr>
              <w:spacing w:line="360" w:lineRule="auto"/>
              <w:jc w:val="center"/>
              <w:rPr>
                <w:rFonts w:hint="eastAsia" w:ascii="楷体" w:hAnsi="楷体" w:eastAsia="楷体"/>
                <w:color w:val="000000"/>
                <w:sz w:val="24"/>
                <w:szCs w:val="21"/>
              </w:rPr>
            </w:pPr>
            <w:r>
              <w:rPr>
                <w:rFonts w:ascii="楷体" w:hAnsi="楷体" w:eastAsia="楷体"/>
                <w:color w:val="000000"/>
                <w:sz w:val="24"/>
                <w:szCs w:val="21"/>
              </w:rPr>
              <w:t>服务统计资料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068"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新客户增加数量</w:t>
            </w:r>
          </w:p>
        </w:tc>
        <w:tc>
          <w:tcPr>
            <w:tcW w:w="6300"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w:t>
            </w:r>
            <w:r>
              <w:rPr>
                <w:rFonts w:ascii="楷体" w:hAnsi="楷体" w:eastAsia="楷体"/>
                <w:color w:val="000000"/>
                <w:sz w:val="24"/>
                <w:szCs w:val="21"/>
              </w:rPr>
              <w:t>本期新客户数/总客户数</w:t>
            </w:r>
            <w:r>
              <w:rPr>
                <w:rFonts w:hint="eastAsia" w:ascii="楷体" w:hAnsi="楷体" w:eastAsia="楷体"/>
                <w:color w:val="000000"/>
                <w:sz w:val="24"/>
                <w:szCs w:val="21"/>
              </w:rPr>
              <w:t>)</w:t>
            </w:r>
            <w:r>
              <w:rPr>
                <w:rFonts w:ascii="楷体" w:hAnsi="楷体" w:eastAsia="楷体"/>
                <w:color w:val="000000"/>
                <w:sz w:val="24"/>
                <w:szCs w:val="21"/>
              </w:rPr>
              <w:t>*100%</w:t>
            </w:r>
          </w:p>
        </w:tc>
        <w:tc>
          <w:tcPr>
            <w:tcW w:w="3632" w:type="dxa"/>
            <w:noWrap w:val="0"/>
            <w:vAlign w:val="top"/>
          </w:tcPr>
          <w:p>
            <w:pPr>
              <w:spacing w:line="360" w:lineRule="auto"/>
              <w:jc w:val="center"/>
              <w:rPr>
                <w:rFonts w:hint="eastAsia" w:ascii="楷体" w:hAnsi="楷体" w:eastAsia="楷体"/>
                <w:color w:val="000000"/>
                <w:sz w:val="24"/>
                <w:szCs w:val="21"/>
              </w:rPr>
            </w:pPr>
            <w:r>
              <w:rPr>
                <w:rFonts w:ascii="楷体" w:hAnsi="楷体" w:eastAsia="楷体"/>
                <w:color w:val="000000"/>
                <w:sz w:val="24"/>
                <w:szCs w:val="21"/>
              </w:rPr>
              <w:t>本期新客户数，客户总数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068"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最终客户数量</w:t>
            </w:r>
          </w:p>
        </w:tc>
        <w:tc>
          <w:tcPr>
            <w:tcW w:w="6300"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w:t>
            </w:r>
            <w:r>
              <w:rPr>
                <w:rFonts w:ascii="楷体" w:hAnsi="楷体" w:eastAsia="楷体"/>
                <w:color w:val="000000"/>
                <w:sz w:val="24"/>
                <w:szCs w:val="21"/>
              </w:rPr>
              <w:t>本期老客户数/客户总数</w:t>
            </w:r>
            <w:r>
              <w:rPr>
                <w:rFonts w:hint="eastAsia" w:ascii="楷体" w:hAnsi="楷体" w:eastAsia="楷体"/>
                <w:color w:val="000000"/>
                <w:sz w:val="24"/>
                <w:szCs w:val="21"/>
              </w:rPr>
              <w:t>)</w:t>
            </w:r>
            <w:r>
              <w:rPr>
                <w:rFonts w:ascii="楷体" w:hAnsi="楷体" w:eastAsia="楷体"/>
                <w:color w:val="000000"/>
                <w:sz w:val="24"/>
                <w:szCs w:val="21"/>
              </w:rPr>
              <w:t>*100%</w:t>
            </w:r>
          </w:p>
        </w:tc>
        <w:tc>
          <w:tcPr>
            <w:tcW w:w="3632" w:type="dxa"/>
            <w:noWrap w:val="0"/>
            <w:vAlign w:val="top"/>
          </w:tcPr>
          <w:p>
            <w:pPr>
              <w:spacing w:line="360" w:lineRule="auto"/>
              <w:jc w:val="center"/>
              <w:rPr>
                <w:rFonts w:hint="eastAsia" w:ascii="楷体" w:hAnsi="楷体" w:eastAsia="楷体"/>
                <w:color w:val="000000"/>
                <w:sz w:val="24"/>
                <w:szCs w:val="21"/>
              </w:rPr>
            </w:pPr>
            <w:r>
              <w:rPr>
                <w:rFonts w:ascii="楷体" w:hAnsi="楷体" w:eastAsia="楷体"/>
                <w:color w:val="000000"/>
                <w:sz w:val="24"/>
                <w:szCs w:val="21"/>
              </w:rPr>
              <w:t>本期老客户数/客户总数*100%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068"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新产品的开发数量</w:t>
            </w:r>
          </w:p>
        </w:tc>
        <w:tc>
          <w:tcPr>
            <w:tcW w:w="6300" w:type="dxa"/>
            <w:noWrap w:val="0"/>
            <w:vAlign w:val="top"/>
          </w:tcPr>
          <w:p>
            <w:pPr>
              <w:spacing w:line="360" w:lineRule="auto"/>
              <w:jc w:val="center"/>
              <w:rPr>
                <w:rFonts w:hint="eastAsia" w:ascii="楷体" w:hAnsi="楷体" w:eastAsia="楷体"/>
                <w:color w:val="000000"/>
                <w:sz w:val="24"/>
                <w:szCs w:val="21"/>
              </w:rPr>
            </w:pPr>
            <w:r>
              <w:rPr>
                <w:rFonts w:ascii="楷体" w:hAnsi="楷体" w:eastAsia="楷体"/>
                <w:color w:val="000000"/>
                <w:sz w:val="24"/>
                <w:szCs w:val="21"/>
              </w:rPr>
              <w:t>产品上市的实际数量</w:t>
            </w:r>
          </w:p>
        </w:tc>
        <w:tc>
          <w:tcPr>
            <w:tcW w:w="3632" w:type="dxa"/>
            <w:noWrap w:val="0"/>
            <w:vAlign w:val="top"/>
          </w:tcPr>
          <w:p>
            <w:pPr>
              <w:spacing w:line="360" w:lineRule="auto"/>
              <w:jc w:val="center"/>
              <w:rPr>
                <w:rFonts w:hint="eastAsia" w:ascii="楷体" w:hAnsi="楷体" w:eastAsia="楷体"/>
                <w:color w:val="000000"/>
                <w:sz w:val="24"/>
                <w:szCs w:val="21"/>
              </w:rPr>
            </w:pPr>
            <w:r>
              <w:rPr>
                <w:rFonts w:ascii="楷体" w:hAnsi="楷体" w:eastAsia="楷体"/>
                <w:color w:val="000000"/>
                <w:sz w:val="24"/>
                <w:szCs w:val="21"/>
              </w:rPr>
              <w:t>销售资料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068"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技术服务满意度</w:t>
            </w:r>
          </w:p>
        </w:tc>
        <w:tc>
          <w:tcPr>
            <w:tcW w:w="6300" w:type="dxa"/>
            <w:noWrap w:val="0"/>
            <w:vAlign w:val="top"/>
          </w:tcPr>
          <w:p>
            <w:pPr>
              <w:spacing w:line="360" w:lineRule="auto"/>
              <w:jc w:val="center"/>
              <w:rPr>
                <w:rFonts w:hint="eastAsia" w:ascii="楷体" w:hAnsi="楷体" w:eastAsia="楷体"/>
                <w:color w:val="000000"/>
                <w:sz w:val="24"/>
                <w:szCs w:val="21"/>
              </w:rPr>
            </w:pPr>
            <w:r>
              <w:rPr>
                <w:rFonts w:ascii="楷体" w:hAnsi="楷体" w:eastAsia="楷体"/>
                <w:color w:val="000000"/>
                <w:sz w:val="24"/>
                <w:szCs w:val="21"/>
              </w:rPr>
              <w:t>对客户进行随机调查的技术服务满意度评分的算术平均值</w:t>
            </w:r>
          </w:p>
        </w:tc>
        <w:tc>
          <w:tcPr>
            <w:tcW w:w="3632" w:type="dxa"/>
            <w:noWrap w:val="0"/>
            <w:vAlign w:val="top"/>
          </w:tcPr>
          <w:p>
            <w:pPr>
              <w:spacing w:line="360" w:lineRule="auto"/>
              <w:jc w:val="center"/>
              <w:rPr>
                <w:rFonts w:hint="eastAsia" w:ascii="楷体" w:hAnsi="楷体" w:eastAsia="楷体"/>
                <w:color w:val="000000"/>
                <w:sz w:val="24"/>
                <w:szCs w:val="21"/>
              </w:rPr>
            </w:pPr>
            <w:r>
              <w:rPr>
                <w:rFonts w:ascii="楷体" w:hAnsi="楷体" w:eastAsia="楷体"/>
                <w:color w:val="000000"/>
                <w:sz w:val="24"/>
                <w:szCs w:val="21"/>
              </w:rPr>
              <w:t>对客户技术服务满意度调查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068" w:type="dxa"/>
            <w:noWrap w:val="0"/>
            <w:vAlign w:val="top"/>
          </w:tcPr>
          <w:p>
            <w:pPr>
              <w:spacing w:line="360" w:lineRule="auto"/>
              <w:jc w:val="center"/>
              <w:rPr>
                <w:rFonts w:ascii="楷体" w:hAnsi="楷体" w:eastAsia="楷体"/>
                <w:color w:val="000000"/>
                <w:sz w:val="24"/>
                <w:szCs w:val="21"/>
              </w:rPr>
            </w:pPr>
            <w:r>
              <w:rPr>
                <w:rFonts w:hint="eastAsia" w:ascii="楷体" w:hAnsi="楷体" w:eastAsia="楷体"/>
                <w:color w:val="000000"/>
                <w:sz w:val="24"/>
                <w:szCs w:val="21"/>
              </w:rPr>
              <w:t>直销客户满意度</w:t>
            </w:r>
          </w:p>
        </w:tc>
        <w:tc>
          <w:tcPr>
            <w:tcW w:w="6300"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对</w:t>
            </w:r>
            <w:r>
              <w:rPr>
                <w:rFonts w:hint="eastAsia" w:ascii="楷体" w:hAnsi="楷体" w:eastAsia="楷体"/>
                <w:color w:val="000000"/>
                <w:sz w:val="24"/>
                <w:szCs w:val="21"/>
              </w:rPr>
              <w:t>直销</w:t>
            </w:r>
            <w:r>
              <w:rPr>
                <w:rFonts w:ascii="楷体" w:hAnsi="楷体" w:eastAsia="楷体"/>
                <w:color w:val="000000"/>
                <w:sz w:val="24"/>
                <w:szCs w:val="21"/>
              </w:rPr>
              <w:t>客户进行随机调查的满意度评分的算术平均值</w:t>
            </w:r>
          </w:p>
        </w:tc>
        <w:tc>
          <w:tcPr>
            <w:tcW w:w="3632" w:type="dxa"/>
            <w:noWrap w:val="0"/>
            <w:vAlign w:val="top"/>
          </w:tcPr>
          <w:p>
            <w:pPr>
              <w:spacing w:line="360" w:lineRule="auto"/>
              <w:jc w:val="center"/>
              <w:rPr>
                <w:rFonts w:ascii="楷体" w:hAnsi="楷体" w:eastAsia="楷体"/>
                <w:color w:val="000000"/>
                <w:sz w:val="24"/>
                <w:szCs w:val="21"/>
              </w:rPr>
            </w:pPr>
            <w:r>
              <w:rPr>
                <w:rFonts w:hint="eastAsia" w:ascii="楷体" w:hAnsi="楷体" w:eastAsia="楷体"/>
                <w:color w:val="000000"/>
                <w:sz w:val="24"/>
                <w:szCs w:val="21"/>
              </w:rPr>
              <w:t>综合管理部组织评估</w:t>
            </w:r>
          </w:p>
        </w:tc>
      </w:tr>
    </w:tbl>
    <w:p>
      <w:pPr>
        <w:spacing w:line="360" w:lineRule="auto"/>
        <w:jc w:val="center"/>
        <w:rPr>
          <w:rFonts w:hint="eastAsia" w:ascii="楷体" w:hAnsi="楷体" w:eastAsia="楷体"/>
          <w:color w:val="000000"/>
        </w:rPr>
      </w:pPr>
      <w:r>
        <w:rPr>
          <w:rFonts w:hint="eastAsia" w:ascii="楷体" w:hAnsi="楷体" w:eastAsia="楷体"/>
          <w:color w:val="000000"/>
        </w:rPr>
        <w:br w:type="page"/>
      </w:r>
      <w:r>
        <w:rPr>
          <w:rFonts w:hint="eastAsia" w:ascii="楷体" w:hAnsi="楷体" w:eastAsia="楷体"/>
          <w:color w:val="000000"/>
          <w:sz w:val="24"/>
          <w:szCs w:val="28"/>
        </w:rPr>
        <w:t xml:space="preserve">     内部营运类指标</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4"/>
        <w:gridCol w:w="6471"/>
        <w:gridCol w:w="2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shd w:val="clear" w:color="auto" w:fill="FFFF00"/>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关键绩效指标</w:t>
            </w:r>
          </w:p>
        </w:tc>
        <w:tc>
          <w:tcPr>
            <w:tcW w:w="6471" w:type="dxa"/>
            <w:shd w:val="clear" w:color="auto" w:fill="FFFF00"/>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指标定义/计算公式</w:t>
            </w:r>
          </w:p>
        </w:tc>
        <w:tc>
          <w:tcPr>
            <w:tcW w:w="2991" w:type="dxa"/>
            <w:shd w:val="clear" w:color="auto" w:fill="FFFF00"/>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数据来源</w:t>
            </w:r>
          </w:p>
        </w:tc>
      </w:tr>
      <w:tr>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ascii="楷体" w:hAnsi="楷体" w:eastAsia="楷体"/>
                <w:color w:val="000000"/>
                <w:sz w:val="24"/>
              </w:rPr>
              <w:t>书面的流程和制度所占的百分率(ISO标准)</w:t>
            </w:r>
          </w:p>
        </w:tc>
        <w:tc>
          <w:tcPr>
            <w:tcW w:w="647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(书面化的流程和制度数目</w:t>
            </w:r>
            <w:r>
              <w:rPr>
                <w:rFonts w:ascii="楷体" w:hAnsi="楷体" w:eastAsia="楷体"/>
                <w:color w:val="000000"/>
                <w:sz w:val="24"/>
              </w:rPr>
              <w:t>/所有需要制订的流程和制度总数</w:t>
            </w:r>
            <w:r>
              <w:rPr>
                <w:rFonts w:hint="eastAsia" w:ascii="楷体" w:hAnsi="楷体" w:eastAsia="楷体"/>
                <w:color w:val="000000"/>
                <w:sz w:val="24"/>
              </w:rPr>
              <w:t>)*100%</w:t>
            </w:r>
          </w:p>
        </w:tc>
        <w:tc>
          <w:tcPr>
            <w:tcW w:w="299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需书面化的流程与制度规定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ascii="楷体" w:hAnsi="楷体" w:eastAsia="楷体"/>
                <w:color w:val="000000"/>
                <w:sz w:val="24"/>
              </w:rPr>
              <w:t>工作目标按计划完成率</w:t>
            </w:r>
          </w:p>
        </w:tc>
        <w:tc>
          <w:tcPr>
            <w:tcW w:w="647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(实际完成工作量/计划完成量)*100%</w:t>
            </w:r>
          </w:p>
        </w:tc>
        <w:tc>
          <w:tcPr>
            <w:tcW w:w="299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工作记录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ascii="楷体" w:hAnsi="楷体" w:eastAsia="楷体"/>
                <w:color w:val="000000"/>
                <w:sz w:val="24"/>
              </w:rPr>
              <w:t>报表数据</w:t>
            </w:r>
            <w:r>
              <w:rPr>
                <w:rFonts w:hint="eastAsia" w:ascii="楷体" w:hAnsi="楷体" w:eastAsia="楷体"/>
                <w:color w:val="000000"/>
                <w:sz w:val="24"/>
              </w:rPr>
              <w:t>出错</w:t>
            </w:r>
            <w:r>
              <w:rPr>
                <w:rFonts w:ascii="楷体" w:hAnsi="楷体" w:eastAsia="楷体"/>
                <w:color w:val="000000"/>
                <w:sz w:val="24"/>
              </w:rPr>
              <w:t>率</w:t>
            </w:r>
          </w:p>
        </w:tc>
        <w:tc>
          <w:tcPr>
            <w:tcW w:w="647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(查出有误报表数量/提交报表总数)*100%</w:t>
            </w:r>
          </w:p>
        </w:tc>
        <w:tc>
          <w:tcPr>
            <w:tcW w:w="299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报表检查记录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ascii="楷体" w:hAnsi="楷体" w:eastAsia="楷体"/>
                <w:color w:val="000000"/>
                <w:sz w:val="24"/>
              </w:rPr>
              <w:t>文书档案归档率</w:t>
            </w:r>
          </w:p>
        </w:tc>
        <w:tc>
          <w:tcPr>
            <w:tcW w:w="647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(归档文档数/文档总数)*100%</w:t>
            </w:r>
          </w:p>
        </w:tc>
        <w:tc>
          <w:tcPr>
            <w:tcW w:w="299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文档记录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ascii="楷体" w:hAnsi="楷体" w:eastAsia="楷体"/>
                <w:color w:val="000000"/>
                <w:sz w:val="24"/>
              </w:rPr>
              <w:t>国内外市场调研报告的质量</w:t>
            </w:r>
          </w:p>
        </w:tc>
        <w:tc>
          <w:tcPr>
            <w:tcW w:w="6471" w:type="dxa"/>
            <w:noWrap w:val="0"/>
            <w:vAlign w:val="top"/>
          </w:tcPr>
          <w:p>
            <w:pPr>
              <w:spacing w:line="360" w:lineRule="auto"/>
              <w:jc w:val="center"/>
              <w:rPr>
                <w:rFonts w:hint="eastAsia" w:ascii="楷体" w:hAnsi="楷体" w:eastAsia="楷体"/>
                <w:color w:val="000000"/>
                <w:sz w:val="24"/>
              </w:rPr>
            </w:pPr>
          </w:p>
        </w:tc>
        <w:tc>
          <w:tcPr>
            <w:tcW w:w="299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上级评定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ascii="楷体" w:hAnsi="楷体" w:eastAsia="楷体"/>
                <w:color w:val="000000"/>
                <w:sz w:val="24"/>
              </w:rPr>
              <w:t>项目可行性分析报告质量</w:t>
            </w:r>
          </w:p>
        </w:tc>
        <w:tc>
          <w:tcPr>
            <w:tcW w:w="6471" w:type="dxa"/>
            <w:noWrap w:val="0"/>
            <w:vAlign w:val="top"/>
          </w:tcPr>
          <w:p>
            <w:pPr>
              <w:spacing w:line="360" w:lineRule="auto"/>
              <w:jc w:val="center"/>
              <w:rPr>
                <w:rFonts w:hint="eastAsia" w:ascii="楷体" w:hAnsi="楷体" w:eastAsia="楷体"/>
                <w:color w:val="000000"/>
                <w:sz w:val="24"/>
              </w:rPr>
            </w:pPr>
          </w:p>
        </w:tc>
        <w:tc>
          <w:tcPr>
            <w:tcW w:w="299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项目可行性分析报告质量认证/上级评定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财务报表出错率</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w:t>
            </w:r>
            <w:r>
              <w:rPr>
                <w:rFonts w:ascii="楷体" w:hAnsi="楷体" w:eastAsia="楷体"/>
                <w:color w:val="000000"/>
                <w:sz w:val="24"/>
              </w:rPr>
              <w:t>查出有误的财务报表数量/提交的财务报表总数</w:t>
            </w:r>
            <w:r>
              <w:rPr>
                <w:rFonts w:hint="eastAsia" w:ascii="楷体" w:hAnsi="楷体" w:eastAsia="楷体"/>
                <w:color w:val="000000"/>
                <w:sz w:val="24"/>
              </w:rPr>
              <w:t>)</w:t>
            </w:r>
            <w:r>
              <w:rPr>
                <w:rFonts w:ascii="楷体" w:hAnsi="楷体" w:eastAsia="楷体"/>
                <w:color w:val="000000"/>
                <w:sz w:val="24"/>
              </w:rPr>
              <w:t>*100%</w:t>
            </w:r>
          </w:p>
        </w:tc>
        <w:tc>
          <w:tcPr>
            <w:tcW w:w="299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财务报表检查记录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财务分析</w:t>
            </w:r>
            <w:r>
              <w:rPr>
                <w:rFonts w:hint="eastAsia" w:ascii="楷体" w:hAnsi="楷体" w:eastAsia="楷体"/>
                <w:color w:val="000000"/>
                <w:sz w:val="24"/>
              </w:rPr>
              <w:t>出错</w:t>
            </w:r>
            <w:r>
              <w:rPr>
                <w:rFonts w:ascii="楷体" w:hAnsi="楷体" w:eastAsia="楷体"/>
                <w:color w:val="000000"/>
                <w:sz w:val="24"/>
              </w:rPr>
              <w:t>率</w:t>
            </w:r>
          </w:p>
        </w:tc>
        <w:tc>
          <w:tcPr>
            <w:tcW w:w="647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w:t>
            </w:r>
            <w:r>
              <w:rPr>
                <w:rFonts w:ascii="楷体" w:hAnsi="楷体" w:eastAsia="楷体"/>
                <w:color w:val="000000"/>
                <w:sz w:val="24"/>
              </w:rPr>
              <w:t>有误的财务</w:t>
            </w:r>
            <w:r>
              <w:rPr>
                <w:rFonts w:hint="eastAsia" w:ascii="楷体" w:hAnsi="楷体" w:eastAsia="楷体"/>
                <w:color w:val="000000"/>
                <w:sz w:val="24"/>
              </w:rPr>
              <w:t>分析</w:t>
            </w:r>
            <w:r>
              <w:rPr>
                <w:rFonts w:ascii="楷体" w:hAnsi="楷体" w:eastAsia="楷体"/>
                <w:color w:val="000000"/>
                <w:sz w:val="24"/>
              </w:rPr>
              <w:t>数量/提交的财务</w:t>
            </w:r>
            <w:r>
              <w:rPr>
                <w:rFonts w:hint="eastAsia" w:ascii="楷体" w:hAnsi="楷体" w:eastAsia="楷体"/>
                <w:color w:val="000000"/>
                <w:sz w:val="24"/>
              </w:rPr>
              <w:t>分析</w:t>
            </w:r>
            <w:r>
              <w:rPr>
                <w:rFonts w:ascii="楷体" w:hAnsi="楷体" w:eastAsia="楷体"/>
                <w:color w:val="000000"/>
                <w:sz w:val="24"/>
              </w:rPr>
              <w:t>总数</w:t>
            </w:r>
            <w:r>
              <w:rPr>
                <w:rFonts w:hint="eastAsia" w:ascii="楷体" w:hAnsi="楷体" w:eastAsia="楷体"/>
                <w:color w:val="000000"/>
                <w:sz w:val="24"/>
              </w:rPr>
              <w:t>)</w:t>
            </w:r>
            <w:r>
              <w:rPr>
                <w:rFonts w:ascii="楷体" w:hAnsi="楷体" w:eastAsia="楷体"/>
                <w:color w:val="000000"/>
                <w:sz w:val="24"/>
              </w:rPr>
              <w:t>*100%</w:t>
            </w:r>
          </w:p>
        </w:tc>
        <w:tc>
          <w:tcPr>
            <w:tcW w:w="299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财务分析记录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各部门预算准确率</w:t>
            </w:r>
          </w:p>
        </w:tc>
        <w:tc>
          <w:tcPr>
            <w:tcW w:w="647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(1-超出或未达成预算/部门预算)*100%</w:t>
            </w:r>
          </w:p>
        </w:tc>
        <w:tc>
          <w:tcPr>
            <w:tcW w:w="299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各部门费用预算达成率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KPI</w:t>
            </w:r>
            <w:r>
              <w:rPr>
                <w:rFonts w:hint="eastAsia" w:ascii="楷体" w:hAnsi="楷体" w:eastAsia="楷体"/>
                <w:color w:val="000000"/>
                <w:sz w:val="24"/>
              </w:rPr>
              <w:t>辞典</w:t>
            </w:r>
            <w:r>
              <w:rPr>
                <w:rFonts w:ascii="楷体" w:hAnsi="楷体" w:eastAsia="楷体"/>
                <w:color w:val="000000"/>
                <w:sz w:val="24"/>
              </w:rPr>
              <w:t>更新的及时性</w:t>
            </w:r>
          </w:p>
        </w:tc>
        <w:tc>
          <w:tcPr>
            <w:tcW w:w="647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将新生成的KPI第一时间放入KPI辞典</w:t>
            </w:r>
          </w:p>
        </w:tc>
        <w:tc>
          <w:tcPr>
            <w:tcW w:w="299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KPI辞典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策划方案成功率</w:t>
            </w:r>
          </w:p>
        </w:tc>
        <w:tc>
          <w:tcPr>
            <w:tcW w:w="647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(成功方案数/提交方案数)*100%</w:t>
            </w:r>
          </w:p>
        </w:tc>
        <w:tc>
          <w:tcPr>
            <w:tcW w:w="299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策划方案提交与成功记录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ascii="楷体" w:hAnsi="楷体" w:eastAsia="楷体"/>
                <w:color w:val="000000"/>
                <w:sz w:val="24"/>
              </w:rPr>
              <w:t>提交项目管理报告及时性</w:t>
            </w:r>
          </w:p>
        </w:tc>
        <w:tc>
          <w:tcPr>
            <w:tcW w:w="647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(按时提交管理报告/报告总数)*100%</w:t>
            </w:r>
          </w:p>
        </w:tc>
        <w:tc>
          <w:tcPr>
            <w:tcW w:w="299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项目管理报告记录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ascii="楷体" w:hAnsi="楷体" w:eastAsia="楷体"/>
                <w:color w:val="000000"/>
                <w:sz w:val="24"/>
              </w:rPr>
              <w:t>管理委员会对办公室服务满意度</w:t>
            </w:r>
          </w:p>
        </w:tc>
        <w:tc>
          <w:tcPr>
            <w:tcW w:w="647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管理委员会对办公室服务工作的满意度调查的算术平均值</w:t>
            </w:r>
          </w:p>
        </w:tc>
        <w:tc>
          <w:tcPr>
            <w:tcW w:w="299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满意度调查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内部客户满意度</w:t>
            </w:r>
          </w:p>
        </w:tc>
        <w:tc>
          <w:tcPr>
            <w:tcW w:w="647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接受民主测评的相关部门对被测评部门所提供服务的满意度</w:t>
            </w:r>
          </w:p>
        </w:tc>
        <w:tc>
          <w:tcPr>
            <w:tcW w:w="299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内部客户满意度民主测评结果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招聘空缺职位所需的平均天数</w:t>
            </w:r>
          </w:p>
        </w:tc>
        <w:tc>
          <w:tcPr>
            <w:tcW w:w="647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空缺职位总数/招聘空缺职位所用的总天数</w:t>
            </w:r>
          </w:p>
        </w:tc>
        <w:tc>
          <w:tcPr>
            <w:tcW w:w="299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招聘天数记录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员工晋升评审活动的及时有效开展</w:t>
            </w:r>
          </w:p>
        </w:tc>
        <w:tc>
          <w:tcPr>
            <w:tcW w:w="6471" w:type="dxa"/>
            <w:noWrap w:val="0"/>
            <w:vAlign w:val="top"/>
          </w:tcPr>
          <w:p>
            <w:pPr>
              <w:spacing w:line="360" w:lineRule="auto"/>
              <w:jc w:val="center"/>
              <w:rPr>
                <w:rFonts w:hint="eastAsia" w:ascii="楷体" w:hAnsi="楷体" w:eastAsia="楷体"/>
                <w:color w:val="000000"/>
                <w:sz w:val="24"/>
              </w:rPr>
            </w:pPr>
          </w:p>
        </w:tc>
        <w:tc>
          <w:tcPr>
            <w:tcW w:w="299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晋升评审记录及员工对晋升意见记录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员工工资发放出错率</w:t>
            </w:r>
          </w:p>
        </w:tc>
        <w:tc>
          <w:tcPr>
            <w:tcW w:w="647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错误发放的工资次数/发放的工资次数</w:t>
            </w:r>
          </w:p>
        </w:tc>
        <w:tc>
          <w:tcPr>
            <w:tcW w:w="299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工资发放记录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劳动争议处理及时性</w:t>
            </w:r>
          </w:p>
        </w:tc>
        <w:tc>
          <w:tcPr>
            <w:tcW w:w="6471" w:type="dxa"/>
            <w:noWrap w:val="0"/>
            <w:vAlign w:val="top"/>
          </w:tcPr>
          <w:p>
            <w:pPr>
              <w:spacing w:line="360" w:lineRule="auto"/>
              <w:jc w:val="center"/>
              <w:rPr>
                <w:rFonts w:ascii="楷体" w:hAnsi="楷体" w:eastAsia="楷体"/>
                <w:color w:val="000000"/>
                <w:sz w:val="24"/>
              </w:rPr>
            </w:pPr>
          </w:p>
        </w:tc>
        <w:tc>
          <w:tcPr>
            <w:tcW w:w="299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投诉记录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绩效考核数据准确率</w:t>
            </w:r>
          </w:p>
        </w:tc>
        <w:tc>
          <w:tcPr>
            <w:tcW w:w="647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(实查有误数据/考核数据总数)*100%</w:t>
            </w:r>
          </w:p>
        </w:tc>
        <w:tc>
          <w:tcPr>
            <w:tcW w:w="299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投诉记录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绩效考核按时完成率</w:t>
            </w:r>
          </w:p>
        </w:tc>
        <w:tc>
          <w:tcPr>
            <w:tcW w:w="647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(按时完成的绩效考核数/绩效考核总数)*100%</w:t>
            </w:r>
          </w:p>
        </w:tc>
        <w:tc>
          <w:tcPr>
            <w:tcW w:w="299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绩效考核记录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ascii="楷体" w:hAnsi="楷体" w:eastAsia="楷体"/>
                <w:color w:val="000000"/>
                <w:sz w:val="24"/>
              </w:rPr>
              <w:t>内部网络建立的安全性</w:t>
            </w:r>
          </w:p>
        </w:tc>
        <w:tc>
          <w:tcPr>
            <w:tcW w:w="647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内部网络安运行</w:t>
            </w:r>
          </w:p>
        </w:tc>
        <w:tc>
          <w:tcPr>
            <w:tcW w:w="2991"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系统故障记录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ascii="楷体" w:hAnsi="楷体" w:eastAsia="楷体"/>
                <w:color w:val="000000"/>
                <w:sz w:val="24"/>
              </w:rPr>
              <w:t>提交分析报告的质量</w:t>
            </w:r>
          </w:p>
        </w:tc>
        <w:tc>
          <w:tcPr>
            <w:tcW w:w="6471" w:type="dxa"/>
            <w:noWrap w:val="0"/>
            <w:vAlign w:val="top"/>
          </w:tcPr>
          <w:p>
            <w:pPr>
              <w:spacing w:line="360" w:lineRule="auto"/>
              <w:jc w:val="center"/>
              <w:rPr>
                <w:rFonts w:hint="eastAsia" w:ascii="楷体" w:hAnsi="楷体" w:eastAsia="楷体"/>
                <w:color w:val="000000"/>
                <w:sz w:val="24"/>
              </w:rPr>
            </w:pPr>
          </w:p>
        </w:tc>
        <w:tc>
          <w:tcPr>
            <w:tcW w:w="2991"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个案完成及时性</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个案处理时间</w:t>
            </w:r>
            <w:r>
              <w:rPr>
                <w:rFonts w:ascii="楷体" w:hAnsi="楷体" w:eastAsia="楷体"/>
                <w:color w:val="000000"/>
                <w:sz w:val="24"/>
              </w:rPr>
              <w:t>=</w:t>
            </w:r>
            <w:r>
              <w:rPr>
                <w:rFonts w:hint="eastAsia" w:ascii="楷体" w:hAnsi="楷体" w:eastAsia="楷体"/>
                <w:color w:val="000000"/>
                <w:sz w:val="24"/>
              </w:rPr>
              <w:t>个案完成的日期</w:t>
            </w:r>
            <w:r>
              <w:rPr>
                <w:rFonts w:ascii="楷体" w:hAnsi="楷体" w:eastAsia="楷体"/>
                <w:color w:val="000000"/>
                <w:sz w:val="24"/>
              </w:rPr>
              <w:t>-</w:t>
            </w:r>
            <w:r>
              <w:rPr>
                <w:rFonts w:hint="eastAsia" w:ascii="楷体" w:hAnsi="楷体" w:eastAsia="楷体"/>
                <w:color w:val="000000"/>
                <w:sz w:val="24"/>
              </w:rPr>
              <w:t>个案上报的日期</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上报与批复的文件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统计分析的准确性和及时性</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及时对各分公司的核保、核赔数据进行统计分析，并使分析结果具有使用价值</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上级领导的评价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分公司总经理室及相关部门满意度</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分公司总经理室及相关部门对客户服务部工作的满意度</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问卷调查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提出新产品建议的数量和质量</w:t>
            </w:r>
            <w:r>
              <w:rPr>
                <w:rFonts w:ascii="楷体" w:hAnsi="楷体" w:eastAsia="楷体"/>
                <w:color w:val="000000"/>
                <w:sz w:val="24"/>
              </w:rPr>
              <w:t>(鼓励创意性指标)</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领导认可的新产品建议的数量和质量</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上级领导的评价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建立与研究及政府部门的联系</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与国家研究部门及政府部门联系的广泛与密切程度</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相关部门及上级评价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对外信息披露的及时性</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按照章程规定的时间向外界批露应该批露的信息</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批露的文件记载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股东及董事满意度</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股东及董事对董办工作的满意度</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满意度调查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与外部中介机构的沟通协调</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　</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上级评价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充分及时掌握相关政策、法规的变化</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对与董事会工作相关的政策法规的变化及时掌握，及时应对</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上级评价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与股东、董事沟通的及时性、准确性</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及时、准确地与股东、董事沟通的程度</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上级评价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会议组织、安排的有效性</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及时、有效安排会议的程度</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上级评价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英文资料翻译的准确率</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(准确提供的英文资源的数量</w:t>
            </w:r>
            <w:r>
              <w:rPr>
                <w:rFonts w:ascii="楷体" w:hAnsi="楷体" w:eastAsia="楷体"/>
                <w:color w:val="000000"/>
                <w:sz w:val="24"/>
              </w:rPr>
              <w:t>/</w:t>
            </w:r>
            <w:r>
              <w:rPr>
                <w:rFonts w:hint="eastAsia" w:ascii="楷体" w:hAnsi="楷体" w:eastAsia="楷体"/>
                <w:color w:val="000000"/>
                <w:sz w:val="24"/>
              </w:rPr>
              <w:t>按照章程规定应该提供的英文资料的数量)*100%</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英文资料翻译检查记录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信息的准确性</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内部及对外部发布的信息的准确性</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上级评价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内部信息收集的及时性</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及时收集公司内部的与董办工作相关的信息</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发布的文件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内部客户满意度（部门秘书）</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部门内部及相关部门的满意度</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满意度调查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劳动合同签订的及时性</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劳动合同签订时间</w:t>
            </w:r>
            <w:r>
              <w:rPr>
                <w:rFonts w:ascii="楷体" w:hAnsi="楷体" w:eastAsia="楷体"/>
                <w:color w:val="000000"/>
                <w:sz w:val="24"/>
              </w:rPr>
              <w:t>=</w:t>
            </w:r>
            <w:r>
              <w:rPr>
                <w:rFonts w:hint="eastAsia" w:ascii="楷体" w:hAnsi="楷体" w:eastAsia="楷体"/>
                <w:color w:val="000000"/>
                <w:sz w:val="24"/>
              </w:rPr>
              <w:t>劳动合同签订或续签时间</w:t>
            </w:r>
            <w:r>
              <w:rPr>
                <w:rFonts w:ascii="楷体" w:hAnsi="楷体" w:eastAsia="楷体"/>
                <w:color w:val="000000"/>
                <w:sz w:val="24"/>
              </w:rPr>
              <w:t>-</w:t>
            </w:r>
            <w:r>
              <w:rPr>
                <w:rFonts w:hint="eastAsia" w:ascii="楷体" w:hAnsi="楷体" w:eastAsia="楷体"/>
                <w:color w:val="000000"/>
                <w:sz w:val="24"/>
              </w:rPr>
              <w:t>按照规定签定或续签劳动合同的时间</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工作记录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入职离职手续办理的及时性</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员工入职或离职办理相关手续时间</w:t>
            </w:r>
            <w:r>
              <w:rPr>
                <w:rFonts w:ascii="楷体" w:hAnsi="楷体" w:eastAsia="楷体"/>
                <w:color w:val="000000"/>
                <w:sz w:val="24"/>
              </w:rPr>
              <w:t>=</w:t>
            </w:r>
            <w:r>
              <w:rPr>
                <w:rFonts w:hint="eastAsia" w:ascii="楷体" w:hAnsi="楷体" w:eastAsia="楷体"/>
                <w:color w:val="000000"/>
                <w:sz w:val="24"/>
              </w:rPr>
              <w:t>员工入职或离职实际办理相关手续时间</w:t>
            </w:r>
            <w:r>
              <w:rPr>
                <w:rFonts w:ascii="楷体" w:hAnsi="楷体" w:eastAsia="楷体"/>
                <w:color w:val="000000"/>
                <w:sz w:val="24"/>
              </w:rPr>
              <w:t>-</w:t>
            </w:r>
            <w:r>
              <w:rPr>
                <w:rFonts w:hint="eastAsia" w:ascii="楷体" w:hAnsi="楷体" w:eastAsia="楷体"/>
                <w:color w:val="000000"/>
                <w:sz w:val="24"/>
              </w:rPr>
              <w:t>按照规定办理员工入职或离职相关手续时间</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工作记录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人员编制控制率</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(实际人力</w:t>
            </w:r>
            <w:r>
              <w:rPr>
                <w:rFonts w:ascii="楷体" w:hAnsi="楷体" w:eastAsia="楷体"/>
                <w:color w:val="000000"/>
                <w:sz w:val="24"/>
              </w:rPr>
              <w:t>/</w:t>
            </w:r>
            <w:r>
              <w:rPr>
                <w:rFonts w:hint="eastAsia" w:ascii="楷体" w:hAnsi="楷体" w:eastAsia="楷体"/>
                <w:color w:val="000000"/>
                <w:sz w:val="24"/>
              </w:rPr>
              <w:t>计划人力编制)</w:t>
            </w:r>
            <w:r>
              <w:rPr>
                <w:rFonts w:ascii="楷体" w:hAnsi="楷体" w:eastAsia="楷体"/>
                <w:color w:val="000000"/>
                <w:sz w:val="24"/>
              </w:rPr>
              <w:t>*100%</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上报文件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机构扩展达成率</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(实际扩展的机构</w:t>
            </w:r>
            <w:r>
              <w:rPr>
                <w:rFonts w:ascii="楷体" w:hAnsi="楷体" w:eastAsia="楷体"/>
                <w:color w:val="000000"/>
                <w:sz w:val="24"/>
              </w:rPr>
              <w:t>/</w:t>
            </w:r>
            <w:r>
              <w:rPr>
                <w:rFonts w:hint="eastAsia" w:ascii="楷体" w:hAnsi="楷体" w:eastAsia="楷体"/>
                <w:color w:val="000000"/>
                <w:sz w:val="24"/>
              </w:rPr>
              <w:t>计划扩展的机构)</w:t>
            </w:r>
            <w:r>
              <w:rPr>
                <w:rFonts w:ascii="楷体" w:hAnsi="楷体" w:eastAsia="楷体"/>
                <w:color w:val="000000"/>
                <w:sz w:val="24"/>
              </w:rPr>
              <w:t>*100%</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上报文件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机构内设控制率</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(各机构下的实际部门及岗位设置数</w:t>
            </w:r>
            <w:r>
              <w:rPr>
                <w:rFonts w:ascii="楷体" w:hAnsi="楷体" w:eastAsia="楷体"/>
                <w:color w:val="000000"/>
                <w:sz w:val="24"/>
              </w:rPr>
              <w:t>/</w:t>
            </w:r>
            <w:r>
              <w:rPr>
                <w:rFonts w:hint="eastAsia" w:ascii="楷体" w:hAnsi="楷体" w:eastAsia="楷体"/>
                <w:color w:val="000000"/>
                <w:sz w:val="24"/>
              </w:rPr>
              <w:t>计划数)</w:t>
            </w:r>
            <w:r>
              <w:rPr>
                <w:rFonts w:ascii="楷体" w:hAnsi="楷体" w:eastAsia="楷体"/>
                <w:color w:val="000000"/>
                <w:sz w:val="24"/>
              </w:rPr>
              <w:t>*100%</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上报文件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法律意见建设性</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法律意见被提意见对象和法律部主管领导的认可</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上级领导的评价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诉讼事件处理结果与公司方案的一致性</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公司批准的诉讼方案与诉讼结果的比较</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工作记录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对于对外签署的法律文件提出意见的有效性</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经法律部审批的法律文件合法、合规或贯彻了公司领导的意图</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上级领导的评价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稽核意见建设性（</w:t>
            </w:r>
            <w:r>
              <w:rPr>
                <w:rFonts w:ascii="楷体" w:hAnsi="楷体" w:eastAsia="楷体"/>
                <w:color w:val="000000"/>
                <w:sz w:val="24"/>
              </w:rPr>
              <w:t>de</w:t>
            </w:r>
            <w:r>
              <w:rPr>
                <w:rFonts w:hint="eastAsia" w:ascii="楷体" w:hAnsi="楷体" w:eastAsia="楷体"/>
                <w:color w:val="000000"/>
                <w:sz w:val="24"/>
              </w:rPr>
              <w:t>）</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稽核意见被提意见对象和法律部主管领导的认可</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上级领导的评价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稽核报告的质量</w:t>
            </w:r>
          </w:p>
        </w:tc>
        <w:tc>
          <w:tcPr>
            <w:tcW w:w="6471" w:type="dxa"/>
            <w:noWrap w:val="0"/>
            <w:vAlign w:val="top"/>
          </w:tcPr>
          <w:p>
            <w:pPr>
              <w:spacing w:line="360" w:lineRule="auto"/>
              <w:rPr>
                <w:rFonts w:ascii="楷体" w:hAnsi="楷体" w:eastAsia="楷体"/>
                <w:color w:val="000000"/>
                <w:sz w:val="24"/>
              </w:rPr>
            </w:pPr>
            <w:r>
              <w:rPr>
                <w:rFonts w:ascii="楷体" w:hAnsi="楷体" w:eastAsia="楷体"/>
                <w:color w:val="000000"/>
                <w:sz w:val="24"/>
              </w:rPr>
              <w:t>1.</w:t>
            </w:r>
            <w:r>
              <w:rPr>
                <w:rFonts w:hint="eastAsia" w:ascii="楷体" w:hAnsi="楷体" w:eastAsia="楷体"/>
                <w:color w:val="000000"/>
                <w:sz w:val="24"/>
              </w:rPr>
              <w:t>符合内部稽核的工作规定；</w:t>
            </w:r>
            <w:r>
              <w:rPr>
                <w:rFonts w:ascii="楷体" w:hAnsi="楷体" w:eastAsia="楷体"/>
                <w:color w:val="000000"/>
                <w:sz w:val="24"/>
              </w:rPr>
              <w:t>2.</w:t>
            </w:r>
            <w:r>
              <w:rPr>
                <w:rFonts w:hint="eastAsia" w:ascii="楷体" w:hAnsi="楷体" w:eastAsia="楷体"/>
                <w:color w:val="000000"/>
                <w:sz w:val="24"/>
              </w:rPr>
              <w:t>有无重大差错；</w:t>
            </w:r>
            <w:r>
              <w:rPr>
                <w:rFonts w:ascii="楷体" w:hAnsi="楷体" w:eastAsia="楷体"/>
                <w:color w:val="000000"/>
                <w:sz w:val="24"/>
              </w:rPr>
              <w:t>3.</w:t>
            </w:r>
            <w:r>
              <w:rPr>
                <w:rFonts w:hint="eastAsia" w:ascii="楷体" w:hAnsi="楷体" w:eastAsia="楷体"/>
                <w:color w:val="000000"/>
                <w:sz w:val="24"/>
              </w:rPr>
              <w:t>稽核建议的针对性、有效性</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上级领导的评价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ascii="楷体" w:hAnsi="楷体" w:eastAsia="楷体"/>
                <w:color w:val="000000"/>
                <w:sz w:val="24"/>
              </w:rPr>
              <w:t>ISO9000质量手册有效性的维护</w:t>
            </w:r>
          </w:p>
        </w:tc>
        <w:tc>
          <w:tcPr>
            <w:tcW w:w="6471" w:type="dxa"/>
            <w:noWrap w:val="0"/>
            <w:vAlign w:val="top"/>
          </w:tcPr>
          <w:p>
            <w:pPr>
              <w:spacing w:line="360" w:lineRule="auto"/>
              <w:jc w:val="center"/>
              <w:rPr>
                <w:rFonts w:ascii="楷体" w:hAnsi="楷体" w:eastAsia="楷体"/>
                <w:color w:val="000000"/>
                <w:sz w:val="24"/>
              </w:rPr>
            </w:pPr>
            <w:r>
              <w:rPr>
                <w:rFonts w:ascii="楷体" w:hAnsi="楷体" w:eastAsia="楷体"/>
                <w:color w:val="000000"/>
                <w:sz w:val="24"/>
              </w:rPr>
              <w:t>1.ISO</w:t>
            </w:r>
            <w:r>
              <w:rPr>
                <w:rFonts w:hint="eastAsia" w:ascii="楷体" w:hAnsi="楷体" w:eastAsia="楷体"/>
                <w:color w:val="000000"/>
                <w:sz w:val="24"/>
              </w:rPr>
              <w:t>工作内部协调、督导和培训；</w:t>
            </w:r>
            <w:r>
              <w:rPr>
                <w:rFonts w:ascii="楷体" w:hAnsi="楷体" w:eastAsia="楷体"/>
                <w:color w:val="000000"/>
                <w:sz w:val="24"/>
              </w:rPr>
              <w:t>2.</w:t>
            </w:r>
            <w:r>
              <w:rPr>
                <w:rFonts w:hint="eastAsia" w:ascii="楷体" w:hAnsi="楷体" w:eastAsia="楷体"/>
                <w:color w:val="000000"/>
                <w:sz w:val="24"/>
              </w:rPr>
              <w:t>文件的及时修改与更新；</w:t>
            </w:r>
            <w:r>
              <w:rPr>
                <w:rFonts w:ascii="楷体" w:hAnsi="楷体" w:eastAsia="楷体"/>
                <w:color w:val="000000"/>
                <w:sz w:val="24"/>
              </w:rPr>
              <w:t>3.ISO</w:t>
            </w:r>
            <w:r>
              <w:rPr>
                <w:rFonts w:hint="eastAsia" w:ascii="楷体" w:hAnsi="楷体" w:eastAsia="楷体"/>
                <w:color w:val="000000"/>
                <w:sz w:val="24"/>
              </w:rPr>
              <w:t>协会的评价（质量、效率）</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上级领导的评价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会议组织质量</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会议组织安排的及时性，形式、主题、材料准备是否充分</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会议记录、记要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与各分公司日常联络</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与各分公司保持畅通的信息联络</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电话、文件、</w:t>
            </w:r>
            <w:r>
              <w:rPr>
                <w:rFonts w:ascii="楷体" w:hAnsi="楷体" w:eastAsia="楷体"/>
                <w:color w:val="000000"/>
                <w:sz w:val="24"/>
              </w:rPr>
              <w:t>E-mail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文件传递效率</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按照文件的紧急程度按时、按质传递</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公司文件流转规定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文件制作效率和准确性</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按照文件类型及时制作、印发</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公司公文管理规定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机要档案和文件的归档</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机要、文件、档案及时归档</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公司公文管理规定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公章使用准确性</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用章类型、流程、批准程序正确</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公章管理办法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ascii="楷体" w:hAnsi="楷体" w:eastAsia="楷体"/>
                <w:color w:val="000000"/>
                <w:sz w:val="24"/>
              </w:rPr>
              <w:t>OA系统使用管理</w:t>
            </w:r>
          </w:p>
        </w:tc>
        <w:tc>
          <w:tcPr>
            <w:tcW w:w="6471" w:type="dxa"/>
            <w:noWrap w:val="0"/>
            <w:vAlign w:val="top"/>
          </w:tcPr>
          <w:p>
            <w:pPr>
              <w:spacing w:line="360" w:lineRule="auto"/>
              <w:jc w:val="center"/>
              <w:rPr>
                <w:rFonts w:ascii="楷体" w:hAnsi="楷体" w:eastAsia="楷体"/>
                <w:color w:val="000000"/>
                <w:sz w:val="24"/>
              </w:rPr>
            </w:pPr>
            <w:r>
              <w:rPr>
                <w:rFonts w:ascii="楷体" w:hAnsi="楷体" w:eastAsia="楷体"/>
                <w:color w:val="000000"/>
                <w:sz w:val="24"/>
              </w:rPr>
              <w:t>OA</w:t>
            </w:r>
            <w:r>
              <w:rPr>
                <w:rFonts w:hint="eastAsia" w:ascii="楷体" w:hAnsi="楷体" w:eastAsia="楷体"/>
                <w:color w:val="000000"/>
                <w:sz w:val="24"/>
              </w:rPr>
              <w:t>系统的正常使用</w:t>
            </w:r>
          </w:p>
        </w:tc>
        <w:tc>
          <w:tcPr>
            <w:tcW w:w="2991" w:type="dxa"/>
            <w:noWrap w:val="0"/>
            <w:vAlign w:val="top"/>
          </w:tcPr>
          <w:p>
            <w:pPr>
              <w:spacing w:line="360" w:lineRule="auto"/>
              <w:jc w:val="center"/>
              <w:rPr>
                <w:rFonts w:ascii="楷体" w:hAnsi="楷体" w:eastAsia="楷体"/>
                <w:color w:val="000000"/>
                <w:sz w:val="24"/>
              </w:rPr>
            </w:pPr>
            <w:r>
              <w:rPr>
                <w:rFonts w:ascii="楷体" w:hAnsi="楷体" w:eastAsia="楷体"/>
                <w:color w:val="000000"/>
                <w:sz w:val="24"/>
              </w:rPr>
              <w:t>OA</w:t>
            </w:r>
            <w:r>
              <w:rPr>
                <w:rFonts w:hint="eastAsia" w:ascii="楷体" w:hAnsi="楷体" w:eastAsia="楷体"/>
                <w:color w:val="000000"/>
                <w:sz w:val="24"/>
              </w:rPr>
              <w:t>系统使用状况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总裁办对司机班服务满意度</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　</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总裁评价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外事信息管理的效率</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对外事信息及时处理的及时性与效率</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处理记录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外部合作关系管理的效率与规范性</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　</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对外合作项目开展的配合与管理效率</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　</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总裁室满意度</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　</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外事信息发布的及时性</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　</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外事接待任务完成的效率与质量</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　</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外事档案管理的系统性与规范性</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　</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口译、笔议的及时性与准确性</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　</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司机出车安全率</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(安全出车次数</w:t>
            </w:r>
            <w:r>
              <w:rPr>
                <w:rFonts w:ascii="楷体" w:hAnsi="楷体" w:eastAsia="楷体"/>
                <w:color w:val="000000"/>
                <w:sz w:val="24"/>
              </w:rPr>
              <w:t>/</w:t>
            </w:r>
            <w:r>
              <w:rPr>
                <w:rFonts w:hint="eastAsia" w:ascii="楷体" w:hAnsi="楷体" w:eastAsia="楷体"/>
                <w:color w:val="000000"/>
                <w:sz w:val="24"/>
              </w:rPr>
              <w:t>实际出车次数)*100%</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出入库手续齐全率</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(应办手续</w:t>
            </w:r>
            <w:r>
              <w:rPr>
                <w:rFonts w:ascii="楷体" w:hAnsi="楷体" w:eastAsia="楷体"/>
                <w:color w:val="000000"/>
                <w:sz w:val="24"/>
              </w:rPr>
              <w:t>/</w:t>
            </w:r>
            <w:r>
              <w:rPr>
                <w:rFonts w:hint="eastAsia" w:ascii="楷体" w:hAnsi="楷体" w:eastAsia="楷体"/>
                <w:color w:val="000000"/>
                <w:sz w:val="24"/>
              </w:rPr>
              <w:t>实办手续)*100%</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帐务差错数</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查出错误的帐务数</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帐务记录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安全事故发生次数</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　</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分公司基层组织和思想建设</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　</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员工文体活动及福利规划与实施</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　</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外部联系维护满意度</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　</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企业文化建设任务达成率</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(实际达到的企业文化建设效果</w:t>
            </w:r>
            <w:r>
              <w:rPr>
                <w:rFonts w:ascii="楷体" w:hAnsi="楷体" w:eastAsia="楷体"/>
                <w:color w:val="000000"/>
                <w:sz w:val="24"/>
              </w:rPr>
              <w:t>/</w:t>
            </w:r>
            <w:r>
              <w:rPr>
                <w:rFonts w:hint="eastAsia" w:ascii="楷体" w:hAnsi="楷体" w:eastAsia="楷体"/>
                <w:color w:val="000000"/>
                <w:sz w:val="24"/>
              </w:rPr>
              <w:t>预期达到的效果)</w:t>
            </w:r>
            <w:r>
              <w:rPr>
                <w:rFonts w:ascii="楷体" w:hAnsi="楷体" w:eastAsia="楷体"/>
                <w:color w:val="000000"/>
                <w:sz w:val="24"/>
              </w:rPr>
              <w:t>*100%</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工作记录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新闻审稿准确率</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(准确发布的新闻稿件</w:t>
            </w:r>
            <w:r>
              <w:rPr>
                <w:rFonts w:ascii="楷体" w:hAnsi="楷体" w:eastAsia="楷体"/>
                <w:color w:val="000000"/>
                <w:sz w:val="24"/>
              </w:rPr>
              <w:t>/</w:t>
            </w:r>
            <w:r>
              <w:rPr>
                <w:rFonts w:hint="eastAsia" w:ascii="楷体" w:hAnsi="楷体" w:eastAsia="楷体"/>
                <w:color w:val="000000"/>
                <w:sz w:val="24"/>
              </w:rPr>
              <w:t>全部发布的新闻稿件)</w:t>
            </w:r>
            <w:r>
              <w:rPr>
                <w:rFonts w:ascii="楷体" w:hAnsi="楷体" w:eastAsia="楷体"/>
                <w:color w:val="000000"/>
                <w:sz w:val="24"/>
              </w:rPr>
              <w:t>*100%</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工作记录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内部刊物按时出刊状况及质量评定</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　</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上级领导评价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公司宣传品制作</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　</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分公司业务指导</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　</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宣传档案归档率</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(归档宣传文档数</w:t>
            </w:r>
            <w:r>
              <w:rPr>
                <w:rFonts w:ascii="楷体" w:hAnsi="楷体" w:eastAsia="楷体"/>
                <w:color w:val="000000"/>
                <w:sz w:val="24"/>
              </w:rPr>
              <w:t>/</w:t>
            </w:r>
            <w:r>
              <w:rPr>
                <w:rFonts w:hint="eastAsia" w:ascii="楷体" w:hAnsi="楷体" w:eastAsia="楷体"/>
                <w:color w:val="000000"/>
                <w:sz w:val="24"/>
              </w:rPr>
              <w:t>文档总数)</w:t>
            </w:r>
            <w:r>
              <w:rPr>
                <w:rFonts w:ascii="楷体" w:hAnsi="楷体" w:eastAsia="楷体"/>
                <w:color w:val="000000"/>
                <w:sz w:val="24"/>
              </w:rPr>
              <w:t>*100%</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文档记录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ascii="楷体" w:hAnsi="楷体" w:eastAsia="楷体"/>
                <w:color w:val="000000"/>
                <w:sz w:val="24"/>
              </w:rPr>
              <w:t>网站出错率</w:t>
            </w:r>
          </w:p>
        </w:tc>
        <w:tc>
          <w:tcPr>
            <w:tcW w:w="647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w:t>
            </w:r>
            <w:r>
              <w:rPr>
                <w:rFonts w:ascii="楷体" w:hAnsi="楷体" w:eastAsia="楷体"/>
                <w:color w:val="000000"/>
                <w:sz w:val="24"/>
              </w:rPr>
              <w:t>页面出错个数/总页面数)*100%</w:t>
            </w:r>
          </w:p>
        </w:tc>
        <w:tc>
          <w:tcPr>
            <w:tcW w:w="2991"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客户投诉记录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ascii="楷体" w:hAnsi="楷体" w:eastAsia="楷体"/>
                <w:color w:val="000000"/>
                <w:sz w:val="24"/>
              </w:rPr>
              <w:t>设计制作出错率</w:t>
            </w:r>
          </w:p>
        </w:tc>
        <w:tc>
          <w:tcPr>
            <w:tcW w:w="6471"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（设计制作规范/制作总页数）*100%</w:t>
            </w:r>
          </w:p>
        </w:tc>
        <w:tc>
          <w:tcPr>
            <w:tcW w:w="2991"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测试记录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ascii="楷体" w:hAnsi="楷体" w:eastAsia="楷体"/>
                <w:color w:val="000000"/>
                <w:sz w:val="24"/>
              </w:rPr>
              <w:t>信息内容出错率</w:t>
            </w:r>
          </w:p>
        </w:tc>
        <w:tc>
          <w:tcPr>
            <w:tcW w:w="647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w:t>
            </w:r>
            <w:r>
              <w:rPr>
                <w:rFonts w:ascii="楷体" w:hAnsi="楷体" w:eastAsia="楷体"/>
                <w:color w:val="000000"/>
                <w:sz w:val="24"/>
              </w:rPr>
              <w:t>信息内容及错别字出错数/总的信息更新量</w:t>
            </w:r>
            <w:r>
              <w:rPr>
                <w:rFonts w:hint="eastAsia" w:ascii="楷体" w:hAnsi="楷体" w:eastAsia="楷体"/>
                <w:color w:val="000000"/>
                <w:sz w:val="24"/>
              </w:rPr>
              <w:t>)*100%</w:t>
            </w:r>
          </w:p>
        </w:tc>
        <w:tc>
          <w:tcPr>
            <w:tcW w:w="2991"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检查记录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ascii="楷体" w:hAnsi="楷体" w:eastAsia="楷体"/>
                <w:color w:val="000000"/>
                <w:sz w:val="24"/>
              </w:rPr>
              <w:t>信息更新延误率</w:t>
            </w:r>
          </w:p>
        </w:tc>
        <w:tc>
          <w:tcPr>
            <w:tcW w:w="6471"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信息更新时间是否依照规定时间执行</w:t>
            </w:r>
          </w:p>
        </w:tc>
        <w:tc>
          <w:tcPr>
            <w:tcW w:w="2991"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检查记录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ascii="楷体" w:hAnsi="楷体" w:eastAsia="楷体"/>
                <w:color w:val="000000"/>
                <w:sz w:val="24"/>
              </w:rPr>
              <w:t>服务响应时间</w:t>
            </w:r>
          </w:p>
        </w:tc>
        <w:tc>
          <w:tcPr>
            <w:tcW w:w="6471"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向客户提供服务的响应时间的平均值</w:t>
            </w:r>
          </w:p>
        </w:tc>
        <w:tc>
          <w:tcPr>
            <w:tcW w:w="2991"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客户服务记录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w:t>
            </w:r>
            <w:r>
              <w:rPr>
                <w:rFonts w:ascii="楷体" w:hAnsi="楷体" w:eastAsia="楷体"/>
                <w:color w:val="000000"/>
                <w:sz w:val="24"/>
              </w:rPr>
              <w:t>泰康在线</w:t>
            </w:r>
            <w:r>
              <w:rPr>
                <w:rFonts w:hint="eastAsia" w:ascii="楷体" w:hAnsi="楷体" w:eastAsia="楷体"/>
                <w:color w:val="000000"/>
                <w:sz w:val="24"/>
              </w:rPr>
              <w:t>”</w:t>
            </w:r>
            <w:r>
              <w:rPr>
                <w:rFonts w:ascii="楷体" w:hAnsi="楷体" w:eastAsia="楷体"/>
                <w:color w:val="000000"/>
                <w:sz w:val="24"/>
              </w:rPr>
              <w:t>知名度的提高</w:t>
            </w:r>
          </w:p>
        </w:tc>
        <w:tc>
          <w:tcPr>
            <w:tcW w:w="6471"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对随机调研的业界和最终客户对</w:t>
            </w:r>
            <w:r>
              <w:rPr>
                <w:rFonts w:hint="eastAsia" w:ascii="楷体" w:hAnsi="楷体" w:eastAsia="楷体"/>
                <w:color w:val="000000"/>
                <w:sz w:val="24"/>
              </w:rPr>
              <w:t>“</w:t>
            </w:r>
            <w:r>
              <w:rPr>
                <w:rFonts w:ascii="楷体" w:hAnsi="楷体" w:eastAsia="楷体"/>
                <w:color w:val="000000"/>
                <w:sz w:val="24"/>
              </w:rPr>
              <w:t>泰康在线</w:t>
            </w:r>
            <w:r>
              <w:rPr>
                <w:rFonts w:hint="eastAsia" w:ascii="楷体" w:hAnsi="楷体" w:eastAsia="楷体"/>
                <w:color w:val="000000"/>
                <w:sz w:val="24"/>
              </w:rPr>
              <w:t>”</w:t>
            </w:r>
            <w:r>
              <w:rPr>
                <w:rFonts w:ascii="楷体" w:hAnsi="楷体" w:eastAsia="楷体"/>
                <w:color w:val="000000"/>
                <w:sz w:val="24"/>
              </w:rPr>
              <w:t>认知度的提高百分比</w:t>
            </w:r>
          </w:p>
        </w:tc>
        <w:tc>
          <w:tcPr>
            <w:tcW w:w="2991"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市场调查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ascii="楷体" w:hAnsi="楷体" w:eastAsia="楷体"/>
                <w:color w:val="000000"/>
                <w:sz w:val="24"/>
              </w:rPr>
              <w:t>媒体曝光次数</w:t>
            </w:r>
          </w:p>
        </w:tc>
        <w:tc>
          <w:tcPr>
            <w:tcW w:w="6471" w:type="dxa"/>
            <w:noWrap w:val="0"/>
            <w:vAlign w:val="top"/>
          </w:tcPr>
          <w:p>
            <w:pPr>
              <w:spacing w:line="360" w:lineRule="auto"/>
              <w:jc w:val="center"/>
              <w:rPr>
                <w:rFonts w:ascii="楷体" w:hAnsi="楷体" w:eastAsia="楷体"/>
                <w:color w:val="000000"/>
                <w:sz w:val="24"/>
              </w:rPr>
            </w:pPr>
            <w:r>
              <w:rPr>
                <w:rFonts w:ascii="楷体" w:hAnsi="楷体" w:eastAsia="楷体"/>
                <w:color w:val="000000"/>
                <w:sz w:val="24"/>
              </w:rPr>
              <w:t>有关</w:t>
            </w:r>
            <w:r>
              <w:rPr>
                <w:rFonts w:hint="eastAsia" w:ascii="楷体" w:hAnsi="楷体" w:eastAsia="楷体"/>
                <w:color w:val="000000"/>
                <w:sz w:val="24"/>
              </w:rPr>
              <w:t>“</w:t>
            </w:r>
            <w:r>
              <w:rPr>
                <w:rFonts w:ascii="楷体" w:hAnsi="楷体" w:eastAsia="楷体"/>
                <w:color w:val="000000"/>
                <w:sz w:val="24"/>
              </w:rPr>
              <w:t>泰康在线</w:t>
            </w:r>
            <w:r>
              <w:rPr>
                <w:rFonts w:hint="eastAsia" w:ascii="楷体" w:hAnsi="楷体" w:eastAsia="楷体"/>
                <w:color w:val="000000"/>
                <w:sz w:val="24"/>
              </w:rPr>
              <w:t>”</w:t>
            </w:r>
            <w:r>
              <w:rPr>
                <w:rFonts w:ascii="楷体" w:hAnsi="楷体" w:eastAsia="楷体"/>
                <w:color w:val="000000"/>
                <w:sz w:val="24"/>
              </w:rPr>
              <w:t>的文章在新闻媒体上发布的数量</w:t>
            </w:r>
          </w:p>
        </w:tc>
        <w:tc>
          <w:tcPr>
            <w:tcW w:w="2991" w:type="dxa"/>
            <w:noWrap w:val="0"/>
            <w:vAlign w:val="top"/>
          </w:tcPr>
          <w:p>
            <w:pPr>
              <w:spacing w:line="360" w:lineRule="auto"/>
              <w:jc w:val="center"/>
              <w:rPr>
                <w:rFonts w:ascii="楷体" w:hAnsi="楷体" w:eastAsia="楷体"/>
                <w:color w:val="000000"/>
                <w:sz w:val="24"/>
              </w:rPr>
            </w:pPr>
            <w:r>
              <w:rPr>
                <w:rFonts w:ascii="楷体" w:hAnsi="楷体" w:eastAsia="楷体"/>
                <w:color w:val="000000"/>
                <w:sz w:val="24"/>
              </w:rPr>
              <w:t>媒体剪报汇总记录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ascii="楷体" w:hAnsi="楷体" w:eastAsia="楷体"/>
                <w:color w:val="000000"/>
                <w:sz w:val="24"/>
              </w:rPr>
              <w:t>媒体危机情况处理成功率</w:t>
            </w:r>
          </w:p>
        </w:tc>
        <w:tc>
          <w:tcPr>
            <w:tcW w:w="6471" w:type="dxa"/>
            <w:noWrap w:val="0"/>
            <w:vAlign w:val="top"/>
          </w:tcPr>
          <w:p>
            <w:pPr>
              <w:spacing w:line="360" w:lineRule="auto"/>
              <w:jc w:val="center"/>
              <w:rPr>
                <w:rFonts w:ascii="楷体" w:hAnsi="楷体" w:eastAsia="楷体"/>
                <w:color w:val="000000"/>
                <w:sz w:val="24"/>
              </w:rPr>
            </w:pPr>
            <w:r>
              <w:rPr>
                <w:rFonts w:ascii="楷体" w:hAnsi="楷体" w:eastAsia="楷体"/>
                <w:color w:val="000000"/>
                <w:sz w:val="24"/>
              </w:rPr>
              <w:t>(媒体危机情况处理成功案例数/媒体危机情况案例总数)×100%</w:t>
            </w:r>
          </w:p>
        </w:tc>
        <w:tc>
          <w:tcPr>
            <w:tcW w:w="2991" w:type="dxa"/>
            <w:noWrap w:val="0"/>
            <w:vAlign w:val="top"/>
          </w:tcPr>
          <w:p>
            <w:pPr>
              <w:spacing w:line="360" w:lineRule="auto"/>
              <w:jc w:val="center"/>
              <w:rPr>
                <w:rFonts w:ascii="楷体" w:hAnsi="楷体" w:eastAsia="楷体"/>
                <w:color w:val="000000"/>
                <w:sz w:val="24"/>
              </w:rPr>
            </w:pPr>
            <w:r>
              <w:rPr>
                <w:rFonts w:ascii="楷体" w:hAnsi="楷体" w:eastAsia="楷体"/>
                <w:color w:val="000000"/>
                <w:sz w:val="24"/>
              </w:rPr>
              <w:t>记录情况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应用开发出错率</w:t>
            </w:r>
          </w:p>
        </w:tc>
        <w:tc>
          <w:tcPr>
            <w:tcW w:w="6471"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(出错的功能块个数/总功能块数)*100%</w:t>
            </w:r>
          </w:p>
        </w:tc>
        <w:tc>
          <w:tcPr>
            <w:tcW w:w="2991"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软件开发文档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系统和网络故障率</w:t>
            </w:r>
          </w:p>
        </w:tc>
        <w:tc>
          <w:tcPr>
            <w:tcW w:w="6471"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(发生故障次数/（设备数*天数))*100%</w:t>
            </w:r>
          </w:p>
        </w:tc>
        <w:tc>
          <w:tcPr>
            <w:tcW w:w="2991"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系统故障记录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业务管理规范程度及效率</w:t>
            </w:r>
          </w:p>
        </w:tc>
        <w:tc>
          <w:tcPr>
            <w:tcW w:w="6471"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业务流程顺畅/业务管理规定书面化/业务流程高效化</w:t>
            </w:r>
          </w:p>
        </w:tc>
        <w:tc>
          <w:tcPr>
            <w:tcW w:w="2991"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实际业务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项目报告按时完成率</w:t>
            </w:r>
          </w:p>
        </w:tc>
        <w:tc>
          <w:tcPr>
            <w:tcW w:w="6471"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(按时完成的项目报告数量/需要完成的项目报告数量)*100%</w:t>
            </w:r>
          </w:p>
        </w:tc>
        <w:tc>
          <w:tcPr>
            <w:tcW w:w="2991"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工作记录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项目成功率</w:t>
            </w:r>
          </w:p>
        </w:tc>
        <w:tc>
          <w:tcPr>
            <w:tcW w:w="6471"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(成功的项目数量/项目总数量</w:t>
            </w:r>
            <w:r>
              <w:rPr>
                <w:rFonts w:hint="eastAsia" w:ascii="楷体" w:hAnsi="楷体" w:eastAsia="楷体"/>
                <w:color w:val="000000"/>
                <w:sz w:val="24"/>
              </w:rPr>
              <w:t>)</w:t>
            </w:r>
            <w:r>
              <w:rPr>
                <w:rFonts w:ascii="楷体" w:hAnsi="楷体" w:eastAsia="楷体"/>
                <w:color w:val="000000"/>
                <w:sz w:val="24"/>
              </w:rPr>
              <w:t>*100%</w:t>
            </w:r>
          </w:p>
        </w:tc>
        <w:tc>
          <w:tcPr>
            <w:tcW w:w="2991"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工作记录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网站建设配合流畅度</w:t>
            </w:r>
          </w:p>
        </w:tc>
        <w:tc>
          <w:tcPr>
            <w:tcW w:w="6471"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完备的策划案、编辑和设计制作的完整衔接</w:t>
            </w:r>
          </w:p>
        </w:tc>
        <w:tc>
          <w:tcPr>
            <w:tcW w:w="2991"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客户档案和业务记录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客户档案和业务单证完备率</w:t>
            </w:r>
          </w:p>
        </w:tc>
        <w:tc>
          <w:tcPr>
            <w:tcW w:w="6471"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(完备的客户档案和业务单证数量/客户档案和发生业务总数</w:t>
            </w:r>
            <w:r>
              <w:rPr>
                <w:rFonts w:hint="eastAsia" w:ascii="楷体" w:hAnsi="楷体" w:eastAsia="楷体"/>
                <w:color w:val="000000"/>
                <w:sz w:val="24"/>
              </w:rPr>
              <w:t>)</w:t>
            </w:r>
            <w:r>
              <w:rPr>
                <w:rFonts w:ascii="楷体" w:hAnsi="楷体" w:eastAsia="楷体"/>
                <w:color w:val="000000"/>
                <w:sz w:val="24"/>
              </w:rPr>
              <w:t>*100%</w:t>
            </w:r>
          </w:p>
        </w:tc>
        <w:tc>
          <w:tcPr>
            <w:tcW w:w="2991"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客户档案和业务记录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档案管理出错率</w:t>
            </w:r>
          </w:p>
        </w:tc>
        <w:tc>
          <w:tcPr>
            <w:tcW w:w="647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w:t>
            </w:r>
            <w:r>
              <w:rPr>
                <w:rFonts w:ascii="楷体" w:hAnsi="楷体" w:eastAsia="楷体"/>
                <w:color w:val="000000"/>
                <w:sz w:val="24"/>
              </w:rPr>
              <w:t>查出管理有误的档案数量/档案总数</w:t>
            </w:r>
            <w:r>
              <w:rPr>
                <w:rFonts w:hint="eastAsia" w:ascii="楷体" w:hAnsi="楷体" w:eastAsia="楷体"/>
                <w:color w:val="000000"/>
                <w:sz w:val="24"/>
              </w:rPr>
              <w:t>)</w:t>
            </w:r>
            <w:r>
              <w:rPr>
                <w:rFonts w:ascii="楷体" w:hAnsi="楷体" w:eastAsia="楷体"/>
                <w:color w:val="000000"/>
                <w:sz w:val="24"/>
              </w:rPr>
              <w:t>*100%</w:t>
            </w:r>
          </w:p>
        </w:tc>
        <w:tc>
          <w:tcPr>
            <w:tcW w:w="2991"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档案管理检查记录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档案更新延误率</w:t>
            </w:r>
          </w:p>
        </w:tc>
        <w:tc>
          <w:tcPr>
            <w:tcW w:w="647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w:t>
            </w:r>
            <w:r>
              <w:rPr>
                <w:rFonts w:ascii="楷体" w:hAnsi="楷体" w:eastAsia="楷体"/>
                <w:color w:val="000000"/>
                <w:sz w:val="24"/>
              </w:rPr>
              <w:t>延误档案更新的数量/档案总数</w:t>
            </w:r>
            <w:r>
              <w:rPr>
                <w:rFonts w:hint="eastAsia" w:ascii="楷体" w:hAnsi="楷体" w:eastAsia="楷体"/>
                <w:color w:val="000000"/>
                <w:sz w:val="24"/>
              </w:rPr>
              <w:t>)</w:t>
            </w:r>
            <w:r>
              <w:rPr>
                <w:rFonts w:ascii="楷体" w:hAnsi="楷体" w:eastAsia="楷体"/>
                <w:color w:val="000000"/>
                <w:sz w:val="24"/>
              </w:rPr>
              <w:t>*100%</w:t>
            </w:r>
          </w:p>
        </w:tc>
        <w:tc>
          <w:tcPr>
            <w:tcW w:w="2991"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档案管理检查记录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总经理满意度</w:t>
            </w:r>
          </w:p>
        </w:tc>
        <w:tc>
          <w:tcPr>
            <w:tcW w:w="6471"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接受随机调研总经理对文章撰稿等方方面面满意度评分值</w:t>
            </w:r>
          </w:p>
        </w:tc>
        <w:tc>
          <w:tcPr>
            <w:tcW w:w="2991"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总经理满意度调研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项目调研报告的认可数量</w:t>
            </w:r>
          </w:p>
        </w:tc>
        <w:tc>
          <w:tcPr>
            <w:tcW w:w="6471"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项目调研报告被认可的实际数量</w:t>
            </w:r>
          </w:p>
        </w:tc>
        <w:tc>
          <w:tcPr>
            <w:tcW w:w="2991"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工作记录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工作制度和工作流程实施、改进比率</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(实施的新制度和流程数/制定的新制度和流程总数)*100%</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中心综合管理部组织评估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政策风险控制效果</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(直接上级评估标准)</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中心综合管理部组织评估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组合经理指令执行效果</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(直接上级评估标准)</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中心综合管理部组织评估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项目论证的参与程度、效果</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(直接上级评估标准)</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中心综合管理部组织评估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工作文档管理的完整性和时效性</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(直接上级评估标准)</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中心综合管理部组织评估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研究报告预测的明确与准确程度</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(直接上级评估标准，聘请外部专家、合作伙伴对每篇研究报告进行评价</w:t>
            </w:r>
            <w:r>
              <w:rPr>
                <w:rFonts w:ascii="楷体" w:hAnsi="楷体" w:eastAsia="楷体"/>
                <w:color w:val="000000"/>
                <w:sz w:val="24"/>
              </w:rPr>
              <w:t>)</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综合管理部组织评估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研究报告数量</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(直接上级评估标准)</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综合管理部组织评估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公开发表研究报告数量</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(直接上级评估标准)</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综合管理部组织评估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数据引用、处理的合理性</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(直接上级评估标准)</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综合管理部组织评估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研究报告深度</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(直接上级评估标准)</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综合管理部组织评估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项目计划目标达成率</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(直接上级评估标准)</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综合管理部组织评估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新产品开发及市场推广成功率</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(研究开发部经理评估标准)</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综合管理部组织评估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新客户开发成功率</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(研究开发部经理评估标准)</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综合管理部组织评估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新产品开发数量</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(研究开发部经理评估标准)</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综合管理部组织评估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后台作业差错率</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(中心总经理评估标准)</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作业流程制度化和标准化程度</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(中心总经理评估标准，由总经理评估，包括所有负责的后台系统</w:t>
            </w:r>
            <w:r>
              <w:rPr>
                <w:rFonts w:ascii="楷体" w:hAnsi="楷体" w:eastAsia="楷体"/>
                <w:color w:val="000000"/>
                <w:sz w:val="24"/>
              </w:rPr>
              <w:t>)</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中心综合管理部组织评估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作业流程优化及实施程度</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(中心总经理评估标准)</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中心综合管理部组织评估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后台作业的效率</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(中心总经理评估标准)</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中心综合管理部组织评估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后台支持的主动性</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(中心总经理评估标准)</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中心综合管理部组织评估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系统故障率</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(综合管理部经理评估标准)</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综合管理部组织评估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系统危机处理效率</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(综合管理部经理评估标准)</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综合管理部组织评估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系统管理标准化、制度化程度</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(综合管理部经理评估标准)</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综合管理部组织评估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系统管理作业流程优化的实施程度</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(综合管理部经理评估标准)</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综合管理部组织评估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工作文档管理的完整性和时效性</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(综合管理部经理评估标准)</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综合管理部组织评估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清算数据时效与准确性</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(综合管理部经理评估标准)</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综合管理部组织评估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清算作业流程标准化、制度化程度</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(综合管理部经理评估标准)</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综合管理部组织评估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清算作业程序优化与实施程度</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(综合管理部经理评估标准)</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综合管理部组织评估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行政服务工作量与效率</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(综合管理部经理评估标准)</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综合管理部组织评估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资金划拨在途时间</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(综合管理部经理评估标准)</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综合管理部组织评估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资金调拨作业流程制度化、标准化程度</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(综合管理部经理评估标准)</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综合管理部组织评估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资金调拨作业流程优化及实施程度</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(综合管理部经理评估标准)</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综合管理部组织评估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流动性报表及现金流量预测的有效性</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(综合管理部经理评估标准)</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综合管理部组织评估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法定会计核算差错率</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(综合管理部经理评估标准)</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综合管理部组织评估工作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管理信息报表的有效性、准确性和及时性</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(综合管理部经理评估标准)</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综合管理部组织评估工作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未发现的交易差错比率</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(综合管理部经理评估标准)</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综合管理部组织评估工作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法律文书起草的规范性</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(综合管理部经理评估标准)</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综合管理部组织评估工作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法律文书服务的效率</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(综合管理部经理评估标准)</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综合管理部组织评估工作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参与研究项目提供法律建议的有效性</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(综合管理部经理评估标准)</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综合管理部组织评估工作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投资法律风险控制效果</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(综合管理部经理评估标准)</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综合管理部组织评估工作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销售部门满意度</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(满意度调查问卷评估标准)</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中心综合管理部组织评估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内部投资经理满意度</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中心投资经理采用满意度调查问卷评估</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中心综合管理部组织评估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内部客户满意度</w:t>
            </w:r>
            <w:r>
              <w:rPr>
                <w:rFonts w:ascii="楷体" w:hAnsi="楷体" w:eastAsia="楷体"/>
                <w:color w:val="000000"/>
                <w:sz w:val="24"/>
              </w:rPr>
              <w:t>(</w:t>
            </w:r>
            <w:r>
              <w:rPr>
                <w:rFonts w:hint="eastAsia" w:ascii="楷体" w:hAnsi="楷体" w:eastAsia="楷体"/>
                <w:color w:val="000000"/>
                <w:sz w:val="24"/>
              </w:rPr>
              <w:t>中心资产组合管理部、研究开发部评估</w:t>
            </w:r>
            <w:r>
              <w:rPr>
                <w:rFonts w:ascii="楷体" w:hAnsi="楷体" w:eastAsia="楷体"/>
                <w:color w:val="000000"/>
                <w:sz w:val="24"/>
              </w:rPr>
              <w:t>)</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资产组合部、研究开发部、总经理采用满意度调查问卷评估</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中心综合管理部组织评估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内部投资经理</w:t>
            </w:r>
            <w:r>
              <w:rPr>
                <w:rFonts w:ascii="楷体" w:hAnsi="楷体" w:eastAsia="楷体"/>
                <w:color w:val="000000"/>
                <w:sz w:val="24"/>
              </w:rPr>
              <w:t>/</w:t>
            </w:r>
            <w:r>
              <w:rPr>
                <w:rFonts w:hint="eastAsia" w:ascii="楷体" w:hAnsi="楷体" w:eastAsia="楷体"/>
                <w:color w:val="000000"/>
                <w:sz w:val="24"/>
              </w:rPr>
              <w:t>研究员满意度</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满意度问卷调查</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综合管理部组织评估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投资经理</w:t>
            </w:r>
            <w:r>
              <w:rPr>
                <w:rFonts w:ascii="楷体" w:hAnsi="楷体" w:eastAsia="楷体"/>
                <w:color w:val="000000"/>
                <w:sz w:val="24"/>
              </w:rPr>
              <w:t>/</w:t>
            </w:r>
            <w:r>
              <w:rPr>
                <w:rFonts w:hint="eastAsia" w:ascii="楷体" w:hAnsi="楷体" w:eastAsia="楷体"/>
                <w:color w:val="000000"/>
                <w:sz w:val="24"/>
              </w:rPr>
              <w:t>投资会计满意度</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满意度问卷调查</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综合管理部组织评估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4644"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投资经理、财务经理满意度</w:t>
            </w:r>
          </w:p>
        </w:tc>
        <w:tc>
          <w:tcPr>
            <w:tcW w:w="647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满意度问卷调查</w:t>
            </w:r>
          </w:p>
        </w:tc>
        <w:tc>
          <w:tcPr>
            <w:tcW w:w="2991"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综合管理部组织评估</w:t>
            </w:r>
          </w:p>
        </w:tc>
      </w:tr>
    </w:tbl>
    <w:p>
      <w:pPr>
        <w:spacing w:line="360" w:lineRule="auto"/>
        <w:jc w:val="center"/>
        <w:rPr>
          <w:rFonts w:hint="eastAsia" w:ascii="楷体" w:hAnsi="楷体" w:eastAsia="楷体"/>
          <w:color w:val="000000"/>
        </w:rPr>
      </w:pPr>
      <w:r>
        <w:rPr>
          <w:rFonts w:ascii="楷体" w:hAnsi="楷体" w:eastAsia="楷体"/>
          <w:color w:val="000000"/>
        </w:rPr>
        <w:br w:type="page"/>
      </w:r>
      <w:r>
        <w:rPr>
          <w:rFonts w:hint="eastAsia" w:ascii="楷体" w:hAnsi="楷体" w:eastAsia="楷体"/>
          <w:color w:val="000000"/>
        </w:rPr>
        <w:t xml:space="preserve">   </w:t>
      </w:r>
      <w:r>
        <w:rPr>
          <w:rFonts w:hint="eastAsia" w:ascii="楷体" w:hAnsi="楷体" w:eastAsia="楷体"/>
          <w:color w:val="000000"/>
          <w:sz w:val="24"/>
          <w:szCs w:val="28"/>
        </w:rPr>
        <w:t xml:space="preserve">  学习与成长指标</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9"/>
        <w:gridCol w:w="5659"/>
        <w:gridCol w:w="3300"/>
      </w:tblGrid>
      <w:tr>
        <w:trPr>
          <w:trHeight w:val="431" w:hRule="atLeast"/>
          <w:jc w:val="center"/>
        </w:trPr>
        <w:tc>
          <w:tcPr>
            <w:tcW w:w="4709" w:type="dxa"/>
            <w:shd w:val="clear" w:color="auto" w:fill="FFFF00"/>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关键绩效指标</w:t>
            </w:r>
          </w:p>
        </w:tc>
        <w:tc>
          <w:tcPr>
            <w:tcW w:w="5659" w:type="dxa"/>
            <w:shd w:val="clear" w:color="auto" w:fill="FFFF00"/>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指标定义/计算公式</w:t>
            </w:r>
          </w:p>
        </w:tc>
        <w:tc>
          <w:tcPr>
            <w:tcW w:w="3300" w:type="dxa"/>
            <w:shd w:val="clear" w:color="auto" w:fill="FFFF00"/>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数据来源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709" w:type="dxa"/>
            <w:noWrap w:val="0"/>
            <w:vAlign w:val="top"/>
          </w:tcPr>
          <w:p>
            <w:pPr>
              <w:spacing w:line="360" w:lineRule="auto"/>
              <w:jc w:val="center"/>
              <w:rPr>
                <w:rFonts w:ascii="楷体" w:hAnsi="楷体" w:eastAsia="楷体"/>
                <w:color w:val="000000"/>
                <w:sz w:val="24"/>
              </w:rPr>
            </w:pPr>
            <w:r>
              <w:rPr>
                <w:rFonts w:ascii="楷体" w:hAnsi="楷体" w:eastAsia="楷体"/>
                <w:color w:val="000000"/>
                <w:sz w:val="24"/>
              </w:rPr>
              <w:t>个人培训参加率</w:t>
            </w:r>
          </w:p>
        </w:tc>
        <w:tc>
          <w:tcPr>
            <w:tcW w:w="5659"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(实际参加培训次数</w:t>
            </w:r>
            <w:r>
              <w:rPr>
                <w:rFonts w:ascii="楷体" w:hAnsi="楷体" w:eastAsia="楷体"/>
                <w:color w:val="000000"/>
                <w:sz w:val="24"/>
              </w:rPr>
              <w:t>/规定应参加培训</w:t>
            </w:r>
            <w:r>
              <w:rPr>
                <w:rFonts w:hint="eastAsia" w:ascii="楷体" w:hAnsi="楷体" w:eastAsia="楷体"/>
                <w:color w:val="000000"/>
                <w:sz w:val="24"/>
              </w:rPr>
              <w:t>次</w:t>
            </w:r>
            <w:r>
              <w:rPr>
                <w:rFonts w:ascii="楷体" w:hAnsi="楷体" w:eastAsia="楷体"/>
                <w:color w:val="000000"/>
                <w:sz w:val="24"/>
              </w:rPr>
              <w:t>数</w:t>
            </w:r>
            <w:r>
              <w:rPr>
                <w:rFonts w:hint="eastAsia" w:ascii="楷体" w:hAnsi="楷体" w:eastAsia="楷体"/>
                <w:color w:val="000000"/>
                <w:sz w:val="24"/>
              </w:rPr>
              <w:t>)</w:t>
            </w:r>
            <w:r>
              <w:rPr>
                <w:rFonts w:ascii="楷体" w:hAnsi="楷体" w:eastAsia="楷体"/>
                <w:color w:val="000000"/>
                <w:sz w:val="24"/>
              </w:rPr>
              <w:t>*100%</w:t>
            </w:r>
          </w:p>
        </w:tc>
        <w:tc>
          <w:tcPr>
            <w:tcW w:w="3300"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培训出勤记录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709" w:type="dxa"/>
            <w:noWrap w:val="0"/>
            <w:vAlign w:val="top"/>
          </w:tcPr>
          <w:p>
            <w:pPr>
              <w:spacing w:line="360" w:lineRule="auto"/>
              <w:jc w:val="center"/>
              <w:rPr>
                <w:rFonts w:ascii="楷体" w:hAnsi="楷体" w:eastAsia="楷体"/>
                <w:color w:val="000000"/>
                <w:sz w:val="24"/>
              </w:rPr>
            </w:pPr>
            <w:r>
              <w:rPr>
                <w:rFonts w:ascii="楷体" w:hAnsi="楷体" w:eastAsia="楷体"/>
                <w:color w:val="000000"/>
                <w:sz w:val="24"/>
              </w:rPr>
              <w:t>部门培训计划完成率</w:t>
            </w:r>
          </w:p>
        </w:tc>
        <w:tc>
          <w:tcPr>
            <w:tcW w:w="5659"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(部门培训实际完成情况/计划完成量)*100%</w:t>
            </w:r>
          </w:p>
        </w:tc>
        <w:tc>
          <w:tcPr>
            <w:tcW w:w="3300"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部门培训计划记录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709"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提出建议的数量和质量</w:t>
            </w:r>
            <w:r>
              <w:rPr>
                <w:rFonts w:ascii="楷体" w:hAnsi="楷体" w:eastAsia="楷体"/>
                <w:color w:val="000000"/>
                <w:sz w:val="24"/>
              </w:rPr>
              <w:t>(鼓励创意性指标)</w:t>
            </w:r>
          </w:p>
        </w:tc>
        <w:tc>
          <w:tcPr>
            <w:tcW w:w="5659"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领导认可的新产品建议的数量和质量</w:t>
            </w:r>
          </w:p>
        </w:tc>
        <w:tc>
          <w:tcPr>
            <w:tcW w:w="3300"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上级领导的评价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709"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公司内勤培训规划的制定及实施</w:t>
            </w:r>
          </w:p>
        </w:tc>
        <w:tc>
          <w:tcPr>
            <w:tcW w:w="5659"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制订公司总体及各岗位的培训规划，并组织实施</w:t>
            </w:r>
          </w:p>
        </w:tc>
        <w:tc>
          <w:tcPr>
            <w:tcW w:w="3300"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上级领导的评价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709"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团队建设成功率</w:t>
            </w:r>
          </w:p>
        </w:tc>
        <w:tc>
          <w:tcPr>
            <w:tcW w:w="5659"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　</w:t>
            </w:r>
          </w:p>
        </w:tc>
        <w:tc>
          <w:tcPr>
            <w:tcW w:w="3300"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709"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员工自然流动率</w:t>
            </w:r>
          </w:p>
        </w:tc>
        <w:tc>
          <w:tcPr>
            <w:tcW w:w="5659"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(离职人数</w:t>
            </w:r>
            <w:r>
              <w:rPr>
                <w:rFonts w:ascii="楷体" w:hAnsi="楷体" w:eastAsia="楷体"/>
                <w:color w:val="000000"/>
                <w:sz w:val="24"/>
              </w:rPr>
              <w:t>/</w:t>
            </w:r>
            <w:r>
              <w:rPr>
                <w:rFonts w:hint="eastAsia" w:ascii="楷体" w:hAnsi="楷体" w:eastAsia="楷体"/>
                <w:color w:val="000000"/>
                <w:sz w:val="24"/>
              </w:rPr>
              <w:t>现有人数)*100%</w:t>
            </w:r>
          </w:p>
        </w:tc>
        <w:tc>
          <w:tcPr>
            <w:tcW w:w="3300"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人力资源部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709"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员工合作性</w:t>
            </w:r>
          </w:p>
        </w:tc>
        <w:tc>
          <w:tcPr>
            <w:tcW w:w="5659"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　</w:t>
            </w:r>
          </w:p>
        </w:tc>
        <w:tc>
          <w:tcPr>
            <w:tcW w:w="3300"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709"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创新建议采纳率</w:t>
            </w:r>
          </w:p>
        </w:tc>
        <w:tc>
          <w:tcPr>
            <w:tcW w:w="5659"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（被采纳的创新建议数量/部门建议总数量）*100%</w:t>
            </w:r>
          </w:p>
        </w:tc>
        <w:tc>
          <w:tcPr>
            <w:tcW w:w="3300" w:type="dxa"/>
            <w:noWrap w:val="0"/>
            <w:vAlign w:val="top"/>
          </w:tcPr>
          <w:p>
            <w:pPr>
              <w:spacing w:line="360" w:lineRule="auto"/>
              <w:jc w:val="center"/>
              <w:rPr>
                <w:rFonts w:hint="eastAsia" w:ascii="楷体" w:hAnsi="楷体" w:eastAsia="楷体"/>
                <w:color w:val="000000"/>
                <w:sz w:val="24"/>
              </w:rPr>
            </w:pPr>
            <w:r>
              <w:rPr>
                <w:rFonts w:ascii="楷体" w:hAnsi="楷体" w:eastAsia="楷体"/>
                <w:color w:val="000000"/>
                <w:sz w:val="24"/>
              </w:rPr>
              <w:t>创新建议采纳记录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709" w:type="dxa"/>
            <w:noWrap w:val="0"/>
            <w:vAlign w:val="top"/>
          </w:tcPr>
          <w:p>
            <w:pPr>
              <w:spacing w:line="360" w:lineRule="auto"/>
              <w:jc w:val="center"/>
              <w:rPr>
                <w:rFonts w:ascii="楷体" w:hAnsi="楷体" w:eastAsia="楷体"/>
                <w:color w:val="000000"/>
                <w:sz w:val="24"/>
              </w:rPr>
            </w:pPr>
            <w:r>
              <w:rPr>
                <w:rFonts w:ascii="楷体" w:hAnsi="楷体" w:eastAsia="楷体"/>
                <w:color w:val="000000"/>
                <w:sz w:val="24"/>
              </w:rPr>
              <w:t>新技术掌握运用程度</w:t>
            </w:r>
          </w:p>
        </w:tc>
        <w:tc>
          <w:tcPr>
            <w:tcW w:w="5659" w:type="dxa"/>
            <w:noWrap w:val="0"/>
            <w:vAlign w:val="top"/>
          </w:tcPr>
          <w:p>
            <w:pPr>
              <w:spacing w:line="360" w:lineRule="auto"/>
              <w:jc w:val="center"/>
              <w:rPr>
                <w:rFonts w:ascii="楷体" w:hAnsi="楷体" w:eastAsia="楷体"/>
                <w:color w:val="000000"/>
                <w:sz w:val="24"/>
              </w:rPr>
            </w:pPr>
          </w:p>
        </w:tc>
        <w:tc>
          <w:tcPr>
            <w:tcW w:w="3300" w:type="dxa"/>
            <w:noWrap w:val="0"/>
            <w:vAlign w:val="top"/>
          </w:tcPr>
          <w:p>
            <w:pPr>
              <w:spacing w:line="360" w:lineRule="auto"/>
              <w:jc w:val="center"/>
              <w:rPr>
                <w:rFonts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709" w:type="dxa"/>
            <w:noWrap w:val="0"/>
            <w:vAlign w:val="top"/>
          </w:tcPr>
          <w:p>
            <w:pPr>
              <w:spacing w:line="360" w:lineRule="auto"/>
              <w:jc w:val="center"/>
              <w:rPr>
                <w:rFonts w:ascii="楷体" w:hAnsi="楷体" w:eastAsia="楷体"/>
                <w:color w:val="000000"/>
                <w:sz w:val="24"/>
              </w:rPr>
            </w:pPr>
            <w:r>
              <w:rPr>
                <w:rFonts w:ascii="楷体" w:hAnsi="楷体" w:eastAsia="楷体"/>
                <w:color w:val="000000"/>
                <w:sz w:val="24"/>
              </w:rPr>
              <w:t>培训种类</w:t>
            </w:r>
          </w:p>
        </w:tc>
        <w:tc>
          <w:tcPr>
            <w:tcW w:w="5659" w:type="dxa"/>
            <w:noWrap w:val="0"/>
            <w:vAlign w:val="top"/>
          </w:tcPr>
          <w:p>
            <w:pPr>
              <w:spacing w:line="360" w:lineRule="auto"/>
              <w:jc w:val="center"/>
              <w:rPr>
                <w:rFonts w:ascii="楷体" w:hAnsi="楷体" w:eastAsia="楷体"/>
                <w:color w:val="000000"/>
                <w:sz w:val="24"/>
              </w:rPr>
            </w:pPr>
            <w:r>
              <w:rPr>
                <w:rFonts w:ascii="楷体" w:hAnsi="楷体" w:eastAsia="楷体"/>
                <w:color w:val="000000"/>
                <w:sz w:val="24"/>
              </w:rPr>
              <w:t>培训种类总计</w:t>
            </w:r>
          </w:p>
        </w:tc>
        <w:tc>
          <w:tcPr>
            <w:tcW w:w="3300" w:type="dxa"/>
            <w:noWrap w:val="0"/>
            <w:vAlign w:val="top"/>
          </w:tcPr>
          <w:p>
            <w:pPr>
              <w:spacing w:line="360" w:lineRule="auto"/>
              <w:jc w:val="center"/>
              <w:rPr>
                <w:rFonts w:ascii="楷体" w:hAnsi="楷体" w:eastAsia="楷体"/>
                <w:color w:val="000000"/>
                <w:sz w:val="24"/>
              </w:rPr>
            </w:pPr>
            <w:r>
              <w:rPr>
                <w:rFonts w:ascii="楷体" w:hAnsi="楷体" w:eastAsia="楷体"/>
                <w:color w:val="000000"/>
                <w:sz w:val="24"/>
              </w:rPr>
              <w:t>培训种类记录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709"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员工培训与激励满意度（包括培训计划完成率、员工激励等）</w:t>
            </w:r>
          </w:p>
        </w:tc>
        <w:tc>
          <w:tcPr>
            <w:tcW w:w="5659"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下属员工用满意度调查表评分</w:t>
            </w:r>
          </w:p>
        </w:tc>
        <w:tc>
          <w:tcPr>
            <w:tcW w:w="3300"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中心综合管理部组织评估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709"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研究开发部员工满意度</w:t>
            </w:r>
          </w:p>
        </w:tc>
        <w:tc>
          <w:tcPr>
            <w:tcW w:w="5659"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满意度调查问卷评估</w:t>
            </w:r>
          </w:p>
        </w:tc>
        <w:tc>
          <w:tcPr>
            <w:tcW w:w="3300"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中心综合管理部组织评估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709"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研究项目创新及项目规划、组织</w:t>
            </w:r>
          </w:p>
        </w:tc>
        <w:tc>
          <w:tcPr>
            <w:tcW w:w="5659"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(中心总经理评估标准)</w:t>
            </w:r>
          </w:p>
        </w:tc>
        <w:tc>
          <w:tcPr>
            <w:tcW w:w="3300"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中心综合管理部组织评估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709"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培训与研讨参与率</w:t>
            </w:r>
          </w:p>
        </w:tc>
        <w:tc>
          <w:tcPr>
            <w:tcW w:w="5659"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(实际参加培训与研讨的员工数/规定应参加培训与研讨的总人数)*100%</w:t>
            </w:r>
          </w:p>
        </w:tc>
        <w:tc>
          <w:tcPr>
            <w:tcW w:w="3300"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培训研讨出勤记录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709"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培训参与率</w:t>
            </w:r>
          </w:p>
        </w:tc>
        <w:tc>
          <w:tcPr>
            <w:tcW w:w="5659"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(实际参加培训的员工数/规定应参加培训的总人数)*100%</w:t>
            </w:r>
          </w:p>
        </w:tc>
        <w:tc>
          <w:tcPr>
            <w:tcW w:w="3300"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培训出勤记录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31" w:hRule="atLeast"/>
          <w:jc w:val="center"/>
        </w:trPr>
        <w:tc>
          <w:tcPr>
            <w:tcW w:w="4709"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内部员工满意度</w:t>
            </w:r>
          </w:p>
        </w:tc>
        <w:tc>
          <w:tcPr>
            <w:tcW w:w="5659"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(综合管理部经理评估标准)</w:t>
            </w:r>
          </w:p>
        </w:tc>
        <w:tc>
          <w:tcPr>
            <w:tcW w:w="3300" w:type="dxa"/>
            <w:noWrap w:val="0"/>
            <w:vAlign w:val="top"/>
          </w:tcPr>
          <w:p>
            <w:pPr>
              <w:spacing w:line="360" w:lineRule="auto"/>
              <w:jc w:val="center"/>
              <w:rPr>
                <w:rFonts w:ascii="楷体" w:hAnsi="楷体" w:eastAsia="楷体"/>
                <w:color w:val="000000"/>
                <w:sz w:val="24"/>
              </w:rPr>
            </w:pPr>
            <w:r>
              <w:rPr>
                <w:rFonts w:hint="eastAsia" w:ascii="楷体" w:hAnsi="楷体" w:eastAsia="楷体"/>
                <w:color w:val="000000"/>
                <w:sz w:val="24"/>
              </w:rPr>
              <w:t>综合管理部组织评估工作</w:t>
            </w:r>
          </w:p>
        </w:tc>
      </w:tr>
    </w:tbl>
    <w:p>
      <w:pPr>
        <w:widowControl/>
        <w:spacing w:line="360" w:lineRule="auto"/>
        <w:jc w:val="center"/>
        <w:rPr>
          <w:rFonts w:hint="eastAsia" w:ascii="楷体" w:hAnsi="楷体" w:eastAsia="楷体"/>
          <w:color w:val="000000"/>
          <w:sz w:val="24"/>
        </w:rPr>
      </w:pPr>
      <w:r>
        <w:rPr>
          <w:rFonts w:hint="eastAsia" w:ascii="楷体" w:hAnsi="宋体" w:eastAsia="楷体" w:cs="宋体"/>
          <w:b/>
          <w:bCs/>
          <w:color w:val="000000"/>
          <w:kern w:val="0"/>
          <w:sz w:val="28"/>
        </w:rPr>
        <w:t>企业（三）关键绩效指标（KPI）辞典</w:t>
      </w:r>
    </w:p>
    <w:p>
      <w:pPr>
        <w:spacing w:line="360" w:lineRule="auto"/>
        <w:jc w:val="center"/>
        <w:rPr>
          <w:rFonts w:hint="eastAsia" w:ascii="楷体" w:hAnsi="楷体" w:eastAsia="楷体" w:cs="宋体"/>
          <w:bCs/>
          <w:color w:val="000000"/>
          <w:kern w:val="0"/>
          <w:sz w:val="24"/>
        </w:rPr>
      </w:pPr>
      <w:r>
        <w:rPr>
          <w:rFonts w:hint="eastAsia" w:ascii="楷体" w:hAnsi="楷体" w:eastAsia="楷体"/>
          <w:color w:val="000000"/>
          <w:sz w:val="24"/>
          <w:szCs w:val="28"/>
        </w:rPr>
        <w:t>2</w:t>
      </w:r>
      <w:r>
        <w:rPr>
          <w:rFonts w:ascii="楷体" w:hAnsi="楷体" w:eastAsia="楷体"/>
          <w:color w:val="000000"/>
          <w:sz w:val="24"/>
          <w:szCs w:val="28"/>
        </w:rPr>
        <w:t>0</w:t>
      </w:r>
      <w:r>
        <w:rPr>
          <w:rFonts w:hint="eastAsia" w:ascii="楷体" w:hAnsi="楷体" w:eastAsia="楷体"/>
          <w:color w:val="000000"/>
          <w:sz w:val="24"/>
          <w:szCs w:val="28"/>
        </w:rPr>
        <w:t>某年副总指标汇总表</w:t>
      </w:r>
    </w:p>
    <w:tbl>
      <w:tblPr>
        <w:tblStyle w:val="9"/>
        <w:tblW w:w="14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2923"/>
        <w:gridCol w:w="2975"/>
        <w:gridCol w:w="2202"/>
        <w:gridCol w:w="2523"/>
        <w:gridCol w:w="897"/>
        <w:gridCol w:w="1466"/>
      </w:tblGrid>
      <w:tr>
        <w:trPr>
          <w:jc w:val="center"/>
        </w:trPr>
        <w:tc>
          <w:tcPr>
            <w:tcW w:w="118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s="宋体"/>
                <w:bCs/>
                <w:color w:val="000000"/>
                <w:kern w:val="0"/>
                <w:sz w:val="24"/>
                <w:szCs w:val="21"/>
              </w:rPr>
              <w:t>职务</w:t>
            </w: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考核指标</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业绩标准</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指标回顾</w:t>
            </w:r>
          </w:p>
        </w:tc>
        <w:tc>
          <w:tcPr>
            <w:tcW w:w="25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考核评价</w:t>
            </w:r>
          </w:p>
        </w:tc>
        <w:tc>
          <w:tcPr>
            <w:tcW w:w="897"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权重</w:t>
            </w:r>
          </w:p>
        </w:tc>
        <w:tc>
          <w:tcPr>
            <w:tcW w:w="1466"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提取部门</w:t>
            </w:r>
          </w:p>
        </w:tc>
      </w:tr>
      <w:tr>
        <w:trPr>
          <w:jc w:val="center"/>
        </w:trPr>
        <w:tc>
          <w:tcPr>
            <w:tcW w:w="1188" w:type="dxa"/>
            <w:noWrap w:val="0"/>
            <w:vAlign w:val="top"/>
          </w:tcPr>
          <w:p>
            <w:pPr>
              <w:spacing w:line="360" w:lineRule="auto"/>
              <w:jc w:val="center"/>
              <w:rPr>
                <w:rFonts w:hint="eastAsia" w:ascii="楷体" w:hAnsi="楷体" w:eastAsia="楷体"/>
                <w:color w:val="000000"/>
                <w:sz w:val="24"/>
                <w:szCs w:val="21"/>
              </w:rPr>
            </w:pPr>
          </w:p>
        </w:tc>
        <w:tc>
          <w:tcPr>
            <w:tcW w:w="2923" w:type="dxa"/>
            <w:noWrap w:val="0"/>
            <w:vAlign w:val="top"/>
          </w:tcPr>
          <w:p>
            <w:pPr>
              <w:spacing w:line="360" w:lineRule="auto"/>
              <w:jc w:val="center"/>
              <w:rPr>
                <w:rFonts w:hint="eastAsia" w:ascii="楷体" w:hAnsi="楷体" w:eastAsia="楷体"/>
                <w:color w:val="000000"/>
                <w:sz w:val="24"/>
                <w:szCs w:val="21"/>
              </w:rPr>
            </w:pPr>
            <w:r>
              <w:rPr>
                <w:rFonts w:ascii="楷体" w:hAnsi="楷体" w:eastAsia="楷体"/>
                <w:color w:val="000000"/>
                <w:kern w:val="0"/>
                <w:sz w:val="24"/>
                <w:szCs w:val="21"/>
              </w:rPr>
              <w:t>1</w:t>
            </w:r>
            <w:r>
              <w:rPr>
                <w:rFonts w:hint="eastAsia" w:ascii="楷体" w:hAnsi="楷体" w:eastAsia="楷体" w:cs="宋体"/>
                <w:color w:val="000000"/>
                <w:kern w:val="0"/>
                <w:sz w:val="24"/>
                <w:szCs w:val="21"/>
              </w:rPr>
              <w:t>、月审批资金供应率</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s="宋体"/>
                <w:color w:val="000000"/>
                <w:kern w:val="0"/>
                <w:sz w:val="24"/>
                <w:szCs w:val="21"/>
              </w:rPr>
              <w:t>资金不断档</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s="宋体"/>
                <w:color w:val="000000"/>
                <w:kern w:val="0"/>
                <w:sz w:val="24"/>
                <w:szCs w:val="21"/>
              </w:rPr>
              <w:t>实际供应率：</w:t>
            </w:r>
          </w:p>
        </w:tc>
        <w:tc>
          <w:tcPr>
            <w:tcW w:w="2523" w:type="dxa"/>
            <w:noWrap w:val="0"/>
            <w:vAlign w:val="top"/>
          </w:tcPr>
          <w:p>
            <w:pPr>
              <w:spacing w:line="360" w:lineRule="auto"/>
              <w:jc w:val="center"/>
              <w:rPr>
                <w:rFonts w:hint="eastAsia" w:ascii="楷体" w:hAnsi="楷体" w:eastAsia="楷体"/>
                <w:color w:val="000000"/>
                <w:sz w:val="24"/>
                <w:szCs w:val="21"/>
              </w:rPr>
            </w:pPr>
            <w:r>
              <w:rPr>
                <w:rFonts w:ascii="楷体" w:hAnsi="楷体" w:eastAsia="楷体" w:cs="Arial"/>
                <w:color w:val="000000"/>
                <w:kern w:val="0"/>
                <w:sz w:val="24"/>
                <w:szCs w:val="21"/>
              </w:rPr>
              <w:t>5×[1</w:t>
            </w:r>
            <w:r>
              <w:rPr>
                <w:rFonts w:hint="eastAsia" w:ascii="楷体" w:hAnsi="楷体" w:eastAsia="楷体" w:cs="宋体"/>
                <w:color w:val="000000"/>
                <w:kern w:val="0"/>
                <w:sz w:val="24"/>
                <w:szCs w:val="21"/>
              </w:rPr>
              <w:t>－（</w:t>
            </w:r>
            <w:r>
              <w:rPr>
                <w:rFonts w:ascii="楷体" w:hAnsi="楷体" w:eastAsia="楷体" w:cs="Arial"/>
                <w:color w:val="000000"/>
                <w:kern w:val="0"/>
                <w:sz w:val="24"/>
                <w:szCs w:val="21"/>
              </w:rPr>
              <w:t>10*%</w:t>
            </w:r>
            <w:r>
              <w:rPr>
                <w:rFonts w:hint="eastAsia" w:ascii="楷体" w:hAnsi="楷体" w:eastAsia="楷体" w:cs="宋体"/>
                <w:color w:val="000000"/>
                <w:kern w:val="0"/>
                <w:sz w:val="24"/>
                <w:szCs w:val="21"/>
              </w:rPr>
              <w:t>－实际供应率）</w:t>
            </w:r>
            <w:r>
              <w:rPr>
                <w:rFonts w:ascii="楷体" w:hAnsi="楷体" w:eastAsia="楷体" w:cs="Arial"/>
                <w:color w:val="000000"/>
                <w:kern w:val="0"/>
                <w:sz w:val="24"/>
                <w:szCs w:val="21"/>
              </w:rPr>
              <w:t>×4] =</w:t>
            </w:r>
          </w:p>
        </w:tc>
        <w:tc>
          <w:tcPr>
            <w:tcW w:w="897"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30％</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s="宋体"/>
                <w:color w:val="000000"/>
                <w:kern w:val="0"/>
                <w:sz w:val="24"/>
                <w:szCs w:val="21"/>
              </w:rPr>
              <w:t>财务费用控制（包括财务费用、管理费用等）</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s="宋体"/>
                <w:color w:val="000000"/>
                <w:kern w:val="0"/>
                <w:sz w:val="24"/>
                <w:szCs w:val="21"/>
              </w:rPr>
              <w:t>严格执行每月的预算标准</w:t>
            </w:r>
          </w:p>
        </w:tc>
        <w:tc>
          <w:tcPr>
            <w:tcW w:w="2202" w:type="dxa"/>
            <w:noWrap w:val="0"/>
            <w:vAlign w:val="top"/>
          </w:tcPr>
          <w:p>
            <w:pPr>
              <w:spacing w:line="360" w:lineRule="auto"/>
              <w:jc w:val="center"/>
              <w:rPr>
                <w:rFonts w:hint="eastAsia" w:ascii="楷体" w:hAnsi="楷体" w:eastAsia="楷体"/>
                <w:color w:val="000000"/>
                <w:sz w:val="24"/>
                <w:szCs w:val="21"/>
              </w:rPr>
            </w:pPr>
          </w:p>
        </w:tc>
        <w:tc>
          <w:tcPr>
            <w:tcW w:w="2523" w:type="dxa"/>
            <w:noWrap w:val="0"/>
            <w:vAlign w:val="top"/>
          </w:tcPr>
          <w:p>
            <w:pPr>
              <w:spacing w:line="360" w:lineRule="auto"/>
              <w:jc w:val="center"/>
              <w:rPr>
                <w:rFonts w:hint="eastAsia" w:ascii="楷体" w:hAnsi="楷体" w:eastAsia="楷体"/>
                <w:color w:val="000000"/>
                <w:sz w:val="24"/>
                <w:szCs w:val="21"/>
              </w:rPr>
            </w:pPr>
          </w:p>
        </w:tc>
        <w:tc>
          <w:tcPr>
            <w:tcW w:w="897"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30％</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s="宋体"/>
                <w:color w:val="000000"/>
                <w:kern w:val="0"/>
                <w:sz w:val="24"/>
                <w:szCs w:val="21"/>
              </w:rPr>
              <w:t>采购成本降低率</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s="宋体"/>
                <w:color w:val="000000"/>
                <w:kern w:val="0"/>
                <w:sz w:val="24"/>
                <w:szCs w:val="21"/>
              </w:rPr>
              <w:t>采购成本比去年同期相比下浮3％</w:t>
            </w:r>
          </w:p>
        </w:tc>
        <w:tc>
          <w:tcPr>
            <w:tcW w:w="2202" w:type="dxa"/>
            <w:noWrap w:val="0"/>
            <w:vAlign w:val="top"/>
          </w:tcPr>
          <w:p>
            <w:pPr>
              <w:autoSpaceDE w:val="0"/>
              <w:autoSpaceDN w:val="0"/>
              <w:adjustRightInd w:val="0"/>
              <w:spacing w:line="360" w:lineRule="auto"/>
              <w:jc w:val="center"/>
              <w:rPr>
                <w:rFonts w:hint="eastAsia" w:ascii="楷体" w:hAnsi="楷体" w:eastAsia="楷体"/>
                <w:color w:val="000000"/>
                <w:sz w:val="24"/>
                <w:szCs w:val="21"/>
              </w:rPr>
            </w:pPr>
            <w:r>
              <w:rPr>
                <w:rFonts w:hint="eastAsia" w:ascii="楷体" w:hAnsi="楷体" w:eastAsia="楷体" w:cs="宋体"/>
                <w:color w:val="000000"/>
                <w:kern w:val="0"/>
                <w:sz w:val="24"/>
                <w:szCs w:val="21"/>
              </w:rPr>
              <w:t>实际控制比率</w:t>
            </w:r>
          </w:p>
        </w:tc>
        <w:tc>
          <w:tcPr>
            <w:tcW w:w="2523" w:type="dxa"/>
            <w:noWrap w:val="0"/>
            <w:vAlign w:val="top"/>
          </w:tcPr>
          <w:p>
            <w:pPr>
              <w:autoSpaceDE w:val="0"/>
              <w:autoSpaceDN w:val="0"/>
              <w:adjustRightInd w:val="0"/>
              <w:spacing w:line="360" w:lineRule="auto"/>
              <w:jc w:val="center"/>
              <w:rPr>
                <w:rFonts w:ascii="楷体" w:hAnsi="楷体" w:eastAsia="楷体"/>
                <w:color w:val="000000"/>
                <w:kern w:val="0"/>
                <w:sz w:val="24"/>
                <w:szCs w:val="21"/>
              </w:rPr>
            </w:pPr>
            <w:r>
              <w:rPr>
                <w:rFonts w:ascii="楷体" w:hAnsi="楷体" w:eastAsia="楷体"/>
                <w:color w:val="000000"/>
                <w:kern w:val="0"/>
                <w:sz w:val="24"/>
                <w:szCs w:val="21"/>
              </w:rPr>
              <w:t>5×[1</w:t>
            </w:r>
            <w:r>
              <w:rPr>
                <w:rFonts w:hint="eastAsia" w:ascii="楷体" w:hAnsi="楷体" w:eastAsia="楷体" w:cs="宋体"/>
                <w:color w:val="000000"/>
                <w:kern w:val="0"/>
                <w:sz w:val="24"/>
                <w:szCs w:val="21"/>
              </w:rPr>
              <w:t>－（</w:t>
            </w:r>
            <w:r>
              <w:rPr>
                <w:rFonts w:ascii="楷体" w:hAnsi="楷体" w:eastAsia="楷体"/>
                <w:color w:val="000000"/>
                <w:kern w:val="0"/>
                <w:sz w:val="24"/>
                <w:szCs w:val="21"/>
              </w:rPr>
              <w:t>3%</w:t>
            </w:r>
            <w:r>
              <w:rPr>
                <w:rFonts w:hint="eastAsia" w:ascii="楷体" w:hAnsi="楷体" w:eastAsia="楷体" w:cs="宋体"/>
                <w:color w:val="000000"/>
                <w:kern w:val="0"/>
                <w:sz w:val="24"/>
                <w:szCs w:val="21"/>
              </w:rPr>
              <w:t>－实际下浮比率）</w:t>
            </w:r>
            <w:r>
              <w:rPr>
                <w:rFonts w:ascii="楷体" w:hAnsi="楷体" w:eastAsia="楷体"/>
                <w:color w:val="000000"/>
                <w:kern w:val="0"/>
                <w:sz w:val="24"/>
                <w:szCs w:val="21"/>
              </w:rPr>
              <w:t>×17]=</w:t>
            </w:r>
          </w:p>
          <w:p>
            <w:pPr>
              <w:spacing w:line="360" w:lineRule="auto"/>
              <w:jc w:val="center"/>
              <w:rPr>
                <w:rFonts w:hint="eastAsia" w:ascii="楷体" w:hAnsi="楷体" w:eastAsia="楷体"/>
                <w:color w:val="000000"/>
                <w:sz w:val="24"/>
                <w:szCs w:val="21"/>
              </w:rPr>
            </w:pPr>
            <w:r>
              <w:rPr>
                <w:rFonts w:ascii="楷体" w:hAnsi="楷体" w:eastAsia="楷体"/>
                <w:color w:val="000000"/>
                <w:kern w:val="0"/>
                <w:sz w:val="24"/>
                <w:szCs w:val="21"/>
              </w:rPr>
              <w:t>5×[1</w:t>
            </w:r>
            <w:r>
              <w:rPr>
                <w:rFonts w:hint="eastAsia" w:ascii="楷体" w:hAnsi="楷体" w:eastAsia="楷体" w:cs="宋体"/>
                <w:color w:val="000000"/>
                <w:kern w:val="0"/>
                <w:sz w:val="24"/>
                <w:szCs w:val="21"/>
              </w:rPr>
              <w:t>－（</w:t>
            </w:r>
            <w:r>
              <w:rPr>
                <w:rFonts w:ascii="楷体" w:hAnsi="楷体" w:eastAsia="楷体"/>
                <w:color w:val="000000"/>
                <w:kern w:val="0"/>
                <w:sz w:val="24"/>
                <w:szCs w:val="21"/>
              </w:rPr>
              <w:t>3%+</w:t>
            </w:r>
            <w:r>
              <w:rPr>
                <w:rFonts w:hint="eastAsia" w:ascii="楷体" w:hAnsi="楷体" w:eastAsia="楷体" w:cs="宋体"/>
                <w:color w:val="000000"/>
                <w:kern w:val="0"/>
                <w:sz w:val="24"/>
                <w:szCs w:val="21"/>
              </w:rPr>
              <w:t>实际上涨比率）</w:t>
            </w:r>
            <w:r>
              <w:rPr>
                <w:rFonts w:ascii="楷体" w:hAnsi="楷体" w:eastAsia="楷体"/>
                <w:color w:val="000000"/>
                <w:kern w:val="0"/>
                <w:sz w:val="24"/>
                <w:szCs w:val="21"/>
              </w:rPr>
              <w:t>×20]=</w:t>
            </w:r>
          </w:p>
        </w:tc>
        <w:tc>
          <w:tcPr>
            <w:tcW w:w="897"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30％</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s="宋体"/>
                <w:color w:val="000000"/>
                <w:kern w:val="0"/>
                <w:sz w:val="24"/>
                <w:szCs w:val="21"/>
              </w:rPr>
              <w:t>采购配件质量事故率</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s="宋体"/>
                <w:color w:val="000000"/>
                <w:kern w:val="0"/>
                <w:sz w:val="24"/>
                <w:szCs w:val="21"/>
              </w:rPr>
              <w:t>质量事故率为</w:t>
            </w:r>
            <w:r>
              <w:rPr>
                <w:rFonts w:ascii="楷体" w:hAnsi="楷体" w:eastAsia="楷体"/>
                <w:color w:val="000000"/>
                <w:kern w:val="0"/>
                <w:sz w:val="24"/>
                <w:szCs w:val="21"/>
              </w:rPr>
              <w:t>0</w:t>
            </w:r>
            <w:r>
              <w:rPr>
                <w:rFonts w:hint="eastAsia" w:ascii="楷体" w:hAnsi="楷体" w:eastAsia="楷体" w:cs="宋体"/>
                <w:color w:val="000000"/>
                <w:kern w:val="0"/>
                <w:sz w:val="24"/>
                <w:szCs w:val="21"/>
              </w:rPr>
              <w:t>，发现一次扣</w:t>
            </w:r>
            <w:r>
              <w:rPr>
                <w:rFonts w:ascii="楷体" w:hAnsi="楷体" w:eastAsia="楷体"/>
                <w:color w:val="000000"/>
                <w:kern w:val="0"/>
                <w:sz w:val="24"/>
                <w:szCs w:val="21"/>
              </w:rPr>
              <w:t>2</w:t>
            </w:r>
            <w:r>
              <w:rPr>
                <w:rFonts w:hint="eastAsia" w:ascii="楷体" w:hAnsi="楷体" w:eastAsia="楷体" w:cs="宋体"/>
                <w:color w:val="000000"/>
                <w:kern w:val="0"/>
                <w:sz w:val="24"/>
                <w:szCs w:val="21"/>
              </w:rPr>
              <w:t>分，市场反馈回一次扣</w:t>
            </w:r>
            <w:r>
              <w:rPr>
                <w:rFonts w:ascii="楷体" w:hAnsi="楷体" w:eastAsia="楷体"/>
                <w:color w:val="000000"/>
                <w:kern w:val="0"/>
                <w:sz w:val="24"/>
                <w:szCs w:val="21"/>
              </w:rPr>
              <w:t>1</w:t>
            </w:r>
            <w:r>
              <w:rPr>
                <w:rFonts w:hint="eastAsia" w:ascii="楷体" w:hAnsi="楷体" w:eastAsia="楷体" w:cs="宋体"/>
                <w:color w:val="000000"/>
                <w:kern w:val="0"/>
                <w:sz w:val="24"/>
                <w:szCs w:val="21"/>
              </w:rPr>
              <w:t>分</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质量事故数</w:t>
            </w:r>
          </w:p>
        </w:tc>
        <w:tc>
          <w:tcPr>
            <w:tcW w:w="25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5 － 质 量 事 故 数 ×2 （ 1 ）</w:t>
            </w:r>
            <w:r>
              <w:rPr>
                <w:rFonts w:ascii="楷体" w:hAnsi="楷体" w:eastAsia="楷体"/>
                <w:color w:val="000000"/>
                <w:sz w:val="24"/>
                <w:szCs w:val="21"/>
              </w:rPr>
              <w:t>=</w:t>
            </w:r>
          </w:p>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（到0为止）</w:t>
            </w:r>
          </w:p>
        </w:tc>
        <w:tc>
          <w:tcPr>
            <w:tcW w:w="897"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15%</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s="宋体"/>
                <w:color w:val="000000"/>
                <w:kern w:val="0"/>
                <w:sz w:val="24"/>
                <w:szCs w:val="21"/>
              </w:rPr>
              <w:t>库零量控制</w:t>
            </w:r>
          </w:p>
        </w:tc>
        <w:tc>
          <w:tcPr>
            <w:tcW w:w="2975" w:type="dxa"/>
            <w:noWrap w:val="0"/>
            <w:vAlign w:val="top"/>
          </w:tcPr>
          <w:p>
            <w:pPr>
              <w:spacing w:line="360" w:lineRule="auto"/>
              <w:jc w:val="center"/>
              <w:rPr>
                <w:rFonts w:hint="eastAsia" w:ascii="楷体" w:hAnsi="楷体" w:eastAsia="楷体"/>
                <w:color w:val="000000"/>
                <w:sz w:val="24"/>
                <w:szCs w:val="21"/>
              </w:rPr>
            </w:pPr>
            <w:r>
              <w:rPr>
                <w:rFonts w:ascii="楷体" w:hAnsi="楷体" w:eastAsia="楷体"/>
                <w:color w:val="000000"/>
                <w:kern w:val="0"/>
                <w:sz w:val="24"/>
                <w:szCs w:val="21"/>
              </w:rPr>
              <w:t>90%</w:t>
            </w:r>
            <w:r>
              <w:rPr>
                <w:rFonts w:hint="eastAsia" w:ascii="楷体" w:hAnsi="楷体" w:eastAsia="楷体" w:cs="宋体"/>
                <w:color w:val="000000"/>
                <w:kern w:val="0"/>
                <w:sz w:val="24"/>
                <w:szCs w:val="21"/>
              </w:rPr>
              <w:t>以上采购量库零不超过</w:t>
            </w:r>
            <w:r>
              <w:rPr>
                <w:rFonts w:ascii="楷体" w:hAnsi="楷体" w:eastAsia="楷体"/>
                <w:color w:val="000000"/>
                <w:kern w:val="0"/>
                <w:sz w:val="24"/>
                <w:szCs w:val="21"/>
              </w:rPr>
              <w:t>15</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s="宋体"/>
                <w:color w:val="000000"/>
                <w:kern w:val="0"/>
                <w:sz w:val="24"/>
                <w:szCs w:val="21"/>
              </w:rPr>
              <w:t>实际超出库存量</w:t>
            </w:r>
          </w:p>
        </w:tc>
        <w:tc>
          <w:tcPr>
            <w:tcW w:w="2523" w:type="dxa"/>
            <w:noWrap w:val="0"/>
            <w:vAlign w:val="top"/>
          </w:tcPr>
          <w:p>
            <w:pPr>
              <w:spacing w:line="360" w:lineRule="auto"/>
              <w:jc w:val="center"/>
              <w:rPr>
                <w:rFonts w:ascii="楷体" w:hAnsi="楷体" w:eastAsia="楷体" w:cs="宋体"/>
                <w:color w:val="000000"/>
                <w:kern w:val="0"/>
                <w:sz w:val="24"/>
                <w:szCs w:val="21"/>
              </w:rPr>
            </w:pPr>
            <w:r>
              <w:rPr>
                <w:rFonts w:ascii="楷体" w:hAnsi="楷体" w:eastAsia="楷体" w:cs="宋体"/>
                <w:color w:val="000000"/>
                <w:kern w:val="0"/>
                <w:sz w:val="24"/>
                <w:szCs w:val="21"/>
              </w:rPr>
              <w:t>5×{1</w:t>
            </w:r>
            <w:r>
              <w:rPr>
                <w:rFonts w:hint="eastAsia" w:ascii="楷体" w:hAnsi="楷体" w:eastAsia="楷体" w:cs="宋体"/>
                <w:color w:val="000000"/>
                <w:kern w:val="0"/>
                <w:sz w:val="24"/>
                <w:szCs w:val="21"/>
              </w:rPr>
              <w:t>－</w:t>
            </w:r>
            <w:r>
              <w:rPr>
                <w:rFonts w:ascii="楷体" w:hAnsi="楷体" w:eastAsia="楷体" w:cs="宋体"/>
                <w:color w:val="000000"/>
                <w:kern w:val="0"/>
                <w:sz w:val="24"/>
                <w:szCs w:val="21"/>
              </w:rPr>
              <w:t>[</w:t>
            </w:r>
            <w:r>
              <w:rPr>
                <w:rFonts w:hint="eastAsia" w:ascii="楷体" w:hAnsi="楷体" w:eastAsia="楷体" w:cs="宋体"/>
                <w:color w:val="000000"/>
                <w:kern w:val="0"/>
                <w:sz w:val="24"/>
                <w:szCs w:val="21"/>
              </w:rPr>
              <w:t>（实际采购总量－超过</w:t>
            </w:r>
            <w:r>
              <w:rPr>
                <w:rFonts w:ascii="楷体" w:hAnsi="楷体" w:eastAsia="楷体" w:cs="宋体"/>
                <w:color w:val="000000"/>
                <w:kern w:val="0"/>
                <w:sz w:val="24"/>
                <w:szCs w:val="21"/>
              </w:rPr>
              <w:t>15</w:t>
            </w:r>
            <w:r>
              <w:rPr>
                <w:rFonts w:hint="eastAsia" w:ascii="楷体" w:hAnsi="楷体" w:eastAsia="楷体" w:cs="宋体"/>
                <w:color w:val="000000"/>
                <w:kern w:val="0"/>
                <w:sz w:val="24"/>
                <w:szCs w:val="21"/>
              </w:rPr>
              <w:t>天库存量）</w:t>
            </w:r>
            <w:r>
              <w:rPr>
                <w:rFonts w:ascii="楷体" w:hAnsi="楷体" w:eastAsia="楷体" w:cs="宋体"/>
                <w:color w:val="000000"/>
                <w:kern w:val="0"/>
                <w:sz w:val="24"/>
                <w:szCs w:val="21"/>
              </w:rPr>
              <w:t>/</w:t>
            </w:r>
            <w:r>
              <w:rPr>
                <w:rFonts w:hint="eastAsia" w:ascii="楷体" w:hAnsi="楷体" w:eastAsia="楷体" w:cs="宋体"/>
                <w:color w:val="000000"/>
                <w:kern w:val="0"/>
                <w:sz w:val="24"/>
                <w:szCs w:val="21"/>
              </w:rPr>
              <w:t>实际采购总量－90</w:t>
            </w:r>
            <w:r>
              <w:rPr>
                <w:rFonts w:ascii="楷体" w:hAnsi="楷体" w:eastAsia="楷体" w:cs="宋体"/>
                <w:color w:val="000000"/>
                <w:kern w:val="0"/>
                <w:sz w:val="24"/>
                <w:szCs w:val="21"/>
              </w:rPr>
              <w:t>%]×2}=</w:t>
            </w:r>
          </w:p>
          <w:p>
            <w:pPr>
              <w:spacing w:line="360" w:lineRule="auto"/>
              <w:jc w:val="center"/>
              <w:rPr>
                <w:rFonts w:hint="eastAsia" w:ascii="楷体" w:hAnsi="楷体" w:eastAsia="楷体"/>
                <w:color w:val="000000"/>
                <w:sz w:val="24"/>
                <w:szCs w:val="21"/>
              </w:rPr>
            </w:pPr>
            <w:r>
              <w:rPr>
                <w:rFonts w:hint="eastAsia" w:ascii="楷体" w:hAnsi="楷体" w:eastAsia="楷体" w:cs="宋体"/>
                <w:color w:val="000000"/>
                <w:kern w:val="0"/>
                <w:sz w:val="24"/>
                <w:szCs w:val="21"/>
              </w:rPr>
              <w:t>（0、5</w:t>
            </w:r>
            <w:r>
              <w:rPr>
                <w:rFonts w:ascii="楷体" w:hAnsi="楷体" w:eastAsia="楷体" w:cs="宋体"/>
                <w:color w:val="000000"/>
                <w:kern w:val="0"/>
                <w:sz w:val="24"/>
                <w:szCs w:val="21"/>
              </w:rPr>
              <w:t xml:space="preserve"> </w:t>
            </w:r>
            <w:r>
              <w:rPr>
                <w:rFonts w:hint="eastAsia" w:ascii="楷体" w:hAnsi="楷体" w:eastAsia="楷体" w:cs="宋体"/>
                <w:color w:val="000000"/>
                <w:kern w:val="0"/>
                <w:sz w:val="24"/>
                <w:szCs w:val="21"/>
              </w:rPr>
              <w:t>为止）</w:t>
            </w:r>
          </w:p>
        </w:tc>
        <w:tc>
          <w:tcPr>
            <w:tcW w:w="897" w:type="dxa"/>
            <w:noWrap w:val="0"/>
            <w:vAlign w:val="top"/>
          </w:tcPr>
          <w:p>
            <w:pPr>
              <w:spacing w:line="360" w:lineRule="auto"/>
              <w:jc w:val="center"/>
              <w:rPr>
                <w:rFonts w:hint="eastAsia" w:ascii="楷体" w:hAnsi="楷体" w:eastAsia="楷体"/>
                <w:color w:val="000000"/>
                <w:sz w:val="24"/>
                <w:szCs w:val="21"/>
              </w:rPr>
            </w:pPr>
            <w:r>
              <w:rPr>
                <w:rFonts w:ascii="楷体" w:hAnsi="楷体" w:eastAsia="楷体"/>
                <w:color w:val="000000"/>
                <w:kern w:val="0"/>
                <w:sz w:val="24"/>
                <w:szCs w:val="21"/>
              </w:rPr>
              <w:t>15%</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生产副总</w:t>
            </w: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1、售后服务款项回收率</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100%当季回收，每月应收款滚动计算</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实际回收率</w:t>
            </w:r>
          </w:p>
        </w:tc>
        <w:tc>
          <w:tcPr>
            <w:tcW w:w="25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×［－（１０－实际回收率）×３］</w:t>
            </w:r>
          </w:p>
        </w:tc>
        <w:tc>
          <w:tcPr>
            <w:tcW w:w="897" w:type="dxa"/>
            <w:noWrap w:val="0"/>
            <w:vAlign w:val="top"/>
          </w:tcPr>
          <w:p>
            <w:pPr>
              <w:spacing w:line="360" w:lineRule="auto"/>
              <w:jc w:val="center"/>
              <w:rPr>
                <w:rFonts w:hint="eastAsia" w:ascii="楷体" w:hAnsi="楷体" w:eastAsia="楷体"/>
                <w:color w:val="000000"/>
                <w:sz w:val="24"/>
                <w:szCs w:val="21"/>
              </w:rPr>
            </w:pPr>
            <w:r>
              <w:rPr>
                <w:rFonts w:ascii="楷体" w:hAnsi="楷体" w:eastAsia="楷体"/>
                <w:color w:val="000000"/>
                <w:sz w:val="24"/>
                <w:szCs w:val="21"/>
              </w:rPr>
              <w:t>25%</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2、生产计划按时完成</w:t>
            </w:r>
          </w:p>
          <w:p>
            <w:pPr>
              <w:spacing w:line="360" w:lineRule="auto"/>
              <w:jc w:val="center"/>
              <w:rPr>
                <w:rFonts w:hint="eastAsia" w:ascii="楷体" w:hAnsi="楷体" w:eastAsia="楷体"/>
                <w:color w:val="000000"/>
                <w:sz w:val="24"/>
                <w:szCs w:val="21"/>
              </w:rPr>
            </w:pP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不误发货，延误一次扣2分</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实际延误次数</w:t>
            </w:r>
          </w:p>
        </w:tc>
        <w:tc>
          <w:tcPr>
            <w:tcW w:w="2523" w:type="dxa"/>
            <w:noWrap w:val="0"/>
            <w:vAlign w:val="top"/>
          </w:tcPr>
          <w:p>
            <w:pPr>
              <w:spacing w:line="360" w:lineRule="auto"/>
              <w:jc w:val="center"/>
              <w:rPr>
                <w:rFonts w:hint="eastAsia" w:ascii="楷体" w:hAnsi="楷体" w:eastAsia="楷体"/>
                <w:color w:val="000000"/>
                <w:sz w:val="24"/>
                <w:szCs w:val="21"/>
              </w:rPr>
            </w:pPr>
            <w:r>
              <w:rPr>
                <w:rFonts w:ascii="楷体" w:hAnsi="楷体" w:eastAsia="楷体"/>
                <w:color w:val="000000"/>
                <w:sz w:val="24"/>
                <w:szCs w:val="21"/>
              </w:rPr>
              <w:t>5</w:t>
            </w:r>
            <w:r>
              <w:rPr>
                <w:rFonts w:hint="eastAsia" w:ascii="楷体" w:hAnsi="楷体" w:eastAsia="楷体"/>
                <w:color w:val="000000"/>
                <w:sz w:val="24"/>
                <w:szCs w:val="21"/>
              </w:rPr>
              <w:t>－ 延 误 次 数 ×2＝（0、5为止）</w:t>
            </w:r>
          </w:p>
        </w:tc>
        <w:tc>
          <w:tcPr>
            <w:tcW w:w="897"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50%</w:t>
            </w:r>
          </w:p>
          <w:p>
            <w:pPr>
              <w:spacing w:line="360" w:lineRule="auto"/>
              <w:jc w:val="center"/>
              <w:rPr>
                <w:rFonts w:hint="eastAsia" w:ascii="楷体" w:hAnsi="楷体" w:eastAsia="楷体"/>
                <w:color w:val="000000"/>
                <w:sz w:val="24"/>
                <w:szCs w:val="21"/>
              </w:rPr>
            </w:pP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3、市场技术支持满意率</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满意率 ≥ 90%</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实际满意率</w:t>
            </w:r>
          </w:p>
        </w:tc>
        <w:tc>
          <w:tcPr>
            <w:tcW w:w="25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5×[1 － （ 90% － 实 际 满 意 率 ） × 3]=（0、5为止）</w:t>
            </w:r>
          </w:p>
        </w:tc>
        <w:tc>
          <w:tcPr>
            <w:tcW w:w="897"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30%</w:t>
            </w:r>
          </w:p>
          <w:p>
            <w:pPr>
              <w:spacing w:line="360" w:lineRule="auto"/>
              <w:jc w:val="center"/>
              <w:rPr>
                <w:rFonts w:hint="eastAsia" w:ascii="楷体" w:hAnsi="楷体" w:eastAsia="楷体"/>
                <w:color w:val="000000"/>
                <w:sz w:val="24"/>
                <w:szCs w:val="21"/>
              </w:rPr>
            </w:pP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行政副总</w:t>
            </w: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1、招待费用控制</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控制在预算内</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实际发生</w:t>
            </w:r>
          </w:p>
        </w:tc>
        <w:tc>
          <w:tcPr>
            <w:tcW w:w="25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实际发生在预算内为5分，超预算：5－15×（实际/预算－1）=</w:t>
            </w:r>
          </w:p>
        </w:tc>
        <w:tc>
          <w:tcPr>
            <w:tcW w:w="897" w:type="dxa"/>
            <w:noWrap w:val="0"/>
            <w:vAlign w:val="top"/>
          </w:tcPr>
          <w:p>
            <w:pPr>
              <w:spacing w:line="360" w:lineRule="auto"/>
              <w:jc w:val="center"/>
              <w:rPr>
                <w:rFonts w:hint="eastAsia" w:ascii="楷体" w:hAnsi="楷体" w:eastAsia="楷体"/>
                <w:color w:val="000000"/>
                <w:sz w:val="24"/>
                <w:szCs w:val="21"/>
              </w:rPr>
            </w:pPr>
            <w:r>
              <w:rPr>
                <w:rFonts w:ascii="楷体" w:hAnsi="楷体" w:eastAsia="楷体"/>
                <w:color w:val="000000"/>
                <w:sz w:val="24"/>
                <w:szCs w:val="21"/>
              </w:rPr>
              <w:t>25%</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2、内部服务满意率</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附“满意调查表”，满意率≥90%</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实际满意率：</w:t>
            </w:r>
          </w:p>
        </w:tc>
        <w:tc>
          <w:tcPr>
            <w:tcW w:w="25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5×[1 － （ 90% － 实 际 满 意 率 ） × 3]=</w:t>
            </w:r>
          </w:p>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（0、5为止）</w:t>
            </w:r>
          </w:p>
        </w:tc>
        <w:tc>
          <w:tcPr>
            <w:tcW w:w="897"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20%</w:t>
            </w:r>
          </w:p>
          <w:p>
            <w:pPr>
              <w:spacing w:line="360" w:lineRule="auto"/>
              <w:jc w:val="center"/>
              <w:rPr>
                <w:rFonts w:hint="eastAsia" w:ascii="楷体" w:hAnsi="楷体" w:eastAsia="楷体"/>
                <w:color w:val="000000"/>
                <w:sz w:val="24"/>
                <w:szCs w:val="21"/>
              </w:rPr>
            </w:pP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3、车辆费用控制</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控制在预算内</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实际费用：</w:t>
            </w:r>
          </w:p>
        </w:tc>
        <w:tc>
          <w:tcPr>
            <w:tcW w:w="25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5×[1－（实际费用－0.75）×3/0.75]=</w:t>
            </w:r>
          </w:p>
        </w:tc>
        <w:tc>
          <w:tcPr>
            <w:tcW w:w="897"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25%</w:t>
            </w:r>
          </w:p>
          <w:p>
            <w:pPr>
              <w:spacing w:line="360" w:lineRule="auto"/>
              <w:jc w:val="center"/>
              <w:rPr>
                <w:rFonts w:hint="eastAsia" w:ascii="楷体" w:hAnsi="楷体" w:eastAsia="楷体"/>
                <w:color w:val="000000"/>
                <w:sz w:val="24"/>
                <w:szCs w:val="21"/>
              </w:rPr>
            </w:pPr>
          </w:p>
        </w:tc>
        <w:tc>
          <w:tcPr>
            <w:tcW w:w="1466"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财务部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4、招聘与培训计划完成</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完成率100%（见年度计划）</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实际完成率：</w:t>
            </w:r>
          </w:p>
        </w:tc>
        <w:tc>
          <w:tcPr>
            <w:tcW w:w="25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5×[1 － （ 100% － 实 际 完 成 率 ） × 5]=   （0、5为止）</w:t>
            </w:r>
          </w:p>
        </w:tc>
        <w:tc>
          <w:tcPr>
            <w:tcW w:w="897"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30%</w:t>
            </w:r>
          </w:p>
          <w:p>
            <w:pPr>
              <w:spacing w:line="360" w:lineRule="auto"/>
              <w:jc w:val="center"/>
              <w:rPr>
                <w:rFonts w:hint="eastAsia" w:ascii="楷体" w:hAnsi="楷体" w:eastAsia="楷体"/>
                <w:color w:val="000000"/>
                <w:sz w:val="24"/>
                <w:szCs w:val="21"/>
              </w:rPr>
            </w:pPr>
          </w:p>
        </w:tc>
        <w:tc>
          <w:tcPr>
            <w:tcW w:w="1466"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人力资源部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总工程师</w:t>
            </w: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1、季度新产品研发计划完成率</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完成率100%</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实际成功率</w:t>
            </w:r>
          </w:p>
        </w:tc>
        <w:tc>
          <w:tcPr>
            <w:tcW w:w="25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5×[1 － （ 100% － 实 际 完 成 率 ） × 5]= （0、5为止）</w:t>
            </w:r>
          </w:p>
        </w:tc>
        <w:tc>
          <w:tcPr>
            <w:tcW w:w="897" w:type="dxa"/>
            <w:noWrap w:val="0"/>
            <w:vAlign w:val="top"/>
          </w:tcPr>
          <w:p>
            <w:pPr>
              <w:spacing w:line="360" w:lineRule="auto"/>
              <w:jc w:val="center"/>
              <w:rPr>
                <w:rFonts w:hint="eastAsia" w:ascii="楷体" w:hAnsi="楷体" w:eastAsia="楷体"/>
                <w:color w:val="000000"/>
                <w:sz w:val="24"/>
                <w:szCs w:val="21"/>
              </w:rPr>
            </w:pPr>
            <w:r>
              <w:rPr>
                <w:rFonts w:ascii="楷体" w:hAnsi="楷体" w:eastAsia="楷体"/>
                <w:color w:val="000000"/>
                <w:sz w:val="24"/>
                <w:szCs w:val="21"/>
              </w:rPr>
              <w:t>30%</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2、新产品试制一次成功率（成本）</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按测试总项及重试项算，一次成功率85%</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实际成功率</w:t>
            </w:r>
          </w:p>
        </w:tc>
        <w:tc>
          <w:tcPr>
            <w:tcW w:w="25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5×[1 － （ 85% － 实 际 成 功 率 ） × 3]= （0、5为止）</w:t>
            </w:r>
          </w:p>
        </w:tc>
        <w:tc>
          <w:tcPr>
            <w:tcW w:w="897"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0%</w:t>
            </w:r>
          </w:p>
          <w:p>
            <w:pPr>
              <w:spacing w:line="360" w:lineRule="auto"/>
              <w:jc w:val="center"/>
              <w:rPr>
                <w:rFonts w:hint="eastAsia" w:ascii="楷体" w:hAnsi="楷体" w:eastAsia="楷体"/>
                <w:color w:val="000000"/>
                <w:sz w:val="24"/>
                <w:szCs w:val="21"/>
              </w:rPr>
            </w:pP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3、测试达标率 COP（注）</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推迟一个月</w:t>
            </w:r>
          </w:p>
        </w:tc>
        <w:tc>
          <w:tcPr>
            <w:tcW w:w="2202" w:type="dxa"/>
            <w:noWrap w:val="0"/>
            <w:vAlign w:val="top"/>
          </w:tcPr>
          <w:p>
            <w:pPr>
              <w:spacing w:line="360" w:lineRule="auto"/>
              <w:jc w:val="center"/>
              <w:rPr>
                <w:rFonts w:hint="eastAsia" w:ascii="楷体" w:hAnsi="楷体" w:eastAsia="楷体"/>
                <w:color w:val="000000"/>
                <w:sz w:val="24"/>
                <w:szCs w:val="21"/>
              </w:rPr>
            </w:pPr>
          </w:p>
        </w:tc>
        <w:tc>
          <w:tcPr>
            <w:tcW w:w="2523" w:type="dxa"/>
            <w:noWrap w:val="0"/>
            <w:vAlign w:val="top"/>
          </w:tcPr>
          <w:p>
            <w:pPr>
              <w:spacing w:line="360" w:lineRule="auto"/>
              <w:jc w:val="center"/>
              <w:rPr>
                <w:rFonts w:hint="eastAsia" w:ascii="楷体" w:hAnsi="楷体" w:eastAsia="楷体"/>
                <w:color w:val="000000"/>
                <w:sz w:val="24"/>
                <w:szCs w:val="21"/>
              </w:rPr>
            </w:pPr>
          </w:p>
        </w:tc>
        <w:tc>
          <w:tcPr>
            <w:tcW w:w="897" w:type="dxa"/>
            <w:noWrap w:val="0"/>
            <w:vAlign w:val="top"/>
          </w:tcPr>
          <w:p>
            <w:pPr>
              <w:spacing w:line="360" w:lineRule="auto"/>
              <w:jc w:val="center"/>
              <w:rPr>
                <w:rFonts w:hint="eastAsia" w:ascii="楷体" w:hAnsi="楷体" w:eastAsia="楷体"/>
                <w:color w:val="000000"/>
                <w:sz w:val="24"/>
                <w:szCs w:val="21"/>
              </w:rPr>
            </w:pP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4、新研发产品上市率</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上市率100%</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实际上市率：</w:t>
            </w:r>
          </w:p>
        </w:tc>
        <w:tc>
          <w:tcPr>
            <w:tcW w:w="25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5×〔1－（100%－实际满意率）×6〕=</w:t>
            </w:r>
          </w:p>
        </w:tc>
        <w:tc>
          <w:tcPr>
            <w:tcW w:w="897" w:type="dxa"/>
            <w:noWrap w:val="0"/>
            <w:vAlign w:val="top"/>
          </w:tcPr>
          <w:p>
            <w:pPr>
              <w:spacing w:line="360" w:lineRule="auto"/>
              <w:jc w:val="center"/>
              <w:rPr>
                <w:rFonts w:hint="eastAsia" w:ascii="楷体" w:hAnsi="楷体" w:eastAsia="楷体"/>
                <w:color w:val="000000"/>
                <w:sz w:val="24"/>
                <w:szCs w:val="21"/>
              </w:rPr>
            </w:pP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p>
        </w:tc>
        <w:tc>
          <w:tcPr>
            <w:tcW w:w="2923" w:type="dxa"/>
            <w:noWrap w:val="0"/>
            <w:vAlign w:val="top"/>
          </w:tcPr>
          <w:p>
            <w:pPr>
              <w:spacing w:line="360" w:lineRule="auto"/>
              <w:jc w:val="center"/>
              <w:rPr>
                <w:rFonts w:hint="eastAsia" w:ascii="楷体" w:hAnsi="楷体" w:eastAsia="楷体"/>
                <w:color w:val="000000"/>
                <w:sz w:val="24"/>
                <w:szCs w:val="21"/>
              </w:rPr>
            </w:pPr>
          </w:p>
        </w:tc>
        <w:tc>
          <w:tcPr>
            <w:tcW w:w="2975" w:type="dxa"/>
            <w:noWrap w:val="0"/>
            <w:vAlign w:val="top"/>
          </w:tcPr>
          <w:p>
            <w:pPr>
              <w:spacing w:line="360" w:lineRule="auto"/>
              <w:jc w:val="center"/>
              <w:rPr>
                <w:rFonts w:hint="eastAsia" w:ascii="楷体" w:hAnsi="楷体" w:eastAsia="楷体"/>
                <w:color w:val="000000"/>
                <w:sz w:val="24"/>
                <w:szCs w:val="21"/>
              </w:rPr>
            </w:pPr>
          </w:p>
        </w:tc>
        <w:tc>
          <w:tcPr>
            <w:tcW w:w="2202" w:type="dxa"/>
            <w:noWrap w:val="0"/>
            <w:vAlign w:val="top"/>
          </w:tcPr>
          <w:p>
            <w:pPr>
              <w:spacing w:line="360" w:lineRule="auto"/>
              <w:jc w:val="center"/>
              <w:rPr>
                <w:rFonts w:hint="eastAsia" w:ascii="楷体" w:hAnsi="楷体" w:eastAsia="楷体"/>
                <w:color w:val="000000"/>
                <w:sz w:val="24"/>
                <w:szCs w:val="21"/>
              </w:rPr>
            </w:pPr>
          </w:p>
        </w:tc>
        <w:tc>
          <w:tcPr>
            <w:tcW w:w="2523" w:type="dxa"/>
            <w:noWrap w:val="0"/>
            <w:vAlign w:val="top"/>
          </w:tcPr>
          <w:p>
            <w:pPr>
              <w:spacing w:line="360" w:lineRule="auto"/>
              <w:jc w:val="center"/>
              <w:rPr>
                <w:rFonts w:hint="eastAsia" w:ascii="楷体" w:hAnsi="楷体" w:eastAsia="楷体"/>
                <w:color w:val="000000"/>
                <w:sz w:val="24"/>
                <w:szCs w:val="21"/>
              </w:rPr>
            </w:pPr>
          </w:p>
        </w:tc>
        <w:tc>
          <w:tcPr>
            <w:tcW w:w="897" w:type="dxa"/>
            <w:noWrap w:val="0"/>
            <w:vAlign w:val="top"/>
          </w:tcPr>
          <w:p>
            <w:pPr>
              <w:spacing w:line="360" w:lineRule="auto"/>
              <w:jc w:val="center"/>
              <w:rPr>
                <w:rFonts w:hint="eastAsia" w:ascii="楷体" w:hAnsi="楷体" w:eastAsia="楷体"/>
                <w:color w:val="000000"/>
                <w:sz w:val="24"/>
                <w:szCs w:val="21"/>
              </w:rPr>
            </w:pP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财务部</w:t>
            </w: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1、月审批资金供应率</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资金不断档</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实际供应率：</w:t>
            </w:r>
          </w:p>
        </w:tc>
        <w:tc>
          <w:tcPr>
            <w:tcW w:w="25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5×[1－（100%－实际供应率）×4] =</w:t>
            </w:r>
          </w:p>
        </w:tc>
        <w:tc>
          <w:tcPr>
            <w:tcW w:w="897"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3</w:t>
            </w:r>
            <w:r>
              <w:rPr>
                <w:rFonts w:ascii="楷体" w:hAnsi="楷体" w:eastAsia="楷体"/>
                <w:color w:val="000000"/>
                <w:sz w:val="24"/>
                <w:szCs w:val="21"/>
              </w:rPr>
              <w:t>5%</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2、全面预算管理控制</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预算费用误差控制在±5%以内</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实际发生：</w:t>
            </w:r>
          </w:p>
        </w:tc>
        <w:tc>
          <w:tcPr>
            <w:tcW w:w="25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5×[1.1－（∣实际－预算∣/预算－10%）×5] =</w:t>
            </w:r>
          </w:p>
        </w:tc>
        <w:tc>
          <w:tcPr>
            <w:tcW w:w="897" w:type="dxa"/>
            <w:noWrap w:val="0"/>
            <w:vAlign w:val="top"/>
          </w:tcPr>
          <w:p>
            <w:pPr>
              <w:spacing w:line="360" w:lineRule="auto"/>
              <w:jc w:val="center"/>
              <w:rPr>
                <w:rFonts w:hint="eastAsia" w:ascii="楷体" w:hAnsi="楷体" w:eastAsia="楷体"/>
                <w:color w:val="000000"/>
                <w:sz w:val="24"/>
                <w:szCs w:val="21"/>
              </w:rPr>
            </w:pPr>
            <w:r>
              <w:rPr>
                <w:rFonts w:ascii="楷体" w:hAnsi="楷体" w:eastAsia="楷体"/>
                <w:color w:val="000000"/>
                <w:sz w:val="24"/>
                <w:szCs w:val="21"/>
              </w:rPr>
              <w:t>15%</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3、财务费用控制（包括财务费用、管理费用等）</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严格执行每月的预算标准</w:t>
            </w:r>
          </w:p>
        </w:tc>
        <w:tc>
          <w:tcPr>
            <w:tcW w:w="2202" w:type="dxa"/>
            <w:noWrap w:val="0"/>
            <w:vAlign w:val="top"/>
          </w:tcPr>
          <w:p>
            <w:pPr>
              <w:spacing w:line="360" w:lineRule="auto"/>
              <w:jc w:val="center"/>
              <w:rPr>
                <w:rFonts w:hint="eastAsia" w:ascii="楷体" w:hAnsi="楷体" w:eastAsia="楷体"/>
                <w:color w:val="000000"/>
                <w:sz w:val="24"/>
                <w:szCs w:val="21"/>
              </w:rPr>
            </w:pPr>
          </w:p>
        </w:tc>
        <w:tc>
          <w:tcPr>
            <w:tcW w:w="25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按时完成率100%，未按时完成</w:t>
            </w:r>
          </w:p>
        </w:tc>
        <w:tc>
          <w:tcPr>
            <w:tcW w:w="897" w:type="dxa"/>
            <w:noWrap w:val="0"/>
            <w:vAlign w:val="top"/>
          </w:tcPr>
          <w:p>
            <w:pPr>
              <w:spacing w:line="360" w:lineRule="auto"/>
              <w:jc w:val="center"/>
              <w:rPr>
                <w:rFonts w:hint="eastAsia" w:ascii="楷体" w:hAnsi="楷体" w:eastAsia="楷体"/>
                <w:color w:val="000000"/>
                <w:sz w:val="24"/>
                <w:szCs w:val="21"/>
              </w:rPr>
            </w:pPr>
            <w:r>
              <w:rPr>
                <w:rFonts w:ascii="楷体" w:hAnsi="楷体" w:eastAsia="楷体"/>
                <w:color w:val="000000"/>
                <w:sz w:val="24"/>
                <w:szCs w:val="21"/>
              </w:rPr>
              <w:t>35%</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4、生产成本降低率</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控制在预算范围内</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实际成本：</w:t>
            </w:r>
          </w:p>
        </w:tc>
        <w:tc>
          <w:tcPr>
            <w:tcW w:w="2523" w:type="dxa"/>
            <w:noWrap w:val="0"/>
            <w:vAlign w:val="top"/>
          </w:tcPr>
          <w:p>
            <w:pPr>
              <w:spacing w:line="360" w:lineRule="auto"/>
              <w:jc w:val="center"/>
              <w:rPr>
                <w:rFonts w:hint="eastAsia" w:ascii="楷体" w:hAnsi="楷体" w:eastAsia="楷体"/>
                <w:color w:val="000000"/>
                <w:sz w:val="24"/>
                <w:szCs w:val="21"/>
              </w:rPr>
            </w:pPr>
          </w:p>
        </w:tc>
        <w:tc>
          <w:tcPr>
            <w:tcW w:w="897" w:type="dxa"/>
            <w:noWrap w:val="0"/>
            <w:vAlign w:val="top"/>
          </w:tcPr>
          <w:p>
            <w:pPr>
              <w:spacing w:line="360" w:lineRule="auto"/>
              <w:jc w:val="center"/>
              <w:rPr>
                <w:rFonts w:hint="eastAsia" w:ascii="楷体" w:hAnsi="楷体" w:eastAsia="楷体"/>
                <w:color w:val="000000"/>
                <w:sz w:val="24"/>
                <w:szCs w:val="21"/>
              </w:rPr>
            </w:pP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供应部</w:t>
            </w: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1、采购计划按时完成</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但未延误发货扣0.25分/次，延误发货扣2分/次</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实际完成率：</w:t>
            </w:r>
          </w:p>
        </w:tc>
        <w:tc>
          <w:tcPr>
            <w:tcW w:w="25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5－0.25×次数－2×次数 =</w:t>
            </w:r>
          </w:p>
        </w:tc>
        <w:tc>
          <w:tcPr>
            <w:tcW w:w="897"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30%</w:t>
            </w:r>
          </w:p>
          <w:p>
            <w:pPr>
              <w:spacing w:line="360" w:lineRule="auto"/>
              <w:jc w:val="center"/>
              <w:rPr>
                <w:rFonts w:hint="eastAsia" w:ascii="楷体" w:hAnsi="楷体" w:eastAsia="楷体"/>
                <w:color w:val="000000"/>
                <w:sz w:val="24"/>
                <w:szCs w:val="21"/>
              </w:rPr>
            </w:pP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2、采购成本降低率</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采购成本比去年同期相比下浮3%</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实际控制比率</w:t>
            </w:r>
          </w:p>
        </w:tc>
        <w:tc>
          <w:tcPr>
            <w:tcW w:w="25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5×[1－（3%－实际下浮比率）×17]=</w:t>
            </w:r>
          </w:p>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5×[1－（3%+实际上涨比率）×20]=</w:t>
            </w:r>
          </w:p>
        </w:tc>
        <w:tc>
          <w:tcPr>
            <w:tcW w:w="897" w:type="dxa"/>
            <w:noWrap w:val="0"/>
            <w:vAlign w:val="top"/>
          </w:tcPr>
          <w:p>
            <w:pPr>
              <w:spacing w:line="360" w:lineRule="auto"/>
              <w:jc w:val="center"/>
              <w:rPr>
                <w:rFonts w:hint="eastAsia" w:ascii="楷体" w:hAnsi="楷体" w:eastAsia="楷体"/>
                <w:color w:val="000000"/>
                <w:sz w:val="24"/>
                <w:szCs w:val="21"/>
              </w:rPr>
            </w:pPr>
            <w:r>
              <w:rPr>
                <w:rFonts w:ascii="楷体" w:hAnsi="楷体" w:eastAsia="楷体"/>
                <w:color w:val="000000"/>
                <w:sz w:val="24"/>
                <w:szCs w:val="21"/>
              </w:rPr>
              <w:t>30%</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3、采购配件质量事故率</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质量事故率为0，发现一次扣2分，市场反馈回一次扣1分</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质量事故数：</w:t>
            </w:r>
          </w:p>
        </w:tc>
        <w:tc>
          <w:tcPr>
            <w:tcW w:w="25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5 － 质 量 事 故 数 ×2 （ 1 ）</w:t>
            </w:r>
            <w:r>
              <w:rPr>
                <w:rFonts w:ascii="楷体" w:hAnsi="楷体" w:eastAsia="楷体"/>
                <w:color w:val="000000"/>
                <w:sz w:val="24"/>
                <w:szCs w:val="21"/>
              </w:rPr>
              <w:t>=</w:t>
            </w:r>
            <w:r>
              <w:rPr>
                <w:rFonts w:hint="eastAsia" w:ascii="楷体" w:hAnsi="楷体" w:eastAsia="楷体"/>
                <w:color w:val="000000"/>
                <w:sz w:val="24"/>
                <w:szCs w:val="21"/>
              </w:rPr>
              <w:t>（到0为止）</w:t>
            </w:r>
          </w:p>
        </w:tc>
        <w:tc>
          <w:tcPr>
            <w:tcW w:w="897" w:type="dxa"/>
            <w:noWrap w:val="0"/>
            <w:vAlign w:val="top"/>
          </w:tcPr>
          <w:p>
            <w:pPr>
              <w:spacing w:line="360" w:lineRule="auto"/>
              <w:jc w:val="center"/>
              <w:rPr>
                <w:rFonts w:hint="eastAsia" w:ascii="楷体" w:hAnsi="楷体" w:eastAsia="楷体"/>
                <w:color w:val="000000"/>
                <w:sz w:val="24"/>
                <w:szCs w:val="21"/>
              </w:rPr>
            </w:pPr>
            <w:r>
              <w:rPr>
                <w:rFonts w:ascii="楷体" w:hAnsi="楷体" w:eastAsia="楷体"/>
                <w:color w:val="000000"/>
                <w:sz w:val="24"/>
                <w:szCs w:val="21"/>
              </w:rPr>
              <w:t>15%</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4、库零量控制</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90%以上采购量库零不超过 15</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实际超出库存</w:t>
            </w:r>
          </w:p>
        </w:tc>
        <w:tc>
          <w:tcPr>
            <w:tcW w:w="25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5×{1－[（实际采购总量－超过 15 天库存量）/实际采购总量－90%]×2}=（0、5 为止）</w:t>
            </w:r>
          </w:p>
        </w:tc>
        <w:tc>
          <w:tcPr>
            <w:tcW w:w="897"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15%</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技术部</w:t>
            </w: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1、提供图纸、材料定额、工艺卡及时准确性</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按时下达，文件准确性95%，晚一天扣0.25分；因图纸资料不准确出现重大生产事故扣2分/次</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实际晚天数：</w:t>
            </w:r>
          </w:p>
        </w:tc>
        <w:tc>
          <w:tcPr>
            <w:tcW w:w="2523" w:type="dxa"/>
            <w:noWrap w:val="0"/>
            <w:vAlign w:val="top"/>
          </w:tcPr>
          <w:p>
            <w:pPr>
              <w:spacing w:line="360" w:lineRule="auto"/>
              <w:jc w:val="center"/>
              <w:rPr>
                <w:rFonts w:hint="eastAsia" w:ascii="楷体" w:hAnsi="楷体" w:eastAsia="楷体"/>
                <w:color w:val="000000"/>
                <w:sz w:val="24"/>
                <w:szCs w:val="21"/>
              </w:rPr>
            </w:pPr>
            <w:r>
              <w:rPr>
                <w:rFonts w:ascii="楷体" w:hAnsi="楷体" w:eastAsia="楷体"/>
                <w:color w:val="000000"/>
                <w:sz w:val="24"/>
                <w:szCs w:val="21"/>
              </w:rPr>
              <w:t>5</w:t>
            </w:r>
            <w:r>
              <w:rPr>
                <w:rFonts w:hint="eastAsia" w:ascii="楷体" w:hAnsi="楷体" w:eastAsia="楷体"/>
                <w:color w:val="000000"/>
                <w:sz w:val="24"/>
                <w:szCs w:val="21"/>
              </w:rPr>
              <w:t>－ 实 际 晚 天 数 ×0.5</w:t>
            </w:r>
            <w:r>
              <w:rPr>
                <w:rFonts w:ascii="楷体" w:hAnsi="楷体" w:eastAsia="楷体"/>
                <w:color w:val="000000"/>
                <w:sz w:val="24"/>
                <w:szCs w:val="21"/>
              </w:rPr>
              <w:t>=</w:t>
            </w:r>
            <w:r>
              <w:rPr>
                <w:rFonts w:hint="eastAsia" w:ascii="楷体" w:hAnsi="楷体" w:eastAsia="楷体"/>
                <w:color w:val="000000"/>
                <w:sz w:val="24"/>
                <w:szCs w:val="21"/>
              </w:rPr>
              <w:t>（到0为止）</w:t>
            </w:r>
          </w:p>
        </w:tc>
        <w:tc>
          <w:tcPr>
            <w:tcW w:w="897" w:type="dxa"/>
            <w:noWrap w:val="0"/>
            <w:vAlign w:val="top"/>
          </w:tcPr>
          <w:p>
            <w:pPr>
              <w:spacing w:line="360" w:lineRule="auto"/>
              <w:jc w:val="center"/>
              <w:rPr>
                <w:rFonts w:hint="eastAsia" w:ascii="楷体" w:hAnsi="楷体" w:eastAsia="楷体"/>
                <w:color w:val="000000"/>
                <w:sz w:val="24"/>
                <w:szCs w:val="21"/>
              </w:rPr>
            </w:pPr>
            <w:r>
              <w:rPr>
                <w:rFonts w:ascii="楷体" w:hAnsi="楷体" w:eastAsia="楷体"/>
                <w:color w:val="000000"/>
                <w:sz w:val="24"/>
                <w:szCs w:val="21"/>
              </w:rPr>
              <w:t>30%</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2、技术支持及时性</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延误生产发货一次扣2分</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实际耽误</w:t>
            </w:r>
          </w:p>
        </w:tc>
        <w:tc>
          <w:tcPr>
            <w:tcW w:w="2523" w:type="dxa"/>
            <w:noWrap w:val="0"/>
            <w:vAlign w:val="top"/>
          </w:tcPr>
          <w:p>
            <w:pPr>
              <w:spacing w:line="360" w:lineRule="auto"/>
              <w:jc w:val="center"/>
              <w:rPr>
                <w:rFonts w:hint="eastAsia" w:ascii="楷体" w:hAnsi="楷体" w:eastAsia="楷体"/>
                <w:color w:val="000000"/>
                <w:sz w:val="24"/>
                <w:szCs w:val="21"/>
              </w:rPr>
            </w:pPr>
            <w:r>
              <w:rPr>
                <w:rFonts w:ascii="楷体" w:hAnsi="楷体" w:eastAsia="楷体"/>
                <w:color w:val="000000"/>
                <w:sz w:val="24"/>
                <w:szCs w:val="21"/>
              </w:rPr>
              <w:t>5</w:t>
            </w:r>
            <w:r>
              <w:rPr>
                <w:rFonts w:hint="eastAsia" w:ascii="楷体" w:hAnsi="楷体" w:eastAsia="楷体"/>
                <w:color w:val="000000"/>
                <w:sz w:val="24"/>
                <w:szCs w:val="21"/>
              </w:rPr>
              <w:t>－ 实 际 延 误 次 数 ×2=（0、5为止）</w:t>
            </w:r>
          </w:p>
        </w:tc>
        <w:tc>
          <w:tcPr>
            <w:tcW w:w="897" w:type="dxa"/>
            <w:noWrap w:val="0"/>
            <w:vAlign w:val="top"/>
          </w:tcPr>
          <w:p>
            <w:pPr>
              <w:spacing w:line="360" w:lineRule="auto"/>
              <w:jc w:val="center"/>
              <w:rPr>
                <w:rFonts w:hint="eastAsia" w:ascii="楷体" w:hAnsi="楷体" w:eastAsia="楷体"/>
                <w:color w:val="000000"/>
                <w:sz w:val="24"/>
                <w:szCs w:val="21"/>
              </w:rPr>
            </w:pPr>
            <w:r>
              <w:rPr>
                <w:rFonts w:ascii="楷体" w:hAnsi="楷体" w:eastAsia="楷体"/>
                <w:color w:val="000000"/>
                <w:sz w:val="24"/>
                <w:szCs w:val="21"/>
              </w:rPr>
              <w:t>20%</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3、技术质量事故率</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因技术问题发生的质量事故次数,每次扣3分</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实际事故数</w:t>
            </w:r>
          </w:p>
        </w:tc>
        <w:tc>
          <w:tcPr>
            <w:tcW w:w="2523" w:type="dxa"/>
            <w:noWrap w:val="0"/>
            <w:vAlign w:val="top"/>
          </w:tcPr>
          <w:p>
            <w:pPr>
              <w:spacing w:line="360" w:lineRule="auto"/>
              <w:jc w:val="center"/>
              <w:rPr>
                <w:rFonts w:hint="eastAsia" w:ascii="楷体" w:hAnsi="楷体" w:eastAsia="楷体"/>
                <w:color w:val="000000"/>
                <w:sz w:val="24"/>
                <w:szCs w:val="21"/>
              </w:rPr>
            </w:pPr>
            <w:r>
              <w:rPr>
                <w:rFonts w:ascii="楷体" w:hAnsi="楷体" w:eastAsia="楷体"/>
                <w:color w:val="000000"/>
                <w:sz w:val="24"/>
                <w:szCs w:val="21"/>
              </w:rPr>
              <w:t>5</w:t>
            </w:r>
            <w:r>
              <w:rPr>
                <w:rFonts w:hint="eastAsia" w:ascii="楷体" w:hAnsi="楷体" w:eastAsia="楷体"/>
                <w:color w:val="000000"/>
                <w:sz w:val="24"/>
                <w:szCs w:val="21"/>
              </w:rPr>
              <w:t>－ 实 际 事 故 次 数 ×3=（到0为止）</w:t>
            </w:r>
          </w:p>
        </w:tc>
        <w:tc>
          <w:tcPr>
            <w:tcW w:w="897" w:type="dxa"/>
            <w:noWrap w:val="0"/>
            <w:vAlign w:val="top"/>
          </w:tcPr>
          <w:p>
            <w:pPr>
              <w:spacing w:line="360" w:lineRule="auto"/>
              <w:jc w:val="center"/>
              <w:rPr>
                <w:rFonts w:hint="eastAsia" w:ascii="楷体" w:hAnsi="楷体" w:eastAsia="楷体"/>
                <w:color w:val="000000"/>
                <w:sz w:val="24"/>
                <w:szCs w:val="21"/>
              </w:rPr>
            </w:pPr>
            <w:r>
              <w:rPr>
                <w:rFonts w:ascii="楷体" w:hAnsi="楷体" w:eastAsia="楷体"/>
                <w:color w:val="000000"/>
                <w:sz w:val="24"/>
                <w:szCs w:val="21"/>
              </w:rPr>
              <w:t>10%</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4、 现场技术支持满意率 满意率 100%，</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见季度调查表</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实际满意率</w:t>
            </w:r>
          </w:p>
        </w:tc>
        <w:tc>
          <w:tcPr>
            <w:tcW w:w="25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5×[1-（100%-实际满意率）×3]=</w:t>
            </w:r>
          </w:p>
        </w:tc>
        <w:tc>
          <w:tcPr>
            <w:tcW w:w="897" w:type="dxa"/>
            <w:noWrap w:val="0"/>
            <w:vAlign w:val="top"/>
          </w:tcPr>
          <w:p>
            <w:pPr>
              <w:spacing w:line="360" w:lineRule="auto"/>
              <w:jc w:val="center"/>
              <w:rPr>
                <w:rFonts w:hint="eastAsia" w:ascii="楷体" w:hAnsi="楷体" w:eastAsia="楷体"/>
                <w:color w:val="000000"/>
                <w:sz w:val="24"/>
                <w:szCs w:val="21"/>
              </w:rPr>
            </w:pPr>
            <w:r>
              <w:rPr>
                <w:rFonts w:ascii="楷体" w:hAnsi="楷体" w:eastAsia="楷体"/>
                <w:color w:val="000000"/>
                <w:sz w:val="24"/>
                <w:szCs w:val="21"/>
              </w:rPr>
              <w:t>30%</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售后服务部</w:t>
            </w: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1、用户服务满意率</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满意率 &gt;95%</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实际满意率</w:t>
            </w:r>
          </w:p>
        </w:tc>
        <w:tc>
          <w:tcPr>
            <w:tcW w:w="25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5×[1 － （ 95% － 实 际满意 率 ） ×8] =（0、5为止）</w:t>
            </w:r>
          </w:p>
        </w:tc>
        <w:tc>
          <w:tcPr>
            <w:tcW w:w="897"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25%</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2、售后服务一次成功率</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一次成功率&gt;95%</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实际一次成功率</w:t>
            </w:r>
          </w:p>
        </w:tc>
        <w:tc>
          <w:tcPr>
            <w:tcW w:w="25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5×[1 － （ 95% － 实 际 成 功 率 ） ×4] =（0、5为止）</w:t>
            </w:r>
          </w:p>
        </w:tc>
        <w:tc>
          <w:tcPr>
            <w:tcW w:w="897"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25%</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3、服务款项按时回收率</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100%当季回收，每月应收款滚动计算</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实际回收率：</w:t>
            </w:r>
          </w:p>
        </w:tc>
        <w:tc>
          <w:tcPr>
            <w:tcW w:w="25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5×[1－（100%－实际回收率）×3] =（0、5为止）</w:t>
            </w:r>
          </w:p>
        </w:tc>
        <w:tc>
          <w:tcPr>
            <w:tcW w:w="897"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30%</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4、用户投诉追溯率</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追溯率100%</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实际追溯率</w:t>
            </w:r>
          </w:p>
        </w:tc>
        <w:tc>
          <w:tcPr>
            <w:tcW w:w="25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5×[1 － （ 100% － 实 际 追 溯 率 ） ×5]= （0、5为止）</w:t>
            </w:r>
          </w:p>
        </w:tc>
        <w:tc>
          <w:tcPr>
            <w:tcW w:w="897"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20%</w:t>
            </w:r>
          </w:p>
          <w:p>
            <w:pPr>
              <w:spacing w:line="360" w:lineRule="auto"/>
              <w:jc w:val="center"/>
              <w:rPr>
                <w:rFonts w:ascii="楷体" w:hAnsi="楷体" w:eastAsia="楷体"/>
                <w:color w:val="000000"/>
                <w:sz w:val="24"/>
                <w:szCs w:val="21"/>
              </w:rPr>
            </w:pP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生产部</w:t>
            </w: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1、生产计划按时完成</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不误发货，延误一次扣2分</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实际延误次数</w:t>
            </w:r>
          </w:p>
        </w:tc>
        <w:tc>
          <w:tcPr>
            <w:tcW w:w="2523" w:type="dxa"/>
            <w:noWrap w:val="0"/>
            <w:vAlign w:val="top"/>
          </w:tcPr>
          <w:p>
            <w:pPr>
              <w:spacing w:line="360" w:lineRule="auto"/>
              <w:jc w:val="center"/>
              <w:rPr>
                <w:rFonts w:hint="eastAsia" w:ascii="楷体" w:hAnsi="楷体" w:eastAsia="楷体"/>
                <w:color w:val="000000"/>
                <w:sz w:val="24"/>
                <w:szCs w:val="21"/>
              </w:rPr>
            </w:pPr>
            <w:r>
              <w:rPr>
                <w:rFonts w:ascii="楷体" w:hAnsi="楷体" w:eastAsia="楷体"/>
                <w:color w:val="000000"/>
                <w:sz w:val="24"/>
                <w:szCs w:val="21"/>
              </w:rPr>
              <w:t>5</w:t>
            </w:r>
            <w:r>
              <w:rPr>
                <w:rFonts w:hint="eastAsia" w:ascii="楷体" w:hAnsi="楷体" w:eastAsia="楷体"/>
                <w:color w:val="000000"/>
                <w:sz w:val="24"/>
                <w:szCs w:val="21"/>
              </w:rPr>
              <w:t>－延误次数×</w:t>
            </w:r>
            <w:r>
              <w:rPr>
                <w:rFonts w:ascii="楷体" w:hAnsi="楷体" w:eastAsia="楷体"/>
                <w:color w:val="000000"/>
                <w:sz w:val="24"/>
                <w:szCs w:val="21"/>
              </w:rPr>
              <w:t>2=</w:t>
            </w:r>
            <w:r>
              <w:rPr>
                <w:rFonts w:hint="eastAsia" w:ascii="楷体" w:hAnsi="楷体" w:eastAsia="楷体"/>
                <w:color w:val="000000"/>
                <w:sz w:val="24"/>
                <w:szCs w:val="21"/>
              </w:rPr>
              <w:t>（0、5为止）</w:t>
            </w:r>
          </w:p>
        </w:tc>
        <w:tc>
          <w:tcPr>
            <w:tcW w:w="897"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30%</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2、生产成本降低率</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控制在预算范围内</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实际成本</w:t>
            </w:r>
          </w:p>
        </w:tc>
        <w:tc>
          <w:tcPr>
            <w:tcW w:w="2523" w:type="dxa"/>
            <w:noWrap w:val="0"/>
            <w:vAlign w:val="top"/>
          </w:tcPr>
          <w:p>
            <w:pPr>
              <w:spacing w:line="360" w:lineRule="auto"/>
              <w:jc w:val="center"/>
              <w:rPr>
                <w:rFonts w:hint="eastAsia" w:ascii="楷体" w:hAnsi="楷体" w:eastAsia="楷体"/>
                <w:color w:val="000000"/>
                <w:sz w:val="24"/>
                <w:szCs w:val="21"/>
              </w:rPr>
            </w:pPr>
          </w:p>
        </w:tc>
        <w:tc>
          <w:tcPr>
            <w:tcW w:w="897" w:type="dxa"/>
            <w:noWrap w:val="0"/>
            <w:vAlign w:val="top"/>
          </w:tcPr>
          <w:p>
            <w:pPr>
              <w:spacing w:line="360" w:lineRule="auto"/>
              <w:jc w:val="center"/>
              <w:rPr>
                <w:rFonts w:ascii="楷体" w:hAnsi="楷体" w:eastAsia="楷体"/>
                <w:color w:val="000000"/>
                <w:sz w:val="24"/>
                <w:szCs w:val="21"/>
              </w:rPr>
            </w:pP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3、按照作业指导书作业</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完全按照作业指导书，违反一次扣2分</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实际违反次数</w:t>
            </w:r>
          </w:p>
        </w:tc>
        <w:tc>
          <w:tcPr>
            <w:tcW w:w="2523" w:type="dxa"/>
            <w:noWrap w:val="0"/>
            <w:vAlign w:val="top"/>
          </w:tcPr>
          <w:p>
            <w:pPr>
              <w:spacing w:line="360" w:lineRule="auto"/>
              <w:jc w:val="center"/>
              <w:rPr>
                <w:rFonts w:hint="eastAsia" w:ascii="楷体" w:hAnsi="楷体" w:eastAsia="楷体"/>
                <w:color w:val="000000"/>
                <w:sz w:val="24"/>
                <w:szCs w:val="21"/>
              </w:rPr>
            </w:pPr>
            <w:r>
              <w:rPr>
                <w:rFonts w:ascii="楷体" w:hAnsi="楷体" w:eastAsia="楷体"/>
                <w:color w:val="000000"/>
                <w:sz w:val="24"/>
                <w:szCs w:val="21"/>
              </w:rPr>
              <w:t>5</w:t>
            </w:r>
            <w:r>
              <w:rPr>
                <w:rFonts w:hint="eastAsia" w:ascii="楷体" w:hAnsi="楷体" w:eastAsia="楷体"/>
                <w:color w:val="000000"/>
                <w:sz w:val="24"/>
                <w:szCs w:val="21"/>
              </w:rPr>
              <w:t>－违反次数×</w:t>
            </w:r>
            <w:r>
              <w:rPr>
                <w:rFonts w:ascii="楷体" w:hAnsi="楷体" w:eastAsia="楷体"/>
                <w:color w:val="000000"/>
                <w:sz w:val="24"/>
                <w:szCs w:val="21"/>
              </w:rPr>
              <w:t>2=</w:t>
            </w:r>
            <w:r>
              <w:rPr>
                <w:rFonts w:hint="eastAsia" w:ascii="楷体" w:hAnsi="楷体" w:eastAsia="楷体"/>
                <w:color w:val="000000"/>
                <w:sz w:val="24"/>
                <w:szCs w:val="21"/>
              </w:rPr>
              <w:t>（0、5为止）</w:t>
            </w:r>
          </w:p>
        </w:tc>
        <w:tc>
          <w:tcPr>
            <w:tcW w:w="897"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15%</w:t>
            </w:r>
          </w:p>
          <w:p>
            <w:pPr>
              <w:spacing w:line="360" w:lineRule="auto"/>
              <w:jc w:val="center"/>
              <w:rPr>
                <w:rFonts w:ascii="楷体" w:hAnsi="楷体" w:eastAsia="楷体"/>
                <w:color w:val="000000"/>
                <w:sz w:val="24"/>
                <w:szCs w:val="21"/>
              </w:rPr>
            </w:pP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4、质量指标</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质量事故率为0，市场反馈回一次扣1.5分</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实际事故数：</w:t>
            </w:r>
          </w:p>
        </w:tc>
        <w:tc>
          <w:tcPr>
            <w:tcW w:w="2523" w:type="dxa"/>
            <w:noWrap w:val="0"/>
            <w:vAlign w:val="top"/>
          </w:tcPr>
          <w:p>
            <w:pPr>
              <w:spacing w:line="360" w:lineRule="auto"/>
              <w:jc w:val="center"/>
              <w:rPr>
                <w:rFonts w:hint="eastAsia" w:ascii="楷体" w:hAnsi="楷体" w:eastAsia="楷体"/>
                <w:color w:val="000000"/>
                <w:sz w:val="24"/>
                <w:szCs w:val="21"/>
              </w:rPr>
            </w:pPr>
            <w:r>
              <w:rPr>
                <w:rFonts w:ascii="楷体" w:hAnsi="楷体" w:eastAsia="楷体"/>
                <w:color w:val="000000"/>
                <w:sz w:val="24"/>
                <w:szCs w:val="21"/>
              </w:rPr>
              <w:t>5</w:t>
            </w:r>
            <w:r>
              <w:rPr>
                <w:rFonts w:hint="eastAsia" w:ascii="楷体" w:hAnsi="楷体" w:eastAsia="楷体"/>
                <w:color w:val="000000"/>
                <w:sz w:val="24"/>
                <w:szCs w:val="21"/>
              </w:rPr>
              <w:t>－ 实 际 事 故 数 ×1.5=（0、5为止）</w:t>
            </w:r>
          </w:p>
        </w:tc>
        <w:tc>
          <w:tcPr>
            <w:tcW w:w="897" w:type="dxa"/>
            <w:noWrap w:val="0"/>
            <w:vAlign w:val="top"/>
          </w:tcPr>
          <w:p>
            <w:pPr>
              <w:spacing w:line="360" w:lineRule="auto"/>
              <w:jc w:val="center"/>
              <w:rPr>
                <w:rFonts w:ascii="楷体" w:hAnsi="楷体" w:eastAsia="楷体"/>
                <w:color w:val="000000"/>
                <w:sz w:val="24"/>
                <w:szCs w:val="21"/>
              </w:rPr>
            </w:pPr>
            <w:r>
              <w:rPr>
                <w:rFonts w:hint="eastAsia" w:ascii="楷体" w:hAnsi="楷体" w:eastAsia="楷体"/>
                <w:color w:val="000000"/>
                <w:sz w:val="24"/>
                <w:szCs w:val="21"/>
              </w:rPr>
              <w:t>15%</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车间</w:t>
            </w: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1、生产计划按时完成</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不误发货，延误一次扣2分</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实际延误次数：</w:t>
            </w:r>
          </w:p>
        </w:tc>
        <w:tc>
          <w:tcPr>
            <w:tcW w:w="2523"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5</w:t>
            </w:r>
            <w:r>
              <w:rPr>
                <w:rFonts w:hint="eastAsia" w:ascii="楷体" w:hAnsi="楷体" w:eastAsia="楷体"/>
                <w:color w:val="000000"/>
                <w:sz w:val="24"/>
                <w:szCs w:val="21"/>
              </w:rPr>
              <w:t>－延误次数×</w:t>
            </w:r>
            <w:r>
              <w:rPr>
                <w:rFonts w:ascii="楷体" w:hAnsi="楷体" w:eastAsia="楷体"/>
                <w:color w:val="000000"/>
                <w:sz w:val="24"/>
                <w:szCs w:val="21"/>
              </w:rPr>
              <w:t>2=</w:t>
            </w:r>
            <w:r>
              <w:rPr>
                <w:rFonts w:hint="eastAsia" w:ascii="楷体" w:hAnsi="楷体" w:eastAsia="楷体"/>
                <w:color w:val="000000"/>
                <w:sz w:val="24"/>
                <w:szCs w:val="21"/>
              </w:rPr>
              <w:t>（0、5为止）</w:t>
            </w:r>
          </w:p>
        </w:tc>
        <w:tc>
          <w:tcPr>
            <w:tcW w:w="897" w:type="dxa"/>
            <w:noWrap w:val="0"/>
            <w:vAlign w:val="top"/>
          </w:tcPr>
          <w:p>
            <w:pPr>
              <w:spacing w:line="360" w:lineRule="auto"/>
              <w:jc w:val="center"/>
              <w:rPr>
                <w:rFonts w:hint="eastAsia" w:ascii="楷体" w:hAnsi="楷体" w:eastAsia="楷体"/>
                <w:color w:val="000000"/>
                <w:sz w:val="24"/>
                <w:szCs w:val="21"/>
              </w:rPr>
            </w:pPr>
            <w:r>
              <w:rPr>
                <w:rFonts w:ascii="楷体" w:hAnsi="楷体" w:eastAsia="楷体"/>
                <w:color w:val="000000"/>
                <w:sz w:val="24"/>
                <w:szCs w:val="21"/>
              </w:rPr>
              <w:t>30%</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2、各工序返工率</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返工率﹤3%（按作业台数考核）</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实际返工率：</w:t>
            </w:r>
          </w:p>
        </w:tc>
        <w:tc>
          <w:tcPr>
            <w:tcW w:w="2523" w:type="dxa"/>
            <w:noWrap w:val="0"/>
            <w:vAlign w:val="top"/>
          </w:tcPr>
          <w:p>
            <w:pPr>
              <w:spacing w:line="360" w:lineRule="auto"/>
              <w:jc w:val="center"/>
              <w:rPr>
                <w:rFonts w:ascii="楷体" w:hAnsi="楷体" w:eastAsia="楷体"/>
                <w:color w:val="000000"/>
                <w:sz w:val="24"/>
                <w:szCs w:val="21"/>
              </w:rPr>
            </w:pPr>
            <w:r>
              <w:rPr>
                <w:rFonts w:hint="eastAsia" w:ascii="楷体" w:hAnsi="楷体" w:eastAsia="楷体"/>
                <w:color w:val="000000"/>
                <w:sz w:val="24"/>
                <w:szCs w:val="21"/>
              </w:rPr>
              <w:t>5×[1 － （ 实 际 返 工 率 － 3% ） ×12.5]= （0、5为止）</w:t>
            </w:r>
          </w:p>
        </w:tc>
        <w:tc>
          <w:tcPr>
            <w:tcW w:w="897" w:type="dxa"/>
            <w:noWrap w:val="0"/>
            <w:vAlign w:val="top"/>
          </w:tcPr>
          <w:p>
            <w:pPr>
              <w:spacing w:line="360" w:lineRule="auto"/>
              <w:jc w:val="center"/>
              <w:rPr>
                <w:rFonts w:hint="eastAsia" w:ascii="楷体" w:hAnsi="楷体" w:eastAsia="楷体"/>
                <w:color w:val="000000"/>
                <w:sz w:val="24"/>
                <w:szCs w:val="21"/>
              </w:rPr>
            </w:pPr>
            <w:r>
              <w:rPr>
                <w:rFonts w:ascii="楷体" w:hAnsi="楷体" w:eastAsia="楷体"/>
                <w:color w:val="000000"/>
                <w:sz w:val="24"/>
                <w:szCs w:val="21"/>
              </w:rPr>
              <w:t>20%</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3、按照作业指导书作业</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完全按照作业指导书，违反一次扣2分</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实际违反次数：</w:t>
            </w:r>
          </w:p>
        </w:tc>
        <w:tc>
          <w:tcPr>
            <w:tcW w:w="2523"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5</w:t>
            </w:r>
            <w:r>
              <w:rPr>
                <w:rFonts w:hint="eastAsia" w:ascii="楷体" w:hAnsi="楷体" w:eastAsia="楷体"/>
                <w:color w:val="000000"/>
                <w:sz w:val="24"/>
                <w:szCs w:val="21"/>
              </w:rPr>
              <w:t>－违反次数×</w:t>
            </w:r>
            <w:r>
              <w:rPr>
                <w:rFonts w:ascii="楷体" w:hAnsi="楷体" w:eastAsia="楷体"/>
                <w:color w:val="000000"/>
                <w:sz w:val="24"/>
                <w:szCs w:val="21"/>
              </w:rPr>
              <w:t>2=</w:t>
            </w:r>
            <w:r>
              <w:rPr>
                <w:rFonts w:hint="eastAsia" w:ascii="楷体" w:hAnsi="楷体" w:eastAsia="楷体"/>
                <w:color w:val="000000"/>
                <w:sz w:val="24"/>
                <w:szCs w:val="21"/>
              </w:rPr>
              <w:t>（0、5为止）</w:t>
            </w:r>
          </w:p>
        </w:tc>
        <w:tc>
          <w:tcPr>
            <w:tcW w:w="897" w:type="dxa"/>
            <w:noWrap w:val="0"/>
            <w:vAlign w:val="top"/>
          </w:tcPr>
          <w:p>
            <w:pPr>
              <w:spacing w:line="360" w:lineRule="auto"/>
              <w:jc w:val="center"/>
              <w:rPr>
                <w:rFonts w:hint="eastAsia" w:ascii="楷体" w:hAnsi="楷体" w:eastAsia="楷体"/>
                <w:color w:val="000000"/>
                <w:sz w:val="24"/>
                <w:szCs w:val="21"/>
              </w:rPr>
            </w:pPr>
            <w:r>
              <w:rPr>
                <w:rFonts w:ascii="楷体" w:hAnsi="楷体" w:eastAsia="楷体"/>
                <w:color w:val="000000"/>
                <w:sz w:val="24"/>
                <w:szCs w:val="21"/>
              </w:rPr>
              <w:t>15%</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4、生产成本降低率</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控制在预算范围内</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实际成本</w:t>
            </w:r>
          </w:p>
        </w:tc>
        <w:tc>
          <w:tcPr>
            <w:tcW w:w="2523" w:type="dxa"/>
            <w:noWrap w:val="0"/>
            <w:vAlign w:val="top"/>
          </w:tcPr>
          <w:p>
            <w:pPr>
              <w:spacing w:line="360" w:lineRule="auto"/>
              <w:jc w:val="center"/>
              <w:rPr>
                <w:rFonts w:ascii="楷体" w:hAnsi="楷体" w:eastAsia="楷体"/>
                <w:color w:val="000000"/>
                <w:sz w:val="24"/>
                <w:szCs w:val="21"/>
              </w:rPr>
            </w:pPr>
          </w:p>
        </w:tc>
        <w:tc>
          <w:tcPr>
            <w:tcW w:w="897" w:type="dxa"/>
            <w:noWrap w:val="0"/>
            <w:vAlign w:val="top"/>
          </w:tcPr>
          <w:p>
            <w:pPr>
              <w:spacing w:line="360" w:lineRule="auto"/>
              <w:jc w:val="center"/>
              <w:rPr>
                <w:rFonts w:hint="eastAsia" w:ascii="楷体" w:hAnsi="楷体" w:eastAsia="楷体"/>
                <w:color w:val="000000"/>
                <w:sz w:val="24"/>
                <w:szCs w:val="21"/>
              </w:rPr>
            </w:pP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研究中心</w:t>
            </w: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1、市场技术支持满意率</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满意率 ≥ 90%</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实际满意率：</w:t>
            </w:r>
          </w:p>
        </w:tc>
        <w:tc>
          <w:tcPr>
            <w:tcW w:w="2523" w:type="dxa"/>
            <w:noWrap w:val="0"/>
            <w:vAlign w:val="top"/>
          </w:tcPr>
          <w:p>
            <w:pPr>
              <w:spacing w:line="360" w:lineRule="auto"/>
              <w:jc w:val="center"/>
              <w:rPr>
                <w:rFonts w:ascii="楷体" w:hAnsi="楷体" w:eastAsia="楷体"/>
                <w:color w:val="000000"/>
                <w:sz w:val="24"/>
                <w:szCs w:val="21"/>
              </w:rPr>
            </w:pPr>
            <w:r>
              <w:rPr>
                <w:rFonts w:hint="eastAsia" w:ascii="楷体" w:hAnsi="楷体" w:eastAsia="楷体"/>
                <w:color w:val="000000"/>
                <w:sz w:val="24"/>
                <w:szCs w:val="21"/>
              </w:rPr>
              <w:t>5×[1 － （ 90% － 实 际 满 意 率 ） ×3]= （0、5为止）</w:t>
            </w:r>
          </w:p>
        </w:tc>
        <w:tc>
          <w:tcPr>
            <w:tcW w:w="897" w:type="dxa"/>
            <w:noWrap w:val="0"/>
            <w:vAlign w:val="top"/>
          </w:tcPr>
          <w:p>
            <w:pPr>
              <w:spacing w:line="360" w:lineRule="auto"/>
              <w:jc w:val="center"/>
              <w:rPr>
                <w:rFonts w:hint="eastAsia" w:ascii="楷体" w:hAnsi="楷体" w:eastAsia="楷体"/>
                <w:color w:val="000000"/>
                <w:sz w:val="24"/>
                <w:szCs w:val="21"/>
              </w:rPr>
            </w:pPr>
            <w:r>
              <w:rPr>
                <w:rFonts w:ascii="楷体" w:hAnsi="楷体" w:eastAsia="楷体"/>
                <w:color w:val="000000"/>
                <w:sz w:val="24"/>
                <w:szCs w:val="21"/>
              </w:rPr>
              <w:t>30%</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2、方案设计成功率</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满意率 ≥ 95%</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实际成功率：</w:t>
            </w:r>
          </w:p>
        </w:tc>
        <w:tc>
          <w:tcPr>
            <w:tcW w:w="2523" w:type="dxa"/>
            <w:noWrap w:val="0"/>
            <w:vAlign w:val="top"/>
          </w:tcPr>
          <w:p>
            <w:pPr>
              <w:spacing w:line="360" w:lineRule="auto"/>
              <w:jc w:val="center"/>
              <w:rPr>
                <w:rFonts w:ascii="楷体" w:hAnsi="楷体" w:eastAsia="楷体"/>
                <w:color w:val="000000"/>
                <w:sz w:val="24"/>
                <w:szCs w:val="21"/>
              </w:rPr>
            </w:pPr>
            <w:r>
              <w:rPr>
                <w:rFonts w:hint="eastAsia" w:ascii="楷体" w:hAnsi="楷体" w:eastAsia="楷体"/>
                <w:color w:val="000000"/>
                <w:sz w:val="24"/>
                <w:szCs w:val="21"/>
              </w:rPr>
              <w:t>5×[1 － （ 95% － 实 际 成 功 率 ） ×3]= （0、5为止）</w:t>
            </w:r>
          </w:p>
        </w:tc>
        <w:tc>
          <w:tcPr>
            <w:tcW w:w="897" w:type="dxa"/>
            <w:noWrap w:val="0"/>
            <w:vAlign w:val="top"/>
          </w:tcPr>
          <w:p>
            <w:pPr>
              <w:spacing w:line="360" w:lineRule="auto"/>
              <w:jc w:val="center"/>
              <w:rPr>
                <w:rFonts w:hint="eastAsia" w:ascii="楷体" w:hAnsi="楷体" w:eastAsia="楷体"/>
                <w:color w:val="000000"/>
                <w:sz w:val="24"/>
                <w:szCs w:val="21"/>
              </w:rPr>
            </w:pPr>
            <w:r>
              <w:rPr>
                <w:rFonts w:ascii="楷体" w:hAnsi="楷体" w:eastAsia="楷体"/>
                <w:color w:val="000000"/>
                <w:sz w:val="24"/>
                <w:szCs w:val="21"/>
              </w:rPr>
              <w:t>40%</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3、开发项目进度完成</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100%完成</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实际完成率</w:t>
            </w:r>
          </w:p>
        </w:tc>
        <w:tc>
          <w:tcPr>
            <w:tcW w:w="2523" w:type="dxa"/>
            <w:noWrap w:val="0"/>
            <w:vAlign w:val="top"/>
          </w:tcPr>
          <w:p>
            <w:pPr>
              <w:spacing w:line="360" w:lineRule="auto"/>
              <w:jc w:val="center"/>
              <w:rPr>
                <w:rFonts w:ascii="楷体" w:hAnsi="楷体" w:eastAsia="楷体"/>
                <w:color w:val="000000"/>
                <w:sz w:val="24"/>
                <w:szCs w:val="21"/>
              </w:rPr>
            </w:pPr>
            <w:r>
              <w:rPr>
                <w:rFonts w:hint="eastAsia" w:ascii="楷体" w:hAnsi="楷体" w:eastAsia="楷体"/>
                <w:color w:val="000000"/>
                <w:sz w:val="24"/>
                <w:szCs w:val="21"/>
              </w:rPr>
              <w:t>5×[1 － （ 100% － 实 际 完 成 率 ） ×5]= （0、5为止）</w:t>
            </w:r>
          </w:p>
        </w:tc>
        <w:tc>
          <w:tcPr>
            <w:tcW w:w="897" w:type="dxa"/>
            <w:noWrap w:val="0"/>
            <w:vAlign w:val="top"/>
          </w:tcPr>
          <w:p>
            <w:pPr>
              <w:spacing w:line="360" w:lineRule="auto"/>
              <w:jc w:val="center"/>
              <w:rPr>
                <w:rFonts w:hint="eastAsia" w:ascii="楷体" w:hAnsi="楷体" w:eastAsia="楷体"/>
                <w:color w:val="000000"/>
                <w:sz w:val="24"/>
                <w:szCs w:val="21"/>
              </w:rPr>
            </w:pPr>
            <w:r>
              <w:rPr>
                <w:rFonts w:ascii="楷体" w:hAnsi="楷体" w:eastAsia="楷体"/>
                <w:color w:val="000000"/>
                <w:sz w:val="24"/>
                <w:szCs w:val="21"/>
              </w:rPr>
              <w:t>30%</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办公室1</w:t>
            </w: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1、行政办公费用控制</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控制在预算内</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实际发生：</w:t>
            </w:r>
          </w:p>
        </w:tc>
        <w:tc>
          <w:tcPr>
            <w:tcW w:w="25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实际发生在预算内为5分</w:t>
            </w:r>
          </w:p>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超预算：5－15×（实际/预算－1）=</w:t>
            </w:r>
          </w:p>
        </w:tc>
        <w:tc>
          <w:tcPr>
            <w:tcW w:w="897"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25%</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2、招待费用控制</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控制在预算内</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实际发生</w:t>
            </w:r>
          </w:p>
        </w:tc>
        <w:tc>
          <w:tcPr>
            <w:tcW w:w="25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实际发生在预算内为5分超预算：5－15×（实际/预算－1）=</w:t>
            </w:r>
          </w:p>
        </w:tc>
        <w:tc>
          <w:tcPr>
            <w:tcW w:w="897"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25%</w:t>
            </w:r>
          </w:p>
          <w:p>
            <w:pPr>
              <w:spacing w:line="360" w:lineRule="auto"/>
              <w:jc w:val="center"/>
              <w:rPr>
                <w:rFonts w:ascii="楷体" w:hAnsi="楷体" w:eastAsia="楷体"/>
                <w:color w:val="000000"/>
                <w:sz w:val="24"/>
                <w:szCs w:val="21"/>
              </w:rPr>
            </w:pP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3、内部服务满意率</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附“满意调查表”，满意率≥90%</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实际满意率</w:t>
            </w:r>
          </w:p>
        </w:tc>
        <w:tc>
          <w:tcPr>
            <w:tcW w:w="25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5×[1 － （ 90% － 实 际 满 意 率 ） ×3]= （0、5为止）</w:t>
            </w:r>
          </w:p>
        </w:tc>
        <w:tc>
          <w:tcPr>
            <w:tcW w:w="897"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20%</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4、总经理指令督办查办落实率</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落实率 100%，未完成一项经理助理按责任人的25%扣分</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未完成数</w:t>
            </w:r>
          </w:p>
        </w:tc>
        <w:tc>
          <w:tcPr>
            <w:tcW w:w="25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5 － （ 未 落 实 数 ×5/ 总 经 理 指 令 数 ） =（到0为止）</w:t>
            </w:r>
          </w:p>
        </w:tc>
        <w:tc>
          <w:tcPr>
            <w:tcW w:w="897" w:type="dxa"/>
            <w:noWrap w:val="0"/>
            <w:vAlign w:val="top"/>
          </w:tcPr>
          <w:p>
            <w:pPr>
              <w:spacing w:line="360" w:lineRule="auto"/>
              <w:jc w:val="center"/>
              <w:rPr>
                <w:rFonts w:ascii="楷体" w:hAnsi="楷体" w:eastAsia="楷体"/>
                <w:color w:val="000000"/>
                <w:sz w:val="24"/>
                <w:szCs w:val="21"/>
              </w:rPr>
            </w:pP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5、年内申报项目完成率</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年内审批资金完成80万元（全年指标统算调整）</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实际完成率</w:t>
            </w:r>
          </w:p>
        </w:tc>
        <w:tc>
          <w:tcPr>
            <w:tcW w:w="25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5×〔1－（100%－实际满意率）×6〕=</w:t>
            </w:r>
          </w:p>
        </w:tc>
        <w:tc>
          <w:tcPr>
            <w:tcW w:w="897" w:type="dxa"/>
            <w:noWrap w:val="0"/>
            <w:vAlign w:val="top"/>
          </w:tcPr>
          <w:p>
            <w:pPr>
              <w:spacing w:line="360" w:lineRule="auto"/>
              <w:jc w:val="center"/>
              <w:rPr>
                <w:rFonts w:ascii="楷体" w:hAnsi="楷体" w:eastAsia="楷体"/>
                <w:color w:val="000000"/>
                <w:sz w:val="24"/>
                <w:szCs w:val="21"/>
              </w:rPr>
            </w:pP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办公室2</w:t>
            </w: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１、车辆费用控制</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费用控制在预算内</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实际费用：</w:t>
            </w:r>
          </w:p>
        </w:tc>
        <w:tc>
          <w:tcPr>
            <w:tcW w:w="25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5－15×（实际/预算－1）=</w:t>
            </w:r>
          </w:p>
        </w:tc>
        <w:tc>
          <w:tcPr>
            <w:tcW w:w="897"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30%</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2、物业费用控制</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费用控制在预算内</w:t>
            </w:r>
          </w:p>
        </w:tc>
        <w:tc>
          <w:tcPr>
            <w:tcW w:w="2202" w:type="dxa"/>
            <w:noWrap w:val="0"/>
            <w:vAlign w:val="top"/>
          </w:tcPr>
          <w:p>
            <w:pPr>
              <w:spacing w:line="360" w:lineRule="auto"/>
              <w:jc w:val="center"/>
              <w:rPr>
                <w:rFonts w:hint="eastAsia" w:ascii="楷体" w:hAnsi="楷体" w:eastAsia="楷体"/>
                <w:color w:val="000000"/>
                <w:sz w:val="24"/>
                <w:szCs w:val="21"/>
              </w:rPr>
            </w:pPr>
          </w:p>
        </w:tc>
        <w:tc>
          <w:tcPr>
            <w:tcW w:w="2523" w:type="dxa"/>
            <w:noWrap w:val="0"/>
            <w:vAlign w:val="top"/>
          </w:tcPr>
          <w:p>
            <w:pPr>
              <w:spacing w:line="360" w:lineRule="auto"/>
              <w:jc w:val="center"/>
              <w:rPr>
                <w:rFonts w:hint="eastAsia" w:ascii="楷体" w:hAnsi="楷体" w:eastAsia="楷体"/>
                <w:color w:val="000000"/>
                <w:sz w:val="24"/>
                <w:szCs w:val="21"/>
              </w:rPr>
            </w:pPr>
          </w:p>
        </w:tc>
        <w:tc>
          <w:tcPr>
            <w:tcW w:w="897"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15%</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3、员工就餐满意率</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满意度≥75%</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实际满意率</w:t>
            </w:r>
          </w:p>
        </w:tc>
        <w:tc>
          <w:tcPr>
            <w:tcW w:w="25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[1+ （ 实 际 满 意 度 － 75% ） ×5] ×5=（到0为止）</w:t>
            </w:r>
          </w:p>
        </w:tc>
        <w:tc>
          <w:tcPr>
            <w:tcW w:w="897"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20%</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人力资源部</w:t>
            </w: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1、招聘计划完成</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100%完成（见年度计划）</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实际完成率</w:t>
            </w:r>
          </w:p>
        </w:tc>
        <w:tc>
          <w:tcPr>
            <w:tcW w:w="25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5×[1 － （ 100% － 实 际 完 成 率 ） ×5]= （0、5为止）</w:t>
            </w:r>
          </w:p>
        </w:tc>
        <w:tc>
          <w:tcPr>
            <w:tcW w:w="897"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30%</w:t>
            </w:r>
          </w:p>
          <w:p>
            <w:pPr>
              <w:spacing w:line="360" w:lineRule="auto"/>
              <w:jc w:val="center"/>
              <w:rPr>
                <w:rFonts w:ascii="楷体" w:hAnsi="楷体" w:eastAsia="楷体"/>
                <w:color w:val="000000"/>
                <w:sz w:val="24"/>
                <w:szCs w:val="21"/>
              </w:rPr>
            </w:pP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2、岗位培训计划完成</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100%完成（见年度计划）</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实际完成率</w:t>
            </w:r>
          </w:p>
        </w:tc>
        <w:tc>
          <w:tcPr>
            <w:tcW w:w="25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5×[1 － （ 100% － 实 际 完 成 率 ） ×5]= （0、5为止）</w:t>
            </w:r>
          </w:p>
        </w:tc>
        <w:tc>
          <w:tcPr>
            <w:tcW w:w="897" w:type="dxa"/>
            <w:noWrap w:val="0"/>
            <w:vAlign w:val="top"/>
          </w:tcPr>
          <w:p>
            <w:pPr>
              <w:spacing w:line="360" w:lineRule="auto"/>
              <w:jc w:val="center"/>
              <w:rPr>
                <w:rFonts w:ascii="楷体" w:hAnsi="楷体" w:eastAsia="楷体"/>
                <w:color w:val="000000"/>
                <w:sz w:val="24"/>
                <w:szCs w:val="21"/>
              </w:rPr>
            </w:pP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3、绩效考核完成率</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每季首月20日结束上季考核晚一天扣0.5分</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实际晚天数</w:t>
            </w:r>
          </w:p>
        </w:tc>
        <w:tc>
          <w:tcPr>
            <w:tcW w:w="25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5－0.5×天数 =</w:t>
            </w:r>
          </w:p>
        </w:tc>
        <w:tc>
          <w:tcPr>
            <w:tcW w:w="897"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30%</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研发部</w:t>
            </w: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1、季度新产品研发计划完成</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100%完成</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实际完成率</w:t>
            </w:r>
          </w:p>
        </w:tc>
        <w:tc>
          <w:tcPr>
            <w:tcW w:w="25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5×[1 － （ 100% － 实 际 完 成 率 ） ×5]= （0、5为止）</w:t>
            </w:r>
          </w:p>
        </w:tc>
        <w:tc>
          <w:tcPr>
            <w:tcW w:w="897"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35%</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2、开发新产品资料完整</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新产品测试合格后3日内，要求将所有图纸、各类参数资料、鉴定资料交技术部（办公室），晚一天扣0.5分</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实际晚天数</w:t>
            </w:r>
          </w:p>
        </w:tc>
        <w:tc>
          <w:tcPr>
            <w:tcW w:w="2523" w:type="dxa"/>
            <w:noWrap w:val="0"/>
            <w:vAlign w:val="top"/>
          </w:tcPr>
          <w:p>
            <w:pPr>
              <w:spacing w:line="360" w:lineRule="auto"/>
              <w:jc w:val="center"/>
              <w:rPr>
                <w:rFonts w:hint="eastAsia" w:ascii="楷体" w:hAnsi="楷体" w:eastAsia="楷体"/>
                <w:color w:val="000000"/>
                <w:sz w:val="24"/>
                <w:szCs w:val="21"/>
              </w:rPr>
            </w:pPr>
            <w:r>
              <w:rPr>
                <w:rFonts w:ascii="楷体" w:hAnsi="楷体" w:eastAsia="楷体"/>
                <w:color w:val="000000"/>
                <w:sz w:val="24"/>
                <w:szCs w:val="21"/>
              </w:rPr>
              <w:t>5</w:t>
            </w:r>
            <w:r>
              <w:rPr>
                <w:rFonts w:hint="eastAsia" w:ascii="楷体" w:hAnsi="楷体" w:eastAsia="楷体"/>
                <w:color w:val="000000"/>
                <w:sz w:val="24"/>
                <w:szCs w:val="21"/>
              </w:rPr>
              <w:t>－ 实 际 晚 天 数 ×0.5</w:t>
            </w:r>
            <w:r>
              <w:rPr>
                <w:rFonts w:ascii="楷体" w:hAnsi="楷体" w:eastAsia="楷体"/>
                <w:color w:val="000000"/>
                <w:sz w:val="24"/>
                <w:szCs w:val="21"/>
              </w:rPr>
              <w:t>=</w:t>
            </w:r>
            <w:r>
              <w:rPr>
                <w:rFonts w:hint="eastAsia" w:ascii="楷体" w:hAnsi="楷体" w:eastAsia="楷体"/>
                <w:color w:val="000000"/>
                <w:sz w:val="24"/>
                <w:szCs w:val="21"/>
              </w:rPr>
              <w:t>（0、5为止）</w:t>
            </w:r>
          </w:p>
        </w:tc>
        <w:tc>
          <w:tcPr>
            <w:tcW w:w="897"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15%</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3、新产品试制一次成功率（成本）</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控制材料零件更换，工时重复；按测试总项及重试项算，一次成功率85%</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实际成功率</w:t>
            </w:r>
          </w:p>
        </w:tc>
        <w:tc>
          <w:tcPr>
            <w:tcW w:w="25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5×[1 － （ 85% － 实 际 成 功 率 ） ×3]= （0、5为止）</w:t>
            </w:r>
          </w:p>
        </w:tc>
        <w:tc>
          <w:tcPr>
            <w:tcW w:w="897"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25%</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4、研发成本费用控制</w:t>
            </w:r>
          </w:p>
        </w:tc>
        <w:tc>
          <w:tcPr>
            <w:tcW w:w="2975" w:type="dxa"/>
            <w:noWrap w:val="0"/>
            <w:vAlign w:val="top"/>
          </w:tcPr>
          <w:p>
            <w:pPr>
              <w:spacing w:line="360" w:lineRule="auto"/>
              <w:jc w:val="center"/>
              <w:rPr>
                <w:rFonts w:hint="eastAsia" w:ascii="楷体" w:hAnsi="楷体" w:eastAsia="楷体"/>
                <w:color w:val="000000"/>
                <w:sz w:val="24"/>
                <w:szCs w:val="21"/>
              </w:rPr>
            </w:pPr>
          </w:p>
        </w:tc>
        <w:tc>
          <w:tcPr>
            <w:tcW w:w="2202" w:type="dxa"/>
            <w:noWrap w:val="0"/>
            <w:vAlign w:val="top"/>
          </w:tcPr>
          <w:p>
            <w:pPr>
              <w:spacing w:line="360" w:lineRule="auto"/>
              <w:jc w:val="center"/>
              <w:rPr>
                <w:rFonts w:hint="eastAsia" w:ascii="楷体" w:hAnsi="楷体" w:eastAsia="楷体"/>
                <w:color w:val="000000"/>
                <w:sz w:val="24"/>
                <w:szCs w:val="21"/>
              </w:rPr>
            </w:pPr>
          </w:p>
        </w:tc>
        <w:tc>
          <w:tcPr>
            <w:tcW w:w="2523" w:type="dxa"/>
            <w:noWrap w:val="0"/>
            <w:vAlign w:val="top"/>
          </w:tcPr>
          <w:p>
            <w:pPr>
              <w:spacing w:line="360" w:lineRule="auto"/>
              <w:jc w:val="center"/>
              <w:rPr>
                <w:rFonts w:hint="eastAsia" w:ascii="楷体" w:hAnsi="楷体" w:eastAsia="楷体"/>
                <w:color w:val="000000"/>
                <w:sz w:val="24"/>
                <w:szCs w:val="21"/>
              </w:rPr>
            </w:pPr>
          </w:p>
        </w:tc>
        <w:tc>
          <w:tcPr>
            <w:tcW w:w="897" w:type="dxa"/>
            <w:noWrap w:val="0"/>
            <w:vAlign w:val="top"/>
          </w:tcPr>
          <w:p>
            <w:pPr>
              <w:spacing w:line="360" w:lineRule="auto"/>
              <w:jc w:val="center"/>
              <w:rPr>
                <w:rFonts w:ascii="楷体" w:hAnsi="楷体" w:eastAsia="楷体"/>
                <w:color w:val="000000"/>
                <w:sz w:val="24"/>
                <w:szCs w:val="21"/>
              </w:rPr>
            </w:pP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质量部</w:t>
            </w: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1、外购外协件检验工作合格率</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检验工作（外观检验、上机测试）合格率为100%</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不合格项</w:t>
            </w:r>
          </w:p>
        </w:tc>
        <w:tc>
          <w:tcPr>
            <w:tcW w:w="25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5－不合格项×1.5 =</w:t>
            </w:r>
          </w:p>
        </w:tc>
        <w:tc>
          <w:tcPr>
            <w:tcW w:w="897"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25%</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2、质量事故追溯率</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追溯落实率为100%</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实际追溯率为：</w:t>
            </w:r>
          </w:p>
        </w:tc>
        <w:tc>
          <w:tcPr>
            <w:tcW w:w="25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5× 实际追溯率 =</w:t>
            </w:r>
          </w:p>
        </w:tc>
        <w:tc>
          <w:tcPr>
            <w:tcW w:w="897"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40%</w:t>
            </w:r>
          </w:p>
          <w:p>
            <w:pPr>
              <w:spacing w:line="360" w:lineRule="auto"/>
              <w:jc w:val="center"/>
              <w:rPr>
                <w:rFonts w:ascii="楷体" w:hAnsi="楷体" w:eastAsia="楷体"/>
                <w:color w:val="000000"/>
                <w:sz w:val="24"/>
                <w:szCs w:val="21"/>
              </w:rPr>
            </w:pP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3、工序质量控制</w:t>
            </w:r>
          </w:p>
        </w:tc>
        <w:tc>
          <w:tcPr>
            <w:tcW w:w="2975" w:type="dxa"/>
            <w:noWrap w:val="0"/>
            <w:vAlign w:val="top"/>
          </w:tcPr>
          <w:p>
            <w:pPr>
              <w:spacing w:line="360" w:lineRule="auto"/>
              <w:jc w:val="center"/>
              <w:rPr>
                <w:rFonts w:hint="eastAsia" w:ascii="楷体" w:hAnsi="楷体" w:eastAsia="楷体"/>
                <w:color w:val="000000"/>
                <w:sz w:val="24"/>
                <w:szCs w:val="21"/>
              </w:rPr>
            </w:pPr>
          </w:p>
        </w:tc>
        <w:tc>
          <w:tcPr>
            <w:tcW w:w="2202" w:type="dxa"/>
            <w:noWrap w:val="0"/>
            <w:vAlign w:val="top"/>
          </w:tcPr>
          <w:p>
            <w:pPr>
              <w:spacing w:line="360" w:lineRule="auto"/>
              <w:jc w:val="center"/>
              <w:rPr>
                <w:rFonts w:hint="eastAsia" w:ascii="楷体" w:hAnsi="楷体" w:eastAsia="楷体"/>
                <w:color w:val="000000"/>
                <w:sz w:val="24"/>
                <w:szCs w:val="21"/>
              </w:rPr>
            </w:pPr>
          </w:p>
        </w:tc>
        <w:tc>
          <w:tcPr>
            <w:tcW w:w="2523" w:type="dxa"/>
            <w:noWrap w:val="0"/>
            <w:vAlign w:val="top"/>
          </w:tcPr>
          <w:p>
            <w:pPr>
              <w:spacing w:line="360" w:lineRule="auto"/>
              <w:jc w:val="center"/>
              <w:rPr>
                <w:rFonts w:hint="eastAsia" w:ascii="楷体" w:hAnsi="楷体" w:eastAsia="楷体"/>
                <w:color w:val="000000"/>
                <w:sz w:val="24"/>
                <w:szCs w:val="21"/>
              </w:rPr>
            </w:pPr>
          </w:p>
        </w:tc>
        <w:tc>
          <w:tcPr>
            <w:tcW w:w="897" w:type="dxa"/>
            <w:noWrap w:val="0"/>
            <w:vAlign w:val="top"/>
          </w:tcPr>
          <w:p>
            <w:pPr>
              <w:spacing w:line="360" w:lineRule="auto"/>
              <w:jc w:val="center"/>
              <w:rPr>
                <w:rFonts w:ascii="楷体" w:hAnsi="楷体" w:eastAsia="楷体"/>
                <w:color w:val="000000"/>
                <w:sz w:val="24"/>
                <w:szCs w:val="21"/>
              </w:rPr>
            </w:pP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市场部</w:t>
            </w: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1、客户接待满意率</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满意率为95%</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实际满意率：</w:t>
            </w:r>
          </w:p>
        </w:tc>
        <w:tc>
          <w:tcPr>
            <w:tcW w:w="25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5×〔1－（95%－实际满意率）×20〕=</w:t>
            </w:r>
          </w:p>
        </w:tc>
        <w:tc>
          <w:tcPr>
            <w:tcW w:w="897"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40%</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2、按合同付款发货率</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发货率 100%，出现未付清款发货一次扣2分</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实际未付清款发货数</w:t>
            </w:r>
          </w:p>
        </w:tc>
        <w:tc>
          <w:tcPr>
            <w:tcW w:w="25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5－2×未付清款发货数 =</w:t>
            </w:r>
          </w:p>
        </w:tc>
        <w:tc>
          <w:tcPr>
            <w:tcW w:w="897"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25%</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3、市场服务支持满意率</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满意率为100%，见附“服务满意调查表”</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实际满意率：</w:t>
            </w:r>
          </w:p>
        </w:tc>
        <w:tc>
          <w:tcPr>
            <w:tcW w:w="25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5×〔1－（100%－实际满意率）×6〕=</w:t>
            </w:r>
          </w:p>
        </w:tc>
        <w:tc>
          <w:tcPr>
            <w:tcW w:w="897"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35%</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项目管理部</w:t>
            </w: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1、大包工程利润（包括配件利润）</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季度计划利润</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实际利润：</w:t>
            </w:r>
          </w:p>
        </w:tc>
        <w:tc>
          <w:tcPr>
            <w:tcW w:w="25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5×实际利润/季度计划利润=</w:t>
            </w:r>
          </w:p>
        </w:tc>
        <w:tc>
          <w:tcPr>
            <w:tcW w:w="897"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60%</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2、工程质量合格率</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一次验收达标率100%</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实际达标率：</w:t>
            </w:r>
          </w:p>
        </w:tc>
        <w:tc>
          <w:tcPr>
            <w:tcW w:w="25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5×[1 － （ 100% － 实 际 达 标 率 ） ×3]= （0、5为止）</w:t>
            </w:r>
          </w:p>
        </w:tc>
        <w:tc>
          <w:tcPr>
            <w:tcW w:w="897"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40%</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3、300 万以上工程方案评审</w:t>
            </w:r>
          </w:p>
        </w:tc>
        <w:tc>
          <w:tcPr>
            <w:tcW w:w="2975" w:type="dxa"/>
            <w:noWrap w:val="0"/>
            <w:vAlign w:val="top"/>
          </w:tcPr>
          <w:p>
            <w:pPr>
              <w:spacing w:line="360" w:lineRule="auto"/>
              <w:jc w:val="center"/>
              <w:rPr>
                <w:rFonts w:hint="eastAsia" w:ascii="楷体" w:hAnsi="楷体" w:eastAsia="楷体"/>
                <w:color w:val="000000"/>
                <w:sz w:val="24"/>
                <w:szCs w:val="21"/>
              </w:rPr>
            </w:pPr>
          </w:p>
        </w:tc>
        <w:tc>
          <w:tcPr>
            <w:tcW w:w="2202" w:type="dxa"/>
            <w:noWrap w:val="0"/>
            <w:vAlign w:val="top"/>
          </w:tcPr>
          <w:p>
            <w:pPr>
              <w:spacing w:line="360" w:lineRule="auto"/>
              <w:jc w:val="center"/>
              <w:rPr>
                <w:rFonts w:hint="eastAsia" w:ascii="楷体" w:hAnsi="楷体" w:eastAsia="楷体"/>
                <w:color w:val="000000"/>
                <w:sz w:val="24"/>
                <w:szCs w:val="21"/>
              </w:rPr>
            </w:pPr>
          </w:p>
        </w:tc>
        <w:tc>
          <w:tcPr>
            <w:tcW w:w="2523" w:type="dxa"/>
            <w:noWrap w:val="0"/>
            <w:vAlign w:val="top"/>
          </w:tcPr>
          <w:p>
            <w:pPr>
              <w:spacing w:line="360" w:lineRule="auto"/>
              <w:jc w:val="center"/>
              <w:rPr>
                <w:rFonts w:hint="eastAsia" w:ascii="楷体" w:hAnsi="楷体" w:eastAsia="楷体"/>
                <w:color w:val="000000"/>
                <w:sz w:val="24"/>
                <w:szCs w:val="21"/>
              </w:rPr>
            </w:pPr>
          </w:p>
        </w:tc>
        <w:tc>
          <w:tcPr>
            <w:tcW w:w="897" w:type="dxa"/>
            <w:noWrap w:val="0"/>
            <w:vAlign w:val="top"/>
          </w:tcPr>
          <w:p>
            <w:pPr>
              <w:spacing w:line="360" w:lineRule="auto"/>
              <w:jc w:val="center"/>
              <w:rPr>
                <w:rFonts w:ascii="楷体" w:hAnsi="楷体" w:eastAsia="楷体"/>
                <w:color w:val="000000"/>
                <w:sz w:val="24"/>
                <w:szCs w:val="21"/>
              </w:rPr>
            </w:pP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清欠办</w:t>
            </w: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1、货款回收</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完成季度回收计划：</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实际完成比率</w:t>
            </w:r>
          </w:p>
        </w:tc>
        <w:tc>
          <w:tcPr>
            <w:tcW w:w="25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5×实际回款额/季度回收计划=</w:t>
            </w:r>
          </w:p>
        </w:tc>
        <w:tc>
          <w:tcPr>
            <w:tcW w:w="897"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80%</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2、清欠笔率</w:t>
            </w:r>
          </w:p>
        </w:tc>
        <w:tc>
          <w:tcPr>
            <w:tcW w:w="2975" w:type="dxa"/>
            <w:noWrap w:val="0"/>
            <w:vAlign w:val="top"/>
          </w:tcPr>
          <w:p>
            <w:pPr>
              <w:spacing w:line="360" w:lineRule="auto"/>
              <w:jc w:val="center"/>
              <w:rPr>
                <w:rFonts w:hint="eastAsia" w:ascii="楷体" w:hAnsi="楷体" w:eastAsia="楷体"/>
                <w:color w:val="000000"/>
                <w:sz w:val="24"/>
                <w:szCs w:val="21"/>
              </w:rPr>
            </w:pPr>
          </w:p>
        </w:tc>
        <w:tc>
          <w:tcPr>
            <w:tcW w:w="2202" w:type="dxa"/>
            <w:noWrap w:val="0"/>
            <w:vAlign w:val="top"/>
          </w:tcPr>
          <w:p>
            <w:pPr>
              <w:spacing w:line="360" w:lineRule="auto"/>
              <w:jc w:val="center"/>
              <w:rPr>
                <w:rFonts w:hint="eastAsia" w:ascii="楷体" w:hAnsi="楷体" w:eastAsia="楷体"/>
                <w:color w:val="000000"/>
                <w:sz w:val="24"/>
                <w:szCs w:val="21"/>
              </w:rPr>
            </w:pPr>
          </w:p>
        </w:tc>
        <w:tc>
          <w:tcPr>
            <w:tcW w:w="2523" w:type="dxa"/>
            <w:noWrap w:val="0"/>
            <w:vAlign w:val="top"/>
          </w:tcPr>
          <w:p>
            <w:pPr>
              <w:spacing w:line="360" w:lineRule="auto"/>
              <w:jc w:val="center"/>
              <w:rPr>
                <w:rFonts w:hint="eastAsia" w:ascii="楷体" w:hAnsi="楷体" w:eastAsia="楷体"/>
                <w:color w:val="000000"/>
                <w:sz w:val="24"/>
                <w:szCs w:val="21"/>
              </w:rPr>
            </w:pPr>
          </w:p>
        </w:tc>
        <w:tc>
          <w:tcPr>
            <w:tcW w:w="897"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20%</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出口部</w:t>
            </w: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1、出口产品利润</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年度利润200万美元</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实际利润</w:t>
            </w:r>
          </w:p>
        </w:tc>
        <w:tc>
          <w:tcPr>
            <w:tcW w:w="25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5×实际利润/年度计划利润=</w:t>
            </w:r>
          </w:p>
        </w:tc>
        <w:tc>
          <w:tcPr>
            <w:tcW w:w="897"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60%</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2、费用指标</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按回款比率数</w:t>
            </w:r>
          </w:p>
        </w:tc>
        <w:tc>
          <w:tcPr>
            <w:tcW w:w="2202"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实际发生</w:t>
            </w:r>
          </w:p>
        </w:tc>
        <w:tc>
          <w:tcPr>
            <w:tcW w:w="25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5×[1 － （ 实 际 / 预 算 － 1 ） ×2]= （0、5为止）</w:t>
            </w:r>
          </w:p>
        </w:tc>
        <w:tc>
          <w:tcPr>
            <w:tcW w:w="897"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40%</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企管部</w:t>
            </w: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1、生产成本控制</w:t>
            </w:r>
          </w:p>
        </w:tc>
        <w:tc>
          <w:tcPr>
            <w:tcW w:w="2975" w:type="dxa"/>
            <w:noWrap w:val="0"/>
            <w:vAlign w:val="top"/>
          </w:tcPr>
          <w:p>
            <w:pPr>
              <w:spacing w:line="360" w:lineRule="auto"/>
              <w:jc w:val="center"/>
              <w:rPr>
                <w:rFonts w:hint="eastAsia" w:ascii="楷体" w:hAnsi="楷体" w:eastAsia="楷体"/>
                <w:color w:val="000000"/>
                <w:sz w:val="24"/>
                <w:szCs w:val="21"/>
              </w:rPr>
            </w:pPr>
          </w:p>
        </w:tc>
        <w:tc>
          <w:tcPr>
            <w:tcW w:w="2202" w:type="dxa"/>
            <w:noWrap w:val="0"/>
            <w:vAlign w:val="top"/>
          </w:tcPr>
          <w:p>
            <w:pPr>
              <w:spacing w:line="360" w:lineRule="auto"/>
              <w:jc w:val="center"/>
              <w:rPr>
                <w:rFonts w:hint="eastAsia" w:ascii="楷体" w:hAnsi="楷体" w:eastAsia="楷体"/>
                <w:color w:val="000000"/>
                <w:sz w:val="24"/>
                <w:szCs w:val="21"/>
              </w:rPr>
            </w:pPr>
          </w:p>
        </w:tc>
        <w:tc>
          <w:tcPr>
            <w:tcW w:w="2523" w:type="dxa"/>
            <w:noWrap w:val="0"/>
            <w:vAlign w:val="top"/>
          </w:tcPr>
          <w:p>
            <w:pPr>
              <w:spacing w:line="360" w:lineRule="auto"/>
              <w:jc w:val="center"/>
              <w:rPr>
                <w:rFonts w:hint="eastAsia" w:ascii="楷体" w:hAnsi="楷体" w:eastAsia="楷体"/>
                <w:color w:val="000000"/>
                <w:sz w:val="24"/>
                <w:szCs w:val="21"/>
              </w:rPr>
            </w:pPr>
          </w:p>
        </w:tc>
        <w:tc>
          <w:tcPr>
            <w:tcW w:w="897" w:type="dxa"/>
            <w:noWrap w:val="0"/>
            <w:vAlign w:val="top"/>
          </w:tcPr>
          <w:p>
            <w:pPr>
              <w:spacing w:line="360" w:lineRule="auto"/>
              <w:jc w:val="center"/>
              <w:rPr>
                <w:rFonts w:ascii="楷体" w:hAnsi="楷体" w:eastAsia="楷体"/>
                <w:color w:val="000000"/>
                <w:sz w:val="24"/>
                <w:szCs w:val="21"/>
              </w:rPr>
            </w:pP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2、管理费用控制</w:t>
            </w:r>
          </w:p>
        </w:tc>
        <w:tc>
          <w:tcPr>
            <w:tcW w:w="2975" w:type="dxa"/>
            <w:noWrap w:val="0"/>
            <w:vAlign w:val="top"/>
          </w:tcPr>
          <w:p>
            <w:pPr>
              <w:spacing w:line="360" w:lineRule="auto"/>
              <w:jc w:val="center"/>
              <w:rPr>
                <w:rFonts w:hint="eastAsia" w:ascii="楷体" w:hAnsi="楷体" w:eastAsia="楷体"/>
                <w:color w:val="000000"/>
                <w:sz w:val="24"/>
                <w:szCs w:val="21"/>
              </w:rPr>
            </w:pPr>
          </w:p>
        </w:tc>
        <w:tc>
          <w:tcPr>
            <w:tcW w:w="2202" w:type="dxa"/>
            <w:noWrap w:val="0"/>
            <w:vAlign w:val="top"/>
          </w:tcPr>
          <w:p>
            <w:pPr>
              <w:spacing w:line="360" w:lineRule="auto"/>
              <w:jc w:val="center"/>
              <w:rPr>
                <w:rFonts w:hint="eastAsia" w:ascii="楷体" w:hAnsi="楷体" w:eastAsia="楷体"/>
                <w:color w:val="000000"/>
                <w:sz w:val="24"/>
                <w:szCs w:val="21"/>
              </w:rPr>
            </w:pPr>
          </w:p>
        </w:tc>
        <w:tc>
          <w:tcPr>
            <w:tcW w:w="2523" w:type="dxa"/>
            <w:noWrap w:val="0"/>
            <w:vAlign w:val="top"/>
          </w:tcPr>
          <w:p>
            <w:pPr>
              <w:spacing w:line="360" w:lineRule="auto"/>
              <w:jc w:val="center"/>
              <w:rPr>
                <w:rFonts w:hint="eastAsia" w:ascii="楷体" w:hAnsi="楷体" w:eastAsia="楷体"/>
                <w:color w:val="000000"/>
                <w:sz w:val="24"/>
                <w:szCs w:val="21"/>
              </w:rPr>
            </w:pPr>
          </w:p>
        </w:tc>
        <w:tc>
          <w:tcPr>
            <w:tcW w:w="897" w:type="dxa"/>
            <w:noWrap w:val="0"/>
            <w:vAlign w:val="top"/>
          </w:tcPr>
          <w:p>
            <w:pPr>
              <w:spacing w:line="360" w:lineRule="auto"/>
              <w:jc w:val="center"/>
              <w:rPr>
                <w:rFonts w:ascii="楷体" w:hAnsi="楷体" w:eastAsia="楷体"/>
                <w:color w:val="000000"/>
                <w:sz w:val="24"/>
                <w:szCs w:val="21"/>
              </w:rPr>
            </w:pP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3、核算率</w:t>
            </w:r>
          </w:p>
        </w:tc>
        <w:tc>
          <w:tcPr>
            <w:tcW w:w="2975" w:type="dxa"/>
            <w:noWrap w:val="0"/>
            <w:vAlign w:val="top"/>
          </w:tcPr>
          <w:p>
            <w:pPr>
              <w:spacing w:line="360" w:lineRule="auto"/>
              <w:jc w:val="center"/>
              <w:rPr>
                <w:rFonts w:hint="eastAsia" w:ascii="楷体" w:hAnsi="楷体" w:eastAsia="楷体"/>
                <w:color w:val="000000"/>
                <w:sz w:val="24"/>
                <w:szCs w:val="21"/>
              </w:rPr>
            </w:pPr>
          </w:p>
        </w:tc>
        <w:tc>
          <w:tcPr>
            <w:tcW w:w="2202" w:type="dxa"/>
            <w:noWrap w:val="0"/>
            <w:vAlign w:val="top"/>
          </w:tcPr>
          <w:p>
            <w:pPr>
              <w:spacing w:line="360" w:lineRule="auto"/>
              <w:jc w:val="center"/>
              <w:rPr>
                <w:rFonts w:hint="eastAsia" w:ascii="楷体" w:hAnsi="楷体" w:eastAsia="楷体"/>
                <w:color w:val="000000"/>
                <w:sz w:val="24"/>
                <w:szCs w:val="21"/>
              </w:rPr>
            </w:pPr>
          </w:p>
        </w:tc>
        <w:tc>
          <w:tcPr>
            <w:tcW w:w="2523" w:type="dxa"/>
            <w:noWrap w:val="0"/>
            <w:vAlign w:val="top"/>
          </w:tcPr>
          <w:p>
            <w:pPr>
              <w:spacing w:line="360" w:lineRule="auto"/>
              <w:jc w:val="center"/>
              <w:rPr>
                <w:rFonts w:hint="eastAsia" w:ascii="楷体" w:hAnsi="楷体" w:eastAsia="楷体"/>
                <w:color w:val="000000"/>
                <w:sz w:val="24"/>
                <w:szCs w:val="21"/>
              </w:rPr>
            </w:pPr>
          </w:p>
        </w:tc>
        <w:tc>
          <w:tcPr>
            <w:tcW w:w="897" w:type="dxa"/>
            <w:noWrap w:val="0"/>
            <w:vAlign w:val="top"/>
          </w:tcPr>
          <w:p>
            <w:pPr>
              <w:spacing w:line="360" w:lineRule="auto"/>
              <w:jc w:val="center"/>
              <w:rPr>
                <w:rFonts w:ascii="楷体" w:hAnsi="楷体" w:eastAsia="楷体"/>
                <w:color w:val="000000"/>
                <w:sz w:val="24"/>
                <w:szCs w:val="21"/>
              </w:rPr>
            </w:pP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安装公司</w:t>
            </w: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1、安装工程总额</w:t>
            </w:r>
          </w:p>
        </w:tc>
        <w:tc>
          <w:tcPr>
            <w:tcW w:w="2975" w:type="dxa"/>
            <w:noWrap w:val="0"/>
            <w:vAlign w:val="top"/>
          </w:tcPr>
          <w:p>
            <w:pPr>
              <w:spacing w:line="360" w:lineRule="auto"/>
              <w:jc w:val="center"/>
              <w:rPr>
                <w:rFonts w:hint="eastAsia" w:ascii="楷体" w:hAnsi="楷体" w:eastAsia="楷体"/>
                <w:color w:val="000000"/>
                <w:sz w:val="24"/>
                <w:szCs w:val="21"/>
              </w:rPr>
            </w:pPr>
          </w:p>
        </w:tc>
        <w:tc>
          <w:tcPr>
            <w:tcW w:w="2202" w:type="dxa"/>
            <w:noWrap w:val="0"/>
            <w:vAlign w:val="top"/>
          </w:tcPr>
          <w:p>
            <w:pPr>
              <w:spacing w:line="360" w:lineRule="auto"/>
              <w:jc w:val="center"/>
              <w:rPr>
                <w:rFonts w:hint="eastAsia" w:ascii="楷体" w:hAnsi="楷体" w:eastAsia="楷体"/>
                <w:color w:val="000000"/>
                <w:sz w:val="24"/>
                <w:szCs w:val="21"/>
              </w:rPr>
            </w:pPr>
          </w:p>
        </w:tc>
        <w:tc>
          <w:tcPr>
            <w:tcW w:w="25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5×实际合同额/计划合同额=</w:t>
            </w:r>
          </w:p>
        </w:tc>
        <w:tc>
          <w:tcPr>
            <w:tcW w:w="897"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10%</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2、安装利润指标</w:t>
            </w:r>
          </w:p>
        </w:tc>
        <w:tc>
          <w:tcPr>
            <w:tcW w:w="2975" w:type="dxa"/>
            <w:noWrap w:val="0"/>
            <w:vAlign w:val="top"/>
          </w:tcPr>
          <w:p>
            <w:pPr>
              <w:spacing w:line="360" w:lineRule="auto"/>
              <w:jc w:val="center"/>
              <w:rPr>
                <w:rFonts w:hint="eastAsia" w:ascii="楷体" w:hAnsi="楷体" w:eastAsia="楷体"/>
                <w:color w:val="000000"/>
                <w:sz w:val="24"/>
                <w:szCs w:val="21"/>
              </w:rPr>
            </w:pPr>
          </w:p>
        </w:tc>
        <w:tc>
          <w:tcPr>
            <w:tcW w:w="2202" w:type="dxa"/>
            <w:noWrap w:val="0"/>
            <w:vAlign w:val="top"/>
          </w:tcPr>
          <w:p>
            <w:pPr>
              <w:spacing w:line="360" w:lineRule="auto"/>
              <w:jc w:val="center"/>
              <w:rPr>
                <w:rFonts w:hint="eastAsia" w:ascii="楷体" w:hAnsi="楷体" w:eastAsia="楷体"/>
                <w:color w:val="000000"/>
                <w:sz w:val="24"/>
                <w:szCs w:val="21"/>
              </w:rPr>
            </w:pPr>
          </w:p>
        </w:tc>
        <w:tc>
          <w:tcPr>
            <w:tcW w:w="25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5×实际利润/计划利润=</w:t>
            </w:r>
          </w:p>
        </w:tc>
        <w:tc>
          <w:tcPr>
            <w:tcW w:w="897"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40%</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3、配套产品销售收入指标</w:t>
            </w:r>
          </w:p>
        </w:tc>
        <w:tc>
          <w:tcPr>
            <w:tcW w:w="2975" w:type="dxa"/>
            <w:noWrap w:val="0"/>
            <w:vAlign w:val="top"/>
          </w:tcPr>
          <w:p>
            <w:pPr>
              <w:spacing w:line="360" w:lineRule="auto"/>
              <w:jc w:val="center"/>
              <w:rPr>
                <w:rFonts w:hint="eastAsia" w:ascii="楷体" w:hAnsi="楷体" w:eastAsia="楷体"/>
                <w:color w:val="000000"/>
                <w:sz w:val="24"/>
                <w:szCs w:val="21"/>
              </w:rPr>
            </w:pPr>
          </w:p>
        </w:tc>
        <w:tc>
          <w:tcPr>
            <w:tcW w:w="2202" w:type="dxa"/>
            <w:noWrap w:val="0"/>
            <w:vAlign w:val="top"/>
          </w:tcPr>
          <w:p>
            <w:pPr>
              <w:spacing w:line="360" w:lineRule="auto"/>
              <w:jc w:val="center"/>
              <w:rPr>
                <w:rFonts w:hint="eastAsia" w:ascii="楷体" w:hAnsi="楷体" w:eastAsia="楷体"/>
                <w:color w:val="000000"/>
                <w:sz w:val="24"/>
                <w:szCs w:val="21"/>
              </w:rPr>
            </w:pPr>
          </w:p>
        </w:tc>
        <w:tc>
          <w:tcPr>
            <w:tcW w:w="25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5×实际收入/计划收入=</w:t>
            </w:r>
          </w:p>
        </w:tc>
        <w:tc>
          <w:tcPr>
            <w:tcW w:w="897"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20%</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1"/>
              </w:rPr>
            </w:pPr>
          </w:p>
        </w:tc>
        <w:tc>
          <w:tcPr>
            <w:tcW w:w="2923"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4、安装工程按期交验率</w:t>
            </w:r>
          </w:p>
        </w:tc>
        <w:tc>
          <w:tcPr>
            <w:tcW w:w="297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100%（一次延期扣 3 分）</w:t>
            </w:r>
          </w:p>
        </w:tc>
        <w:tc>
          <w:tcPr>
            <w:tcW w:w="2202" w:type="dxa"/>
            <w:noWrap w:val="0"/>
            <w:vAlign w:val="top"/>
          </w:tcPr>
          <w:p>
            <w:pPr>
              <w:spacing w:line="360" w:lineRule="auto"/>
              <w:jc w:val="center"/>
              <w:rPr>
                <w:rFonts w:hint="eastAsia" w:ascii="楷体" w:hAnsi="楷体" w:eastAsia="楷体"/>
                <w:color w:val="000000"/>
                <w:sz w:val="24"/>
                <w:szCs w:val="21"/>
              </w:rPr>
            </w:pPr>
          </w:p>
        </w:tc>
        <w:tc>
          <w:tcPr>
            <w:tcW w:w="2523" w:type="dxa"/>
            <w:noWrap w:val="0"/>
            <w:vAlign w:val="top"/>
          </w:tcPr>
          <w:p>
            <w:pPr>
              <w:spacing w:line="360" w:lineRule="auto"/>
              <w:jc w:val="center"/>
              <w:rPr>
                <w:rFonts w:hint="eastAsia" w:ascii="楷体" w:hAnsi="楷体" w:eastAsia="楷体"/>
                <w:color w:val="000000"/>
                <w:sz w:val="24"/>
                <w:szCs w:val="21"/>
              </w:rPr>
            </w:pPr>
            <w:r>
              <w:rPr>
                <w:rFonts w:ascii="楷体" w:hAnsi="楷体" w:eastAsia="楷体"/>
                <w:color w:val="000000"/>
                <w:sz w:val="24"/>
                <w:szCs w:val="21"/>
              </w:rPr>
              <w:t>5</w:t>
            </w:r>
            <w:r>
              <w:rPr>
                <w:rFonts w:hint="eastAsia" w:ascii="楷体" w:hAnsi="楷体" w:eastAsia="楷体"/>
                <w:color w:val="000000"/>
                <w:sz w:val="24"/>
                <w:szCs w:val="21"/>
              </w:rPr>
              <w:t>－ 延 期 工 程 数 ×3=（到0为止）</w:t>
            </w:r>
          </w:p>
        </w:tc>
        <w:tc>
          <w:tcPr>
            <w:tcW w:w="897"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30%</w:t>
            </w:r>
          </w:p>
        </w:tc>
        <w:tc>
          <w:tcPr>
            <w:tcW w:w="1466" w:type="dxa"/>
            <w:noWrap w:val="0"/>
            <w:vAlign w:val="top"/>
          </w:tcPr>
          <w:p>
            <w:pPr>
              <w:spacing w:line="360" w:lineRule="auto"/>
              <w:jc w:val="center"/>
              <w:rPr>
                <w:rFonts w:hint="eastAsia" w:ascii="楷体" w:hAnsi="楷体" w:eastAsia="楷体"/>
                <w:color w:val="000000"/>
                <w:sz w:val="24"/>
                <w:szCs w:val="21"/>
              </w:rPr>
            </w:pPr>
          </w:p>
        </w:tc>
      </w:tr>
    </w:tbl>
    <w:p>
      <w:pPr>
        <w:spacing w:line="360" w:lineRule="auto"/>
        <w:jc w:val="center"/>
        <w:rPr>
          <w:rFonts w:hint="eastAsia" w:ascii="楷体" w:hAnsi="楷体" w:eastAsia="楷体"/>
          <w:color w:val="000000"/>
          <w:sz w:val="24"/>
          <w:szCs w:val="28"/>
        </w:rPr>
      </w:pPr>
      <w:r>
        <w:rPr>
          <w:rFonts w:hint="eastAsia" w:ascii="楷体" w:hAnsi="楷体" w:eastAsia="楷体"/>
          <w:color w:val="000000"/>
          <w:sz w:val="24"/>
          <w:szCs w:val="28"/>
        </w:rPr>
        <w:br w:type="page"/>
      </w:r>
      <w:r>
        <w:rPr>
          <w:rFonts w:hint="eastAsia" w:ascii="楷体" w:hAnsi="楷体" w:eastAsia="楷体"/>
          <w:color w:val="000000"/>
          <w:sz w:val="24"/>
          <w:szCs w:val="28"/>
        </w:rPr>
        <w:t xml:space="preserve">  刚性否决指标</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2880"/>
        <w:gridCol w:w="5220"/>
        <w:gridCol w:w="2051"/>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szCs w:val="28"/>
              </w:rPr>
            </w:pPr>
            <w:r>
              <w:rPr>
                <w:rFonts w:hint="eastAsia" w:ascii="楷体" w:hAnsi="楷体" w:eastAsia="楷体"/>
                <w:color w:val="000000"/>
                <w:sz w:val="24"/>
                <w:szCs w:val="28"/>
              </w:rPr>
              <w:t>部门</w:t>
            </w:r>
          </w:p>
        </w:tc>
        <w:tc>
          <w:tcPr>
            <w:tcW w:w="2880" w:type="dxa"/>
            <w:noWrap w:val="0"/>
            <w:vAlign w:val="top"/>
          </w:tcPr>
          <w:p>
            <w:pPr>
              <w:spacing w:line="360" w:lineRule="auto"/>
              <w:jc w:val="center"/>
              <w:rPr>
                <w:rFonts w:hint="eastAsia" w:ascii="楷体" w:hAnsi="楷体" w:eastAsia="楷体"/>
                <w:color w:val="000000"/>
                <w:sz w:val="24"/>
                <w:szCs w:val="28"/>
              </w:rPr>
            </w:pPr>
            <w:r>
              <w:rPr>
                <w:rFonts w:hint="eastAsia" w:ascii="楷体" w:hAnsi="楷体" w:eastAsia="楷体"/>
                <w:color w:val="000000"/>
                <w:sz w:val="24"/>
                <w:szCs w:val="28"/>
              </w:rPr>
              <w:t>硬 性 指 标</w:t>
            </w:r>
          </w:p>
        </w:tc>
        <w:tc>
          <w:tcPr>
            <w:tcW w:w="5220" w:type="dxa"/>
            <w:noWrap w:val="0"/>
            <w:vAlign w:val="top"/>
          </w:tcPr>
          <w:p>
            <w:pPr>
              <w:spacing w:line="360" w:lineRule="auto"/>
              <w:jc w:val="center"/>
              <w:rPr>
                <w:rFonts w:hint="eastAsia" w:ascii="楷体" w:hAnsi="楷体" w:eastAsia="楷体"/>
                <w:color w:val="000000"/>
                <w:sz w:val="24"/>
                <w:szCs w:val="28"/>
              </w:rPr>
            </w:pPr>
            <w:r>
              <w:rPr>
                <w:rFonts w:hint="eastAsia" w:ascii="楷体" w:hAnsi="楷体" w:eastAsia="楷体"/>
                <w:color w:val="000000"/>
                <w:sz w:val="24"/>
                <w:szCs w:val="28"/>
              </w:rPr>
              <w:t>业绩标准</w:t>
            </w:r>
          </w:p>
        </w:tc>
        <w:tc>
          <w:tcPr>
            <w:tcW w:w="2051" w:type="dxa"/>
            <w:noWrap w:val="0"/>
            <w:vAlign w:val="top"/>
          </w:tcPr>
          <w:p>
            <w:pPr>
              <w:spacing w:line="360" w:lineRule="auto"/>
              <w:jc w:val="center"/>
              <w:rPr>
                <w:rFonts w:hint="eastAsia" w:ascii="楷体" w:hAnsi="楷体" w:eastAsia="楷体"/>
                <w:color w:val="000000"/>
                <w:sz w:val="24"/>
                <w:szCs w:val="28"/>
              </w:rPr>
            </w:pPr>
            <w:r>
              <w:rPr>
                <w:rFonts w:hint="eastAsia" w:ascii="楷体" w:hAnsi="楷体" w:eastAsia="楷体"/>
                <w:color w:val="000000"/>
                <w:sz w:val="24"/>
                <w:szCs w:val="28"/>
              </w:rPr>
              <w:t>指标回顾</w:t>
            </w:r>
          </w:p>
        </w:tc>
        <w:tc>
          <w:tcPr>
            <w:tcW w:w="2835" w:type="dxa"/>
            <w:noWrap w:val="0"/>
            <w:vAlign w:val="top"/>
          </w:tcPr>
          <w:p>
            <w:pPr>
              <w:spacing w:line="360" w:lineRule="auto"/>
              <w:jc w:val="center"/>
              <w:rPr>
                <w:rFonts w:hint="eastAsia" w:ascii="楷体" w:hAnsi="楷体" w:eastAsia="楷体"/>
                <w:color w:val="000000"/>
                <w:sz w:val="24"/>
                <w:szCs w:val="28"/>
              </w:rPr>
            </w:pPr>
            <w:r>
              <w:rPr>
                <w:rFonts w:hint="eastAsia" w:ascii="楷体" w:hAnsi="楷体" w:eastAsia="楷体"/>
                <w:color w:val="000000"/>
                <w:sz w:val="24"/>
                <w:szCs w:val="28"/>
              </w:rPr>
              <w:t>提取部门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生产部</w:t>
            </w:r>
          </w:p>
        </w:tc>
        <w:tc>
          <w:tcPr>
            <w:tcW w:w="2880"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安全生产事故</w:t>
            </w:r>
          </w:p>
        </w:tc>
        <w:tc>
          <w:tcPr>
            <w:tcW w:w="5220"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出现一次人员或设备安全事故扣2.5分</w:t>
            </w:r>
          </w:p>
        </w:tc>
        <w:tc>
          <w:tcPr>
            <w:tcW w:w="205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实际事故</w:t>
            </w:r>
          </w:p>
        </w:tc>
        <w:tc>
          <w:tcPr>
            <w:tcW w:w="2835"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rPr>
            </w:pPr>
          </w:p>
        </w:tc>
        <w:tc>
          <w:tcPr>
            <w:tcW w:w="2880"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设备保养维护完好</w:t>
            </w:r>
          </w:p>
        </w:tc>
        <w:tc>
          <w:tcPr>
            <w:tcW w:w="5220"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出现一次因设备不完好延误生产扣1.5分</w:t>
            </w:r>
          </w:p>
        </w:tc>
        <w:tc>
          <w:tcPr>
            <w:tcW w:w="205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耽误生产数</w:t>
            </w:r>
          </w:p>
        </w:tc>
        <w:tc>
          <w:tcPr>
            <w:tcW w:w="2835"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rPr>
            </w:pPr>
          </w:p>
        </w:tc>
        <w:tc>
          <w:tcPr>
            <w:tcW w:w="2880"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质量事故（同车间）</w:t>
            </w:r>
          </w:p>
        </w:tc>
        <w:tc>
          <w:tcPr>
            <w:tcW w:w="5220"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市场反馈回一次质量事故扣1.5分</w:t>
            </w:r>
          </w:p>
        </w:tc>
        <w:tc>
          <w:tcPr>
            <w:tcW w:w="205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实际事故</w:t>
            </w:r>
          </w:p>
        </w:tc>
        <w:tc>
          <w:tcPr>
            <w:tcW w:w="2835"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车间</w:t>
            </w:r>
          </w:p>
        </w:tc>
        <w:tc>
          <w:tcPr>
            <w:tcW w:w="2880"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质量事故</w:t>
            </w:r>
          </w:p>
        </w:tc>
        <w:tc>
          <w:tcPr>
            <w:tcW w:w="5220"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市场反馈回一次质量事故扣2分</w:t>
            </w:r>
          </w:p>
        </w:tc>
        <w:tc>
          <w:tcPr>
            <w:tcW w:w="205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实际事故：</w:t>
            </w:r>
          </w:p>
        </w:tc>
        <w:tc>
          <w:tcPr>
            <w:tcW w:w="2835"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rPr>
            </w:pPr>
          </w:p>
        </w:tc>
        <w:tc>
          <w:tcPr>
            <w:tcW w:w="2880"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安全生产事故</w:t>
            </w:r>
          </w:p>
        </w:tc>
        <w:tc>
          <w:tcPr>
            <w:tcW w:w="5220"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出现一次人员或设备安全事故扣1.5分</w:t>
            </w:r>
          </w:p>
        </w:tc>
        <w:tc>
          <w:tcPr>
            <w:tcW w:w="205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实际事故</w:t>
            </w:r>
          </w:p>
        </w:tc>
        <w:tc>
          <w:tcPr>
            <w:tcW w:w="2835"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办公室</w:t>
            </w:r>
          </w:p>
        </w:tc>
        <w:tc>
          <w:tcPr>
            <w:tcW w:w="2880"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安全事故</w:t>
            </w:r>
          </w:p>
        </w:tc>
        <w:tc>
          <w:tcPr>
            <w:tcW w:w="5220"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安全事故扣2分/次（非主要责任占25%/次，全责占100%/次，其他占50%/次）</w:t>
            </w:r>
          </w:p>
        </w:tc>
        <w:tc>
          <w:tcPr>
            <w:tcW w:w="205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实际事故</w:t>
            </w:r>
          </w:p>
        </w:tc>
        <w:tc>
          <w:tcPr>
            <w:tcW w:w="2835"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rPr>
            </w:pPr>
          </w:p>
        </w:tc>
        <w:tc>
          <w:tcPr>
            <w:tcW w:w="2880"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发货运输防护管理</w:t>
            </w:r>
          </w:p>
        </w:tc>
        <w:tc>
          <w:tcPr>
            <w:tcW w:w="5220"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严格执行运输防护要求（质量提供），违反一次扣1.5分</w:t>
            </w:r>
          </w:p>
        </w:tc>
        <w:tc>
          <w:tcPr>
            <w:tcW w:w="205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实际违反</w:t>
            </w:r>
          </w:p>
        </w:tc>
        <w:tc>
          <w:tcPr>
            <w:tcW w:w="2835"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人力资源部</w:t>
            </w:r>
          </w:p>
        </w:tc>
        <w:tc>
          <w:tcPr>
            <w:tcW w:w="2880"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核心员工流失率（年度指标）</w:t>
            </w:r>
          </w:p>
        </w:tc>
        <w:tc>
          <w:tcPr>
            <w:tcW w:w="5220"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年度流失率﹤4%</w:t>
            </w:r>
          </w:p>
          <w:p>
            <w:pPr>
              <w:spacing w:line="360" w:lineRule="auto"/>
              <w:jc w:val="center"/>
              <w:rPr>
                <w:rFonts w:hint="eastAsia" w:ascii="楷体" w:hAnsi="楷体" w:eastAsia="楷体"/>
                <w:color w:val="000000"/>
                <w:sz w:val="24"/>
              </w:rPr>
            </w:pPr>
          </w:p>
        </w:tc>
        <w:tc>
          <w:tcPr>
            <w:tcW w:w="205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实际流失率</w:t>
            </w:r>
          </w:p>
          <w:p>
            <w:pPr>
              <w:spacing w:line="360" w:lineRule="auto"/>
              <w:jc w:val="center"/>
              <w:rPr>
                <w:rFonts w:hint="eastAsia" w:ascii="楷体" w:hAnsi="楷体" w:eastAsia="楷体"/>
                <w:color w:val="000000"/>
                <w:sz w:val="24"/>
              </w:rPr>
            </w:pPr>
          </w:p>
        </w:tc>
        <w:tc>
          <w:tcPr>
            <w:tcW w:w="2835"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研发部</w:t>
            </w:r>
          </w:p>
        </w:tc>
        <w:tc>
          <w:tcPr>
            <w:tcW w:w="2880"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研发新产品质量事故率</w:t>
            </w:r>
          </w:p>
        </w:tc>
        <w:tc>
          <w:tcPr>
            <w:tcW w:w="5220"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市场反馈后质量事故扣2.5分/次</w:t>
            </w:r>
          </w:p>
        </w:tc>
        <w:tc>
          <w:tcPr>
            <w:tcW w:w="205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实际事故</w:t>
            </w:r>
          </w:p>
        </w:tc>
        <w:tc>
          <w:tcPr>
            <w:tcW w:w="2835"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质量部</w:t>
            </w:r>
          </w:p>
        </w:tc>
        <w:tc>
          <w:tcPr>
            <w:tcW w:w="2880"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出厂产品质量事故率</w:t>
            </w:r>
          </w:p>
        </w:tc>
        <w:tc>
          <w:tcPr>
            <w:tcW w:w="5220"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市场反馈回质量事故扣3.5分/次</w:t>
            </w:r>
          </w:p>
        </w:tc>
        <w:tc>
          <w:tcPr>
            <w:tcW w:w="205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实际事故：</w:t>
            </w:r>
          </w:p>
        </w:tc>
        <w:tc>
          <w:tcPr>
            <w:tcW w:w="2835"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生产副总</w:t>
            </w:r>
          </w:p>
        </w:tc>
        <w:tc>
          <w:tcPr>
            <w:tcW w:w="2880"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质量事故</w:t>
            </w:r>
          </w:p>
        </w:tc>
        <w:tc>
          <w:tcPr>
            <w:tcW w:w="5220"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汇总技术、生产、车间发生的质量事故，如何进行扣分？？</w:t>
            </w:r>
          </w:p>
        </w:tc>
        <w:tc>
          <w:tcPr>
            <w:tcW w:w="205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实际事故</w:t>
            </w:r>
          </w:p>
        </w:tc>
        <w:tc>
          <w:tcPr>
            <w:tcW w:w="2835"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rPr>
            </w:pPr>
          </w:p>
        </w:tc>
        <w:tc>
          <w:tcPr>
            <w:tcW w:w="2880"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安全生产检查</w:t>
            </w:r>
          </w:p>
        </w:tc>
        <w:tc>
          <w:tcPr>
            <w:tcW w:w="5220"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两个月一次，偶数月上旬；未按时召开扣1分，无相应记录扣0.5份</w:t>
            </w:r>
          </w:p>
        </w:tc>
        <w:tc>
          <w:tcPr>
            <w:tcW w:w="205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实际未完成</w:t>
            </w:r>
          </w:p>
        </w:tc>
        <w:tc>
          <w:tcPr>
            <w:tcW w:w="2835"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rPr>
            </w:pPr>
          </w:p>
        </w:tc>
        <w:tc>
          <w:tcPr>
            <w:tcW w:w="2880"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生产调度会议</w:t>
            </w:r>
          </w:p>
        </w:tc>
        <w:tc>
          <w:tcPr>
            <w:tcW w:w="5220" w:type="dxa"/>
            <w:noWrap w:val="0"/>
            <w:vAlign w:val="top"/>
          </w:tcPr>
          <w:p>
            <w:pPr>
              <w:spacing w:line="360" w:lineRule="auto"/>
              <w:jc w:val="center"/>
              <w:rPr>
                <w:rFonts w:hint="eastAsia" w:ascii="楷体" w:hAnsi="楷体" w:eastAsia="楷体"/>
                <w:color w:val="000000"/>
                <w:sz w:val="24"/>
              </w:rPr>
            </w:pPr>
          </w:p>
        </w:tc>
        <w:tc>
          <w:tcPr>
            <w:tcW w:w="205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实际未完成</w:t>
            </w:r>
          </w:p>
        </w:tc>
        <w:tc>
          <w:tcPr>
            <w:tcW w:w="2835"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rPr>
            </w:pPr>
          </w:p>
        </w:tc>
        <w:tc>
          <w:tcPr>
            <w:tcW w:w="2880"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质量分析会议</w:t>
            </w:r>
          </w:p>
        </w:tc>
        <w:tc>
          <w:tcPr>
            <w:tcW w:w="5220"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一月一次，每月底25号未按时召开扣1分，无相应记录扣0.5份</w:t>
            </w:r>
          </w:p>
        </w:tc>
        <w:tc>
          <w:tcPr>
            <w:tcW w:w="205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实际未完成</w:t>
            </w:r>
          </w:p>
        </w:tc>
        <w:tc>
          <w:tcPr>
            <w:tcW w:w="2835"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总工</w:t>
            </w:r>
          </w:p>
        </w:tc>
        <w:tc>
          <w:tcPr>
            <w:tcW w:w="2880"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质量事故</w:t>
            </w:r>
          </w:p>
        </w:tc>
        <w:tc>
          <w:tcPr>
            <w:tcW w:w="5220"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汇总研发、质量发生的质量事故，如何进行扣分？？</w:t>
            </w:r>
          </w:p>
        </w:tc>
        <w:tc>
          <w:tcPr>
            <w:tcW w:w="2051" w:type="dxa"/>
            <w:noWrap w:val="0"/>
            <w:vAlign w:val="top"/>
          </w:tcPr>
          <w:p>
            <w:pPr>
              <w:spacing w:line="360" w:lineRule="auto"/>
              <w:jc w:val="center"/>
              <w:rPr>
                <w:rFonts w:hint="eastAsia" w:ascii="楷体" w:hAnsi="楷体" w:eastAsia="楷体"/>
                <w:color w:val="000000"/>
                <w:sz w:val="24"/>
              </w:rPr>
            </w:pPr>
          </w:p>
        </w:tc>
        <w:tc>
          <w:tcPr>
            <w:tcW w:w="2835"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行政副总</w:t>
            </w:r>
          </w:p>
        </w:tc>
        <w:tc>
          <w:tcPr>
            <w:tcW w:w="2880"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厂区安全及卫生检查</w:t>
            </w:r>
          </w:p>
        </w:tc>
        <w:tc>
          <w:tcPr>
            <w:tcW w:w="5220"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一周一次，每周六未按时召开扣1分，无相应记录扣0.5份</w:t>
            </w:r>
          </w:p>
        </w:tc>
        <w:tc>
          <w:tcPr>
            <w:tcW w:w="205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实际未完成</w:t>
            </w:r>
          </w:p>
        </w:tc>
        <w:tc>
          <w:tcPr>
            <w:tcW w:w="2835" w:type="dxa"/>
            <w:noWrap w:val="0"/>
            <w:vAlign w:val="top"/>
          </w:tcPr>
          <w:p>
            <w:pPr>
              <w:spacing w:line="360" w:lineRule="auto"/>
              <w:jc w:val="center"/>
              <w:rPr>
                <w:rFonts w:hint="eastAsia" w:ascii="楷体" w:hAnsi="楷体" w:eastAsia="楷体"/>
                <w:color w:val="00000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88" w:type="dxa"/>
            <w:noWrap w:val="0"/>
            <w:vAlign w:val="top"/>
          </w:tcPr>
          <w:p>
            <w:pPr>
              <w:spacing w:line="360" w:lineRule="auto"/>
              <w:jc w:val="center"/>
              <w:rPr>
                <w:rFonts w:hint="eastAsia" w:ascii="楷体" w:hAnsi="楷体" w:eastAsia="楷体"/>
                <w:color w:val="000000"/>
                <w:sz w:val="24"/>
              </w:rPr>
            </w:pPr>
          </w:p>
        </w:tc>
        <w:tc>
          <w:tcPr>
            <w:tcW w:w="2880"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安全事</w:t>
            </w:r>
          </w:p>
        </w:tc>
        <w:tc>
          <w:tcPr>
            <w:tcW w:w="5220"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安全事故扣2分/次（非主要责任占25%/次，全责占100%/次，其他占50%/次）</w:t>
            </w:r>
          </w:p>
        </w:tc>
        <w:tc>
          <w:tcPr>
            <w:tcW w:w="2051" w:type="dxa"/>
            <w:noWrap w:val="0"/>
            <w:vAlign w:val="top"/>
          </w:tcPr>
          <w:p>
            <w:pPr>
              <w:spacing w:line="360" w:lineRule="auto"/>
              <w:jc w:val="center"/>
              <w:rPr>
                <w:rFonts w:hint="eastAsia" w:ascii="楷体" w:hAnsi="楷体" w:eastAsia="楷体"/>
                <w:color w:val="000000"/>
                <w:sz w:val="24"/>
              </w:rPr>
            </w:pPr>
            <w:r>
              <w:rPr>
                <w:rFonts w:hint="eastAsia" w:ascii="楷体" w:hAnsi="楷体" w:eastAsia="楷体"/>
                <w:color w:val="000000"/>
                <w:sz w:val="24"/>
              </w:rPr>
              <w:t>实际事故：</w:t>
            </w:r>
          </w:p>
        </w:tc>
        <w:tc>
          <w:tcPr>
            <w:tcW w:w="2835" w:type="dxa"/>
            <w:noWrap w:val="0"/>
            <w:vAlign w:val="top"/>
          </w:tcPr>
          <w:p>
            <w:pPr>
              <w:spacing w:line="360" w:lineRule="auto"/>
              <w:jc w:val="center"/>
              <w:rPr>
                <w:rFonts w:hint="eastAsia" w:ascii="楷体" w:hAnsi="楷体" w:eastAsia="楷体"/>
                <w:color w:val="000000"/>
                <w:sz w:val="24"/>
              </w:rPr>
            </w:pPr>
          </w:p>
        </w:tc>
      </w:tr>
    </w:tbl>
    <w:p>
      <w:pPr>
        <w:spacing w:line="360" w:lineRule="auto"/>
        <w:jc w:val="center"/>
        <w:rPr>
          <w:rFonts w:hint="eastAsia" w:ascii="楷体" w:hAnsi="楷体" w:eastAsia="楷体"/>
          <w:color w:val="000000"/>
          <w:sz w:val="24"/>
          <w:szCs w:val="28"/>
        </w:rPr>
      </w:pPr>
      <w:r>
        <w:rPr>
          <w:rFonts w:hint="eastAsia" w:ascii="楷体" w:hAnsi="楷体" w:eastAsia="楷体"/>
          <w:color w:val="000000"/>
          <w:sz w:val="24"/>
          <w:szCs w:val="28"/>
        </w:rPr>
      </w:r>
      <w:r>
        <w:rPr>
          <w:rFonts w:hint="eastAsia" w:ascii="楷体" w:hAnsi="楷体" w:eastAsia="楷体"/>
          <w:color w:val="000000"/>
          <w:sz w:val="24"/>
          <w:szCs w:val="28"/>
        </w:rPr>
        <w:t>20某年部门指标汇总表</w:t>
      </w:r>
    </w:p>
    <w:tbl>
      <w:tblPr>
        <w:tblStyle w:val="9"/>
        <w:tblW w:w="14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2705"/>
        <w:gridCol w:w="3055"/>
        <w:gridCol w:w="5308"/>
        <w:gridCol w:w="1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部门</w:t>
            </w:r>
          </w:p>
        </w:tc>
        <w:tc>
          <w:tcPr>
            <w:tcW w:w="270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考核指标</w:t>
            </w:r>
          </w:p>
        </w:tc>
        <w:tc>
          <w:tcPr>
            <w:tcW w:w="305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业绩标准</w:t>
            </w:r>
          </w:p>
        </w:tc>
        <w:tc>
          <w:tcPr>
            <w:tcW w:w="530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KPI指标说明</w:t>
            </w:r>
          </w:p>
        </w:tc>
        <w:tc>
          <w:tcPr>
            <w:tcW w:w="155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提出部门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财务部</w:t>
            </w:r>
          </w:p>
        </w:tc>
        <w:tc>
          <w:tcPr>
            <w:tcW w:w="2705"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1、月审批资金供应率</w:t>
            </w:r>
          </w:p>
        </w:tc>
        <w:tc>
          <w:tcPr>
            <w:tcW w:w="305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资金不断档</w:t>
            </w:r>
          </w:p>
        </w:tc>
        <w:tc>
          <w:tcPr>
            <w:tcW w:w="530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主要资金支出部门根据月初的审批计划，统计月末的供应资金。（实际供应率＜80%，将不得分。）</w:t>
            </w:r>
          </w:p>
        </w:tc>
        <w:tc>
          <w:tcPr>
            <w:tcW w:w="1558"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p>
        </w:tc>
        <w:tc>
          <w:tcPr>
            <w:tcW w:w="2705"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2、全面预算管理控制</w:t>
            </w:r>
          </w:p>
        </w:tc>
        <w:tc>
          <w:tcPr>
            <w:tcW w:w="305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预算费用误差控制在±5%以内</w:t>
            </w:r>
          </w:p>
        </w:tc>
        <w:tc>
          <w:tcPr>
            <w:tcW w:w="5308" w:type="dxa"/>
            <w:noWrap w:val="0"/>
            <w:vAlign w:val="top"/>
          </w:tcPr>
          <w:p>
            <w:pPr>
              <w:spacing w:line="360" w:lineRule="auto"/>
              <w:jc w:val="center"/>
              <w:rPr>
                <w:rFonts w:hint="eastAsia" w:ascii="楷体" w:hAnsi="楷体" w:eastAsia="楷体"/>
                <w:color w:val="000000"/>
                <w:sz w:val="24"/>
                <w:szCs w:val="21"/>
              </w:rPr>
            </w:pPr>
          </w:p>
        </w:tc>
        <w:tc>
          <w:tcPr>
            <w:tcW w:w="1558"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p>
        </w:tc>
        <w:tc>
          <w:tcPr>
            <w:tcW w:w="2705"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3、财务费用控制（包括财务费用、管理费用等）</w:t>
            </w:r>
          </w:p>
        </w:tc>
        <w:tc>
          <w:tcPr>
            <w:tcW w:w="305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严格执行每月的预算标准</w:t>
            </w:r>
          </w:p>
        </w:tc>
        <w:tc>
          <w:tcPr>
            <w:tcW w:w="530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按预算标准执行，因市场或其他计划费用供应不足超预算按责任调整系数？？</w:t>
            </w:r>
          </w:p>
        </w:tc>
        <w:tc>
          <w:tcPr>
            <w:tcW w:w="1558"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p>
        </w:tc>
        <w:tc>
          <w:tcPr>
            <w:tcW w:w="2705"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4、生产成本降低率</w:t>
            </w:r>
          </w:p>
        </w:tc>
        <w:tc>
          <w:tcPr>
            <w:tcW w:w="305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控制在预算范围内</w:t>
            </w:r>
          </w:p>
        </w:tc>
        <w:tc>
          <w:tcPr>
            <w:tcW w:w="5308" w:type="dxa"/>
            <w:noWrap w:val="0"/>
            <w:vAlign w:val="top"/>
          </w:tcPr>
          <w:p>
            <w:pPr>
              <w:spacing w:line="360" w:lineRule="auto"/>
              <w:jc w:val="center"/>
              <w:rPr>
                <w:rFonts w:hint="eastAsia" w:ascii="楷体" w:hAnsi="楷体" w:eastAsia="楷体"/>
                <w:color w:val="000000"/>
                <w:sz w:val="24"/>
                <w:szCs w:val="21"/>
              </w:rPr>
            </w:pPr>
          </w:p>
        </w:tc>
        <w:tc>
          <w:tcPr>
            <w:tcW w:w="1558"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供应部</w:t>
            </w:r>
          </w:p>
        </w:tc>
        <w:tc>
          <w:tcPr>
            <w:tcW w:w="2705"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1、采购计划按时完成</w:t>
            </w:r>
          </w:p>
        </w:tc>
        <w:tc>
          <w:tcPr>
            <w:tcW w:w="305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按时完成率100%，未按时完成但未延误发货扣0.25分/次，延误发货扣2分/次</w:t>
            </w:r>
          </w:p>
        </w:tc>
        <w:tc>
          <w:tcPr>
            <w:tcW w:w="530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按时、按要求完成生产、研发、售后服务等主要请购部门的请购任务。</w:t>
            </w:r>
          </w:p>
        </w:tc>
        <w:tc>
          <w:tcPr>
            <w:tcW w:w="1558"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p>
        </w:tc>
        <w:tc>
          <w:tcPr>
            <w:tcW w:w="2705"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2、采购成本降低率</w:t>
            </w:r>
          </w:p>
        </w:tc>
        <w:tc>
          <w:tcPr>
            <w:tcW w:w="305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采购成本比去年同期相比下浮3%</w:t>
            </w:r>
          </w:p>
        </w:tc>
        <w:tc>
          <w:tcPr>
            <w:tcW w:w="530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由财务部提供每月与去年同期发生的采购成本总额及涨浮度。</w:t>
            </w:r>
          </w:p>
        </w:tc>
        <w:tc>
          <w:tcPr>
            <w:tcW w:w="1558"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p>
        </w:tc>
        <w:tc>
          <w:tcPr>
            <w:tcW w:w="2705"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3、采购配件质量事故率</w:t>
            </w:r>
          </w:p>
        </w:tc>
        <w:tc>
          <w:tcPr>
            <w:tcW w:w="305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质量事故率为0，发现一次扣2分，市场反馈回一次扣1分</w:t>
            </w:r>
          </w:p>
        </w:tc>
        <w:tc>
          <w:tcPr>
            <w:tcW w:w="530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统计每季度采购各类设备及零部件中出现的质量问题，及市场反馈回的采购质量事故。</w:t>
            </w:r>
          </w:p>
        </w:tc>
        <w:tc>
          <w:tcPr>
            <w:tcW w:w="1558" w:type="dxa"/>
            <w:noWrap w:val="0"/>
            <w:vAlign w:val="top"/>
          </w:tcPr>
          <w:p>
            <w:pPr>
              <w:spacing w:line="360" w:lineRule="auto"/>
              <w:jc w:val="center"/>
              <w:rPr>
                <w:rFonts w:hint="eastAsia" w:ascii="楷体" w:hAnsi="楷体" w:eastAsia="楷体"/>
                <w:color w:val="000000"/>
                <w:sz w:val="24"/>
                <w:szCs w:val="21"/>
              </w:rPr>
            </w:pPr>
          </w:p>
        </w:tc>
      </w:tr>
      <w:tr>
        <w:trPr>
          <w:jc w:val="center"/>
        </w:trPr>
        <w:tc>
          <w:tcPr>
            <w:tcW w:w="1548" w:type="dxa"/>
            <w:noWrap w:val="0"/>
            <w:vAlign w:val="top"/>
          </w:tcPr>
          <w:p>
            <w:pPr>
              <w:spacing w:line="360" w:lineRule="auto"/>
              <w:jc w:val="center"/>
              <w:rPr>
                <w:rFonts w:hint="eastAsia" w:ascii="楷体" w:hAnsi="楷体" w:eastAsia="楷体"/>
                <w:color w:val="000000"/>
                <w:sz w:val="24"/>
                <w:szCs w:val="21"/>
              </w:rPr>
            </w:pPr>
          </w:p>
        </w:tc>
        <w:tc>
          <w:tcPr>
            <w:tcW w:w="2705"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4、库零量控制</w:t>
            </w:r>
          </w:p>
        </w:tc>
        <w:tc>
          <w:tcPr>
            <w:tcW w:w="305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90%以上采购量库零不超过 15 天</w:t>
            </w:r>
          </w:p>
        </w:tc>
        <w:tc>
          <w:tcPr>
            <w:tcW w:w="5308" w:type="dxa"/>
            <w:noWrap w:val="0"/>
            <w:vAlign w:val="top"/>
          </w:tcPr>
          <w:p>
            <w:pPr>
              <w:spacing w:line="360" w:lineRule="auto"/>
              <w:jc w:val="center"/>
              <w:rPr>
                <w:rFonts w:hint="eastAsia" w:ascii="楷体" w:hAnsi="楷体" w:eastAsia="楷体"/>
                <w:color w:val="000000"/>
                <w:sz w:val="24"/>
                <w:szCs w:val="21"/>
              </w:rPr>
            </w:pPr>
          </w:p>
        </w:tc>
        <w:tc>
          <w:tcPr>
            <w:tcW w:w="1558"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技术部</w:t>
            </w:r>
          </w:p>
        </w:tc>
        <w:tc>
          <w:tcPr>
            <w:tcW w:w="2705"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1、提供图纸、材料定额、工艺卡及时准确性</w:t>
            </w:r>
          </w:p>
        </w:tc>
        <w:tc>
          <w:tcPr>
            <w:tcW w:w="305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按时下达，文件准确性100%，晚一天扣0.25分；因图纸资料不准确出现重大生产事故扣2分/次</w:t>
            </w:r>
          </w:p>
        </w:tc>
        <w:tc>
          <w:tcPr>
            <w:tcW w:w="530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技术与车间根据生产计划规定出各类文件下发的具体时间，由车间统计工艺图纸的及时性和准确性，以及因工艺图纸出现的材料损坏或延误生产等。</w:t>
            </w:r>
          </w:p>
        </w:tc>
        <w:tc>
          <w:tcPr>
            <w:tcW w:w="1558"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p>
        </w:tc>
        <w:tc>
          <w:tcPr>
            <w:tcW w:w="2705"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2、技术支持及时性</w:t>
            </w:r>
          </w:p>
        </w:tc>
        <w:tc>
          <w:tcPr>
            <w:tcW w:w="305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延误生产发货一次扣2分</w:t>
            </w:r>
          </w:p>
        </w:tc>
        <w:tc>
          <w:tcPr>
            <w:tcW w:w="530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针对现场出现的技术问题进行解答，要求解决及时、不误生产发货。</w:t>
            </w:r>
          </w:p>
        </w:tc>
        <w:tc>
          <w:tcPr>
            <w:tcW w:w="1558"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p>
        </w:tc>
        <w:tc>
          <w:tcPr>
            <w:tcW w:w="2705"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3、技术质量事故率</w:t>
            </w:r>
          </w:p>
        </w:tc>
        <w:tc>
          <w:tcPr>
            <w:tcW w:w="305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因技术问题发生的质量事故次数,每次扣3分</w:t>
            </w:r>
          </w:p>
        </w:tc>
        <w:tc>
          <w:tcPr>
            <w:tcW w:w="530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因技术支持不到位造成的质量事故或重大损失。</w:t>
            </w:r>
          </w:p>
        </w:tc>
        <w:tc>
          <w:tcPr>
            <w:tcW w:w="1558"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p>
        </w:tc>
        <w:tc>
          <w:tcPr>
            <w:tcW w:w="2705"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4、 现场技术支持满意率</w:t>
            </w:r>
          </w:p>
        </w:tc>
        <w:tc>
          <w:tcPr>
            <w:tcW w:w="305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满意率 100%，见季度调查表</w:t>
            </w:r>
          </w:p>
        </w:tc>
        <w:tc>
          <w:tcPr>
            <w:tcW w:w="530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车间各工序统计在生产过程中对技术部所作的现场技术支持的满意率（包括图纸、工艺资料齐备，技术问题及时处理，配合协调态度积极等）</w:t>
            </w:r>
          </w:p>
        </w:tc>
        <w:tc>
          <w:tcPr>
            <w:tcW w:w="1558"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售后服务部</w:t>
            </w:r>
          </w:p>
        </w:tc>
        <w:tc>
          <w:tcPr>
            <w:tcW w:w="2705"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1、用户服务满意率</w:t>
            </w:r>
          </w:p>
        </w:tc>
        <w:tc>
          <w:tcPr>
            <w:tcW w:w="305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满意率 &gt;95%</w:t>
            </w:r>
          </w:p>
        </w:tc>
        <w:tc>
          <w:tcPr>
            <w:tcW w:w="530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每月25号由售后服务部填写完服务满意度调查表，报销售支持部调查反馈用户的服务满意率。</w:t>
            </w:r>
          </w:p>
        </w:tc>
        <w:tc>
          <w:tcPr>
            <w:tcW w:w="1558"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p>
        </w:tc>
        <w:tc>
          <w:tcPr>
            <w:tcW w:w="2705"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2、售后服务一次成功率</w:t>
            </w:r>
          </w:p>
        </w:tc>
        <w:tc>
          <w:tcPr>
            <w:tcW w:w="305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一次成功率&gt;95%</w:t>
            </w:r>
          </w:p>
        </w:tc>
        <w:tc>
          <w:tcPr>
            <w:tcW w:w="530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每月25号由售后服务部填写完服务满意度调查表，报销售支持部调查反馈用户服务一次成功率。</w:t>
            </w:r>
          </w:p>
        </w:tc>
        <w:tc>
          <w:tcPr>
            <w:tcW w:w="1558"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p>
        </w:tc>
        <w:tc>
          <w:tcPr>
            <w:tcW w:w="2705"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3、服务款项按时回收率</w:t>
            </w:r>
          </w:p>
          <w:p>
            <w:pPr>
              <w:spacing w:line="360" w:lineRule="auto"/>
              <w:rPr>
                <w:rFonts w:hint="eastAsia" w:ascii="楷体" w:hAnsi="楷体" w:eastAsia="楷体"/>
                <w:color w:val="000000"/>
                <w:sz w:val="24"/>
                <w:szCs w:val="21"/>
              </w:rPr>
            </w:pPr>
          </w:p>
        </w:tc>
        <w:tc>
          <w:tcPr>
            <w:tcW w:w="305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100%当季回收，每月应收款滚动计算</w:t>
            </w:r>
          </w:p>
        </w:tc>
        <w:tc>
          <w:tcPr>
            <w:tcW w:w="530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要求各类服务款项必须在当季度收回；若季度款项回收率达不到80%则此指标不得分；本季度未收回款项，应转下季度跟踪，直至收回为止。</w:t>
            </w:r>
          </w:p>
        </w:tc>
        <w:tc>
          <w:tcPr>
            <w:tcW w:w="1558"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p>
        </w:tc>
        <w:tc>
          <w:tcPr>
            <w:tcW w:w="2705"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4、用户投诉追溯率</w:t>
            </w:r>
          </w:p>
        </w:tc>
        <w:tc>
          <w:tcPr>
            <w:tcW w:w="305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追溯率100%</w:t>
            </w:r>
          </w:p>
        </w:tc>
        <w:tc>
          <w:tcPr>
            <w:tcW w:w="530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将售后服务投诉电话及时反馈给售后服务部，售后服务部针对投诉内容追溯落实情况，并将解决结果反馈总经理秘书室进行汇总（季度指标）。</w:t>
            </w:r>
          </w:p>
        </w:tc>
        <w:tc>
          <w:tcPr>
            <w:tcW w:w="1558"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生产部</w:t>
            </w:r>
          </w:p>
        </w:tc>
        <w:tc>
          <w:tcPr>
            <w:tcW w:w="2705"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1、生产计划按时完成</w:t>
            </w:r>
          </w:p>
        </w:tc>
        <w:tc>
          <w:tcPr>
            <w:tcW w:w="305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不误发货，延误一次扣2分</w:t>
            </w:r>
          </w:p>
        </w:tc>
        <w:tc>
          <w:tcPr>
            <w:tcW w:w="530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根据合同要求，按时完成各类生产任务，并提供给用户合格的产品；由销售支持部统计季度生产任务的完成情况。</w:t>
            </w:r>
          </w:p>
        </w:tc>
        <w:tc>
          <w:tcPr>
            <w:tcW w:w="1558"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p>
        </w:tc>
        <w:tc>
          <w:tcPr>
            <w:tcW w:w="2705"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2、生产成本降低率</w:t>
            </w:r>
          </w:p>
        </w:tc>
        <w:tc>
          <w:tcPr>
            <w:tcW w:w="305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控制在预算范围内</w:t>
            </w:r>
          </w:p>
        </w:tc>
        <w:tc>
          <w:tcPr>
            <w:tcW w:w="5308" w:type="dxa"/>
            <w:noWrap w:val="0"/>
            <w:vAlign w:val="top"/>
          </w:tcPr>
          <w:p>
            <w:pPr>
              <w:spacing w:line="360" w:lineRule="auto"/>
              <w:jc w:val="center"/>
              <w:rPr>
                <w:rFonts w:hint="eastAsia" w:ascii="楷体" w:hAnsi="楷体" w:eastAsia="楷体"/>
                <w:color w:val="000000"/>
                <w:sz w:val="24"/>
                <w:szCs w:val="21"/>
              </w:rPr>
            </w:pPr>
          </w:p>
        </w:tc>
        <w:tc>
          <w:tcPr>
            <w:tcW w:w="1558"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p>
        </w:tc>
        <w:tc>
          <w:tcPr>
            <w:tcW w:w="2705"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3、按照作业指导书作业</w:t>
            </w:r>
          </w:p>
        </w:tc>
        <w:tc>
          <w:tcPr>
            <w:tcW w:w="305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完全按照作业指导书，违反一次扣2分</w:t>
            </w:r>
          </w:p>
        </w:tc>
        <w:tc>
          <w:tcPr>
            <w:tcW w:w="5308" w:type="dxa"/>
            <w:noWrap w:val="0"/>
            <w:vAlign w:val="top"/>
          </w:tcPr>
          <w:p>
            <w:pPr>
              <w:spacing w:line="360" w:lineRule="auto"/>
              <w:jc w:val="center"/>
              <w:rPr>
                <w:rFonts w:hint="eastAsia" w:ascii="楷体" w:hAnsi="楷体" w:eastAsia="楷体"/>
                <w:color w:val="000000"/>
                <w:sz w:val="24"/>
                <w:szCs w:val="21"/>
              </w:rPr>
            </w:pPr>
          </w:p>
        </w:tc>
        <w:tc>
          <w:tcPr>
            <w:tcW w:w="1558"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p>
        </w:tc>
        <w:tc>
          <w:tcPr>
            <w:tcW w:w="2705"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4、质量指标</w:t>
            </w:r>
          </w:p>
        </w:tc>
        <w:tc>
          <w:tcPr>
            <w:tcW w:w="305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质量事故率为0，市场反馈回一次扣1.5分</w:t>
            </w:r>
          </w:p>
        </w:tc>
        <w:tc>
          <w:tcPr>
            <w:tcW w:w="5308" w:type="dxa"/>
            <w:noWrap w:val="0"/>
            <w:vAlign w:val="top"/>
          </w:tcPr>
          <w:p>
            <w:pPr>
              <w:spacing w:line="360" w:lineRule="auto"/>
              <w:jc w:val="center"/>
              <w:rPr>
                <w:rFonts w:hint="eastAsia" w:ascii="楷体" w:hAnsi="楷体" w:eastAsia="楷体"/>
                <w:color w:val="000000"/>
                <w:sz w:val="24"/>
                <w:szCs w:val="21"/>
              </w:rPr>
            </w:pPr>
          </w:p>
        </w:tc>
        <w:tc>
          <w:tcPr>
            <w:tcW w:w="1558"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车间</w:t>
            </w:r>
          </w:p>
        </w:tc>
        <w:tc>
          <w:tcPr>
            <w:tcW w:w="2705"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1、生产计划按时完成</w:t>
            </w:r>
          </w:p>
        </w:tc>
        <w:tc>
          <w:tcPr>
            <w:tcW w:w="305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不误发货，延误一次扣2分</w:t>
            </w:r>
          </w:p>
        </w:tc>
        <w:tc>
          <w:tcPr>
            <w:tcW w:w="530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根据合同要求，按时完成各类生产任务，并提供给用户合格的产品；由销售支持部统计季度生产任务的完成情况。</w:t>
            </w:r>
          </w:p>
        </w:tc>
        <w:tc>
          <w:tcPr>
            <w:tcW w:w="1558"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p>
        </w:tc>
        <w:tc>
          <w:tcPr>
            <w:tcW w:w="2705"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2、各工序返工率</w:t>
            </w:r>
          </w:p>
        </w:tc>
        <w:tc>
          <w:tcPr>
            <w:tcW w:w="305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返工率﹤3%（按作业台数考核）</w:t>
            </w:r>
          </w:p>
        </w:tc>
        <w:tc>
          <w:tcPr>
            <w:tcW w:w="530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由质量部统计车间各个工序在生产作业中的返工次数。</w:t>
            </w:r>
          </w:p>
        </w:tc>
        <w:tc>
          <w:tcPr>
            <w:tcW w:w="1558"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p>
        </w:tc>
        <w:tc>
          <w:tcPr>
            <w:tcW w:w="2705"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3、按照作业指导书作业</w:t>
            </w:r>
          </w:p>
        </w:tc>
        <w:tc>
          <w:tcPr>
            <w:tcW w:w="305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完全按照作业指导书，违反一次扣2分</w:t>
            </w:r>
          </w:p>
        </w:tc>
        <w:tc>
          <w:tcPr>
            <w:tcW w:w="5308" w:type="dxa"/>
            <w:noWrap w:val="0"/>
            <w:vAlign w:val="top"/>
          </w:tcPr>
          <w:p>
            <w:pPr>
              <w:spacing w:line="360" w:lineRule="auto"/>
              <w:jc w:val="center"/>
              <w:rPr>
                <w:rFonts w:hint="eastAsia" w:ascii="楷体" w:hAnsi="楷体" w:eastAsia="楷体"/>
                <w:color w:val="000000"/>
                <w:sz w:val="24"/>
                <w:szCs w:val="21"/>
              </w:rPr>
            </w:pPr>
          </w:p>
        </w:tc>
        <w:tc>
          <w:tcPr>
            <w:tcW w:w="1558"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p>
        </w:tc>
        <w:tc>
          <w:tcPr>
            <w:tcW w:w="2705"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4、生产成本降低率</w:t>
            </w:r>
          </w:p>
        </w:tc>
        <w:tc>
          <w:tcPr>
            <w:tcW w:w="305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控制在预算范围内</w:t>
            </w:r>
          </w:p>
        </w:tc>
        <w:tc>
          <w:tcPr>
            <w:tcW w:w="5308" w:type="dxa"/>
            <w:noWrap w:val="0"/>
            <w:vAlign w:val="top"/>
          </w:tcPr>
          <w:p>
            <w:pPr>
              <w:spacing w:line="360" w:lineRule="auto"/>
              <w:jc w:val="center"/>
              <w:rPr>
                <w:rFonts w:hint="eastAsia" w:ascii="楷体" w:hAnsi="楷体" w:eastAsia="楷体"/>
                <w:color w:val="000000"/>
                <w:sz w:val="24"/>
                <w:szCs w:val="21"/>
              </w:rPr>
            </w:pPr>
          </w:p>
        </w:tc>
        <w:tc>
          <w:tcPr>
            <w:tcW w:w="1558"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研究中心</w:t>
            </w:r>
          </w:p>
        </w:tc>
        <w:tc>
          <w:tcPr>
            <w:tcW w:w="2705"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1、市场技术支持满意率</w:t>
            </w:r>
          </w:p>
        </w:tc>
        <w:tc>
          <w:tcPr>
            <w:tcW w:w="305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满意率 ≥ 90%</w:t>
            </w:r>
          </w:p>
        </w:tc>
        <w:tc>
          <w:tcPr>
            <w:tcW w:w="530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研究中心汇总所作技术支持的详细资料，定于25号将其报至销售支持部，由销售支持部调查市场支持的满意率。</w:t>
            </w:r>
          </w:p>
        </w:tc>
        <w:tc>
          <w:tcPr>
            <w:tcW w:w="1558"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p>
        </w:tc>
        <w:tc>
          <w:tcPr>
            <w:tcW w:w="2705"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2、方案设计成功率</w:t>
            </w:r>
          </w:p>
        </w:tc>
        <w:tc>
          <w:tcPr>
            <w:tcW w:w="305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满意率 ≥ 95%</w:t>
            </w:r>
          </w:p>
        </w:tc>
        <w:tc>
          <w:tcPr>
            <w:tcW w:w="530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研究中心汇总所作方案设计的详细资料，定于25号将其报至销售支持部，由销售支持部调查方案设计的满意率。</w:t>
            </w:r>
          </w:p>
        </w:tc>
        <w:tc>
          <w:tcPr>
            <w:tcW w:w="1558"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p>
        </w:tc>
        <w:tc>
          <w:tcPr>
            <w:tcW w:w="2705"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3、开发项目进度完成</w:t>
            </w:r>
          </w:p>
        </w:tc>
        <w:tc>
          <w:tcPr>
            <w:tcW w:w="305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100%完成</w:t>
            </w:r>
          </w:p>
        </w:tc>
        <w:tc>
          <w:tcPr>
            <w:tcW w:w="5308" w:type="dxa"/>
            <w:noWrap w:val="0"/>
            <w:vAlign w:val="top"/>
          </w:tcPr>
          <w:p>
            <w:pPr>
              <w:spacing w:line="360" w:lineRule="auto"/>
              <w:jc w:val="center"/>
              <w:rPr>
                <w:rFonts w:hint="eastAsia" w:ascii="楷体" w:hAnsi="楷体" w:eastAsia="楷体"/>
                <w:color w:val="000000"/>
                <w:sz w:val="24"/>
                <w:szCs w:val="21"/>
              </w:rPr>
            </w:pPr>
          </w:p>
        </w:tc>
        <w:tc>
          <w:tcPr>
            <w:tcW w:w="1558"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办公室1</w:t>
            </w:r>
          </w:p>
        </w:tc>
        <w:tc>
          <w:tcPr>
            <w:tcW w:w="2705"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1、行政办公费用控制</w:t>
            </w:r>
          </w:p>
        </w:tc>
        <w:tc>
          <w:tcPr>
            <w:tcW w:w="305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控制在预算内</w:t>
            </w:r>
          </w:p>
        </w:tc>
        <w:tc>
          <w:tcPr>
            <w:tcW w:w="530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办公室根据每月行政办公费用的预算情况，合理控制各部室的办公费用使用。</w:t>
            </w:r>
          </w:p>
        </w:tc>
        <w:tc>
          <w:tcPr>
            <w:tcW w:w="1558"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p>
        </w:tc>
        <w:tc>
          <w:tcPr>
            <w:tcW w:w="2705"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2、招待费用控制</w:t>
            </w:r>
          </w:p>
        </w:tc>
        <w:tc>
          <w:tcPr>
            <w:tcW w:w="305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控制在预算内</w:t>
            </w:r>
          </w:p>
        </w:tc>
        <w:tc>
          <w:tcPr>
            <w:tcW w:w="530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办公室根据每月招待费用的预算情况，合理控制各部室的招待费用。</w:t>
            </w:r>
          </w:p>
        </w:tc>
        <w:tc>
          <w:tcPr>
            <w:tcW w:w="1558"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p>
        </w:tc>
        <w:tc>
          <w:tcPr>
            <w:tcW w:w="2705"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3、内部服务满意率</w:t>
            </w:r>
          </w:p>
        </w:tc>
        <w:tc>
          <w:tcPr>
            <w:tcW w:w="305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附“满意调查表”，满意率≥90%</w:t>
            </w:r>
          </w:p>
        </w:tc>
        <w:tc>
          <w:tcPr>
            <w:tcW w:w="530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各部室根据办公室的内部服务情况进行满意率调查，详见“服务满意率调查表”。</w:t>
            </w:r>
          </w:p>
        </w:tc>
        <w:tc>
          <w:tcPr>
            <w:tcW w:w="1558"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p>
        </w:tc>
        <w:tc>
          <w:tcPr>
            <w:tcW w:w="2705"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4、总经理指令督办查办落实率</w:t>
            </w:r>
          </w:p>
        </w:tc>
        <w:tc>
          <w:tcPr>
            <w:tcW w:w="305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落实率 100%，未完成一项经理助理按责任人的25%扣分</w:t>
            </w:r>
          </w:p>
        </w:tc>
        <w:tc>
          <w:tcPr>
            <w:tcW w:w="5308" w:type="dxa"/>
            <w:noWrap w:val="0"/>
            <w:vAlign w:val="top"/>
          </w:tcPr>
          <w:p>
            <w:pPr>
              <w:spacing w:line="360" w:lineRule="auto"/>
              <w:jc w:val="center"/>
              <w:rPr>
                <w:rFonts w:hint="eastAsia" w:ascii="楷体" w:hAnsi="楷体" w:eastAsia="楷体"/>
                <w:color w:val="000000"/>
                <w:sz w:val="24"/>
                <w:szCs w:val="21"/>
              </w:rPr>
            </w:pPr>
          </w:p>
        </w:tc>
        <w:tc>
          <w:tcPr>
            <w:tcW w:w="1558"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p>
        </w:tc>
        <w:tc>
          <w:tcPr>
            <w:tcW w:w="2705"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5、年内申报项目完成率</w:t>
            </w:r>
          </w:p>
        </w:tc>
        <w:tc>
          <w:tcPr>
            <w:tcW w:w="305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年内审批资金完成80万元（全年指标统算调整）</w:t>
            </w:r>
          </w:p>
        </w:tc>
        <w:tc>
          <w:tcPr>
            <w:tcW w:w="5308" w:type="dxa"/>
            <w:noWrap w:val="0"/>
            <w:vAlign w:val="top"/>
          </w:tcPr>
          <w:p>
            <w:pPr>
              <w:spacing w:line="360" w:lineRule="auto"/>
              <w:jc w:val="center"/>
              <w:rPr>
                <w:rFonts w:hint="eastAsia" w:ascii="楷体" w:hAnsi="楷体" w:eastAsia="楷体"/>
                <w:color w:val="000000"/>
                <w:sz w:val="24"/>
                <w:szCs w:val="21"/>
              </w:rPr>
            </w:pPr>
          </w:p>
        </w:tc>
        <w:tc>
          <w:tcPr>
            <w:tcW w:w="1558"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办公室2</w:t>
            </w:r>
          </w:p>
        </w:tc>
        <w:tc>
          <w:tcPr>
            <w:tcW w:w="2705"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１、车辆费用控制</w:t>
            </w:r>
          </w:p>
        </w:tc>
        <w:tc>
          <w:tcPr>
            <w:tcW w:w="305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费用控制在预算内</w:t>
            </w:r>
          </w:p>
        </w:tc>
        <w:tc>
          <w:tcPr>
            <w:tcW w:w="530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每月的车辆费用控制在预算范围内，由财务部提供每月的实际费用。</w:t>
            </w:r>
          </w:p>
        </w:tc>
        <w:tc>
          <w:tcPr>
            <w:tcW w:w="1558"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p>
        </w:tc>
        <w:tc>
          <w:tcPr>
            <w:tcW w:w="2705"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2、物业费用控制</w:t>
            </w:r>
          </w:p>
        </w:tc>
        <w:tc>
          <w:tcPr>
            <w:tcW w:w="305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费用控制在预算内</w:t>
            </w:r>
          </w:p>
        </w:tc>
        <w:tc>
          <w:tcPr>
            <w:tcW w:w="530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每月的物业费用控制在预算范围内，由财务部提供每月的实际费用。</w:t>
            </w:r>
          </w:p>
        </w:tc>
        <w:tc>
          <w:tcPr>
            <w:tcW w:w="1558"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p>
        </w:tc>
        <w:tc>
          <w:tcPr>
            <w:tcW w:w="2705"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3、员工就餐满意率</w:t>
            </w:r>
          </w:p>
        </w:tc>
        <w:tc>
          <w:tcPr>
            <w:tcW w:w="305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满意度≥75%</w:t>
            </w:r>
          </w:p>
        </w:tc>
        <w:tc>
          <w:tcPr>
            <w:tcW w:w="530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由人力资源部对全体员工进行每季度一次的员工就餐满意率调查，满意率小于55%不得分。</w:t>
            </w:r>
          </w:p>
        </w:tc>
        <w:tc>
          <w:tcPr>
            <w:tcW w:w="1558"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人力资源部</w:t>
            </w:r>
          </w:p>
        </w:tc>
        <w:tc>
          <w:tcPr>
            <w:tcW w:w="2705"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1、招聘计划完成</w:t>
            </w:r>
          </w:p>
        </w:tc>
        <w:tc>
          <w:tcPr>
            <w:tcW w:w="305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完成率100%（见年度计划）</w:t>
            </w:r>
          </w:p>
        </w:tc>
        <w:tc>
          <w:tcPr>
            <w:tcW w:w="530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根据公司的岗位需求按时按要求完成招聘任务；</w:t>
            </w:r>
          </w:p>
        </w:tc>
        <w:tc>
          <w:tcPr>
            <w:tcW w:w="1558"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p>
        </w:tc>
        <w:tc>
          <w:tcPr>
            <w:tcW w:w="2705"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2、岗位培训计划完成</w:t>
            </w:r>
          </w:p>
        </w:tc>
        <w:tc>
          <w:tcPr>
            <w:tcW w:w="305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完成率100%（见年度计划）</w:t>
            </w:r>
          </w:p>
        </w:tc>
        <w:tc>
          <w:tcPr>
            <w:tcW w:w="530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根据年初制定的培训计划及各部门临时性的专业能力提升需求，按时完成每季度的培训任务。</w:t>
            </w:r>
          </w:p>
        </w:tc>
        <w:tc>
          <w:tcPr>
            <w:tcW w:w="1558"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p>
        </w:tc>
        <w:tc>
          <w:tcPr>
            <w:tcW w:w="2705"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3、绩效考核完成率</w:t>
            </w:r>
          </w:p>
        </w:tc>
        <w:tc>
          <w:tcPr>
            <w:tcW w:w="305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每季首月20日结束上季考核晚一天扣0.5分</w:t>
            </w:r>
          </w:p>
        </w:tc>
        <w:tc>
          <w:tcPr>
            <w:tcW w:w="530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每季度首月15日人力资源部协助直接主管完成上季度考核打分与沟通，人力资源部根据考核成绩在20日完成绩效工资的兑现发放。</w:t>
            </w:r>
          </w:p>
        </w:tc>
        <w:tc>
          <w:tcPr>
            <w:tcW w:w="1558"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研发部</w:t>
            </w:r>
          </w:p>
        </w:tc>
        <w:tc>
          <w:tcPr>
            <w:tcW w:w="2705"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1、季度新产品研发计划完成</w:t>
            </w:r>
          </w:p>
        </w:tc>
        <w:tc>
          <w:tcPr>
            <w:tcW w:w="305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100%完成</w:t>
            </w:r>
          </w:p>
        </w:tc>
        <w:tc>
          <w:tcPr>
            <w:tcW w:w="530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根据研发部的季度研发计划，与季度结束后的任务完成情况进行比较，要求按时完成所有计划（若因其它临时工作延误了计划完成时间，应？？？）</w:t>
            </w:r>
          </w:p>
        </w:tc>
        <w:tc>
          <w:tcPr>
            <w:tcW w:w="1558"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p>
        </w:tc>
        <w:tc>
          <w:tcPr>
            <w:tcW w:w="2705"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2、开发新产品资料完整</w:t>
            </w:r>
          </w:p>
        </w:tc>
        <w:tc>
          <w:tcPr>
            <w:tcW w:w="305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新产品测试合格后3日内，要求将所有图纸、各类参数资料、鉴定资料交技术部（办公室），晚一天扣0.5分</w:t>
            </w:r>
          </w:p>
        </w:tc>
        <w:tc>
          <w:tcPr>
            <w:tcW w:w="530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研发新产品在测试达标情况下，3日内将产品的各类图纸、技术参数等齐全资料交档案室归档（资料的明细由总工给出）。</w:t>
            </w:r>
          </w:p>
        </w:tc>
        <w:tc>
          <w:tcPr>
            <w:tcW w:w="1558"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p>
        </w:tc>
        <w:tc>
          <w:tcPr>
            <w:tcW w:w="2705"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3、新产品试制一次成功率（成本）</w:t>
            </w:r>
          </w:p>
        </w:tc>
        <w:tc>
          <w:tcPr>
            <w:tcW w:w="305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控制材料零件更换，工时重复；按测试总项及重试项算，一次成功率85%</w:t>
            </w:r>
          </w:p>
        </w:tc>
        <w:tc>
          <w:tcPr>
            <w:tcW w:w="5308" w:type="dxa"/>
            <w:noWrap w:val="0"/>
            <w:vAlign w:val="top"/>
          </w:tcPr>
          <w:p>
            <w:pPr>
              <w:spacing w:line="360" w:lineRule="auto"/>
              <w:jc w:val="center"/>
              <w:rPr>
                <w:rFonts w:hint="eastAsia" w:ascii="楷体" w:hAnsi="楷体" w:eastAsia="楷体"/>
                <w:color w:val="000000"/>
                <w:sz w:val="24"/>
                <w:szCs w:val="21"/>
              </w:rPr>
            </w:pPr>
          </w:p>
        </w:tc>
        <w:tc>
          <w:tcPr>
            <w:tcW w:w="1558"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p>
        </w:tc>
        <w:tc>
          <w:tcPr>
            <w:tcW w:w="2705"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4、研发成本费用控制</w:t>
            </w:r>
          </w:p>
        </w:tc>
        <w:tc>
          <w:tcPr>
            <w:tcW w:w="3055" w:type="dxa"/>
            <w:noWrap w:val="0"/>
            <w:vAlign w:val="top"/>
          </w:tcPr>
          <w:p>
            <w:pPr>
              <w:spacing w:line="360" w:lineRule="auto"/>
              <w:jc w:val="center"/>
              <w:rPr>
                <w:rFonts w:hint="eastAsia" w:ascii="楷体" w:hAnsi="楷体" w:eastAsia="楷体"/>
                <w:color w:val="000000"/>
                <w:sz w:val="24"/>
                <w:szCs w:val="21"/>
              </w:rPr>
            </w:pPr>
          </w:p>
        </w:tc>
        <w:tc>
          <w:tcPr>
            <w:tcW w:w="5308" w:type="dxa"/>
            <w:noWrap w:val="0"/>
            <w:vAlign w:val="top"/>
          </w:tcPr>
          <w:p>
            <w:pPr>
              <w:spacing w:line="360" w:lineRule="auto"/>
              <w:jc w:val="center"/>
              <w:rPr>
                <w:rFonts w:hint="eastAsia" w:ascii="楷体" w:hAnsi="楷体" w:eastAsia="楷体"/>
                <w:color w:val="000000"/>
                <w:sz w:val="24"/>
                <w:szCs w:val="21"/>
              </w:rPr>
            </w:pPr>
          </w:p>
        </w:tc>
        <w:tc>
          <w:tcPr>
            <w:tcW w:w="1558"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质量部</w:t>
            </w:r>
          </w:p>
        </w:tc>
        <w:tc>
          <w:tcPr>
            <w:tcW w:w="2705"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1、外购外协件检验工作合格率</w:t>
            </w:r>
          </w:p>
        </w:tc>
        <w:tc>
          <w:tcPr>
            <w:tcW w:w="305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检验工作（外观检验、上机测试）合格率为100%</w:t>
            </w:r>
          </w:p>
        </w:tc>
        <w:tc>
          <w:tcPr>
            <w:tcW w:w="530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质量部在对外购外协件检验合格的情况下，经车间使用或测试出现的不合格项，属于检验工作不合格。</w:t>
            </w:r>
          </w:p>
        </w:tc>
        <w:tc>
          <w:tcPr>
            <w:tcW w:w="1558"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p>
        </w:tc>
        <w:tc>
          <w:tcPr>
            <w:tcW w:w="2705"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2、质量事故追溯率</w:t>
            </w:r>
          </w:p>
        </w:tc>
        <w:tc>
          <w:tcPr>
            <w:tcW w:w="305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追溯落实率为100%</w:t>
            </w:r>
          </w:p>
        </w:tc>
        <w:tc>
          <w:tcPr>
            <w:tcW w:w="530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统计由生产、售后服务等反馈回的产品质量事故，对其进行调查、分析、追溯、解决，并反馈解决结果。</w:t>
            </w:r>
          </w:p>
        </w:tc>
        <w:tc>
          <w:tcPr>
            <w:tcW w:w="1558"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p>
        </w:tc>
        <w:tc>
          <w:tcPr>
            <w:tcW w:w="2705"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3、工序质量控制</w:t>
            </w:r>
          </w:p>
        </w:tc>
        <w:tc>
          <w:tcPr>
            <w:tcW w:w="3055" w:type="dxa"/>
            <w:noWrap w:val="0"/>
            <w:vAlign w:val="top"/>
          </w:tcPr>
          <w:p>
            <w:pPr>
              <w:spacing w:line="360" w:lineRule="auto"/>
              <w:jc w:val="center"/>
              <w:rPr>
                <w:rFonts w:hint="eastAsia" w:ascii="楷体" w:hAnsi="楷体" w:eastAsia="楷体"/>
                <w:color w:val="000000"/>
                <w:sz w:val="24"/>
                <w:szCs w:val="21"/>
              </w:rPr>
            </w:pPr>
          </w:p>
        </w:tc>
        <w:tc>
          <w:tcPr>
            <w:tcW w:w="5308" w:type="dxa"/>
            <w:noWrap w:val="0"/>
            <w:vAlign w:val="top"/>
          </w:tcPr>
          <w:p>
            <w:pPr>
              <w:spacing w:line="360" w:lineRule="auto"/>
              <w:jc w:val="center"/>
              <w:rPr>
                <w:rFonts w:hint="eastAsia" w:ascii="楷体" w:hAnsi="楷体" w:eastAsia="楷体"/>
                <w:color w:val="000000"/>
                <w:sz w:val="24"/>
                <w:szCs w:val="21"/>
              </w:rPr>
            </w:pPr>
          </w:p>
        </w:tc>
        <w:tc>
          <w:tcPr>
            <w:tcW w:w="1558"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销售支持部</w:t>
            </w:r>
          </w:p>
        </w:tc>
        <w:tc>
          <w:tcPr>
            <w:tcW w:w="2705"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1、客户接待满意率</w:t>
            </w:r>
          </w:p>
        </w:tc>
        <w:tc>
          <w:tcPr>
            <w:tcW w:w="305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满意率为95%</w:t>
            </w:r>
          </w:p>
        </w:tc>
        <w:tc>
          <w:tcPr>
            <w:tcW w:w="530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每月25号将本月来访考察客户有关资料汇总报至北京高新公司进行满意率调查。</w:t>
            </w:r>
          </w:p>
        </w:tc>
        <w:tc>
          <w:tcPr>
            <w:tcW w:w="1558"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p>
        </w:tc>
        <w:tc>
          <w:tcPr>
            <w:tcW w:w="2705"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2、按合同付款发货率</w:t>
            </w:r>
          </w:p>
        </w:tc>
        <w:tc>
          <w:tcPr>
            <w:tcW w:w="305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发货率 100%，出现未付清款发货一次扣2分</w:t>
            </w:r>
          </w:p>
        </w:tc>
        <w:tc>
          <w:tcPr>
            <w:tcW w:w="530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严格按照合同规定的付款率发货，不得因领导的答复为准。</w:t>
            </w:r>
          </w:p>
        </w:tc>
        <w:tc>
          <w:tcPr>
            <w:tcW w:w="1558"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p>
        </w:tc>
        <w:tc>
          <w:tcPr>
            <w:tcW w:w="2705"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3、市场服务支持满意率</w:t>
            </w:r>
          </w:p>
        </w:tc>
        <w:tc>
          <w:tcPr>
            <w:tcW w:w="305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满意率为 100%，见附“服务满意调查表”</w:t>
            </w:r>
          </w:p>
        </w:tc>
        <w:tc>
          <w:tcPr>
            <w:tcW w:w="5308" w:type="dxa"/>
            <w:noWrap w:val="0"/>
            <w:vAlign w:val="top"/>
          </w:tcPr>
          <w:p>
            <w:pPr>
              <w:spacing w:line="360" w:lineRule="auto"/>
              <w:jc w:val="center"/>
              <w:rPr>
                <w:rFonts w:hint="eastAsia" w:ascii="楷体" w:hAnsi="楷体" w:eastAsia="楷体"/>
                <w:color w:val="000000"/>
                <w:sz w:val="24"/>
                <w:szCs w:val="21"/>
              </w:rPr>
            </w:pPr>
          </w:p>
        </w:tc>
        <w:tc>
          <w:tcPr>
            <w:tcW w:w="1558"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工程项目部</w:t>
            </w:r>
          </w:p>
        </w:tc>
        <w:tc>
          <w:tcPr>
            <w:tcW w:w="2705"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1、大包工程利润（包括配件利润）</w:t>
            </w:r>
          </w:p>
        </w:tc>
        <w:tc>
          <w:tcPr>
            <w:tcW w:w="305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季度计划利润：</w:t>
            </w:r>
          </w:p>
        </w:tc>
        <w:tc>
          <w:tcPr>
            <w:tcW w:w="5308" w:type="dxa"/>
            <w:noWrap w:val="0"/>
            <w:vAlign w:val="top"/>
          </w:tcPr>
          <w:p>
            <w:pPr>
              <w:spacing w:line="360" w:lineRule="auto"/>
              <w:jc w:val="center"/>
              <w:rPr>
                <w:rFonts w:hint="eastAsia" w:ascii="楷体" w:hAnsi="楷体" w:eastAsia="楷体"/>
                <w:color w:val="000000"/>
                <w:sz w:val="24"/>
                <w:szCs w:val="21"/>
              </w:rPr>
            </w:pPr>
          </w:p>
        </w:tc>
        <w:tc>
          <w:tcPr>
            <w:tcW w:w="1558"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p>
        </w:tc>
        <w:tc>
          <w:tcPr>
            <w:tcW w:w="2705"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2、工程质量合格率</w:t>
            </w:r>
          </w:p>
        </w:tc>
        <w:tc>
          <w:tcPr>
            <w:tcW w:w="3055"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一次验收达标率100%</w:t>
            </w:r>
          </w:p>
        </w:tc>
        <w:tc>
          <w:tcPr>
            <w:tcW w:w="5308" w:type="dxa"/>
            <w:noWrap w:val="0"/>
            <w:vAlign w:val="top"/>
          </w:tcPr>
          <w:p>
            <w:pPr>
              <w:spacing w:line="360" w:lineRule="auto"/>
              <w:jc w:val="center"/>
              <w:rPr>
                <w:rFonts w:hint="eastAsia" w:ascii="楷体" w:hAnsi="楷体" w:eastAsia="楷体"/>
                <w:color w:val="000000"/>
                <w:sz w:val="24"/>
                <w:szCs w:val="21"/>
              </w:rPr>
            </w:pPr>
          </w:p>
        </w:tc>
        <w:tc>
          <w:tcPr>
            <w:tcW w:w="1558"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p>
        </w:tc>
        <w:tc>
          <w:tcPr>
            <w:tcW w:w="2705"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3、300 万以上工程方案评审</w:t>
            </w:r>
          </w:p>
        </w:tc>
        <w:tc>
          <w:tcPr>
            <w:tcW w:w="3055" w:type="dxa"/>
            <w:noWrap w:val="0"/>
            <w:vAlign w:val="top"/>
          </w:tcPr>
          <w:p>
            <w:pPr>
              <w:spacing w:line="360" w:lineRule="auto"/>
              <w:jc w:val="center"/>
              <w:rPr>
                <w:rFonts w:hint="eastAsia" w:ascii="楷体" w:hAnsi="楷体" w:eastAsia="楷体"/>
                <w:color w:val="000000"/>
                <w:sz w:val="24"/>
                <w:szCs w:val="21"/>
              </w:rPr>
            </w:pPr>
          </w:p>
        </w:tc>
        <w:tc>
          <w:tcPr>
            <w:tcW w:w="5308" w:type="dxa"/>
            <w:noWrap w:val="0"/>
            <w:vAlign w:val="top"/>
          </w:tcPr>
          <w:p>
            <w:pPr>
              <w:spacing w:line="360" w:lineRule="auto"/>
              <w:jc w:val="center"/>
              <w:rPr>
                <w:rFonts w:hint="eastAsia" w:ascii="楷体" w:hAnsi="楷体" w:eastAsia="楷体"/>
                <w:color w:val="000000"/>
                <w:sz w:val="24"/>
                <w:szCs w:val="21"/>
              </w:rPr>
            </w:pPr>
          </w:p>
        </w:tc>
        <w:tc>
          <w:tcPr>
            <w:tcW w:w="1558" w:type="dxa"/>
            <w:noWrap w:val="0"/>
            <w:vAlign w:val="top"/>
          </w:tcPr>
          <w:p>
            <w:pPr>
              <w:spacing w:line="360" w:lineRule="auto"/>
              <w:jc w:val="center"/>
              <w:rPr>
                <w:rFonts w:hint="eastAsia" w:ascii="楷体" w:hAnsi="楷体" w:eastAsia="楷体"/>
                <w:color w:val="000000"/>
                <w:sz w:val="24"/>
                <w:szCs w:val="21"/>
              </w:rPr>
            </w:pPr>
          </w:p>
        </w:tc>
      </w:tr>
    </w:tbl>
    <w:p>
      <w:pPr>
        <w:spacing w:line="360" w:lineRule="auto"/>
        <w:jc w:val="center"/>
        <w:rPr>
          <w:rFonts w:hint="eastAsia" w:ascii="楷体" w:hAnsi="楷体" w:eastAsia="楷体"/>
          <w:color w:val="000000"/>
          <w:sz w:val="24"/>
          <w:szCs w:val="28"/>
        </w:rPr>
      </w:pPr>
      <w:r>
        <w:rPr>
          <w:rFonts w:hint="eastAsia" w:ascii="楷体" w:hAnsi="楷体" w:eastAsia="楷体"/>
          <w:color w:val="000000"/>
          <w:sz w:val="24"/>
          <w:szCs w:val="28"/>
        </w:rPr>
      </w:r>
      <w:r>
        <w:rPr>
          <w:rFonts w:hint="eastAsia" w:ascii="楷体" w:hAnsi="楷体" w:eastAsia="楷体"/>
          <w:color w:val="000000"/>
          <w:sz w:val="24"/>
          <w:szCs w:val="28"/>
        </w:rPr>
        <w:t>20某 年“新增”指标汇总表</w:t>
      </w:r>
    </w:p>
    <w:tbl>
      <w:tblPr>
        <w:tblStyle w:val="9"/>
        <w:tblW w:w="14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2501"/>
        <w:gridCol w:w="2047"/>
        <w:gridCol w:w="1984"/>
        <w:gridCol w:w="3728"/>
        <w:gridCol w:w="900"/>
        <w:gridCol w:w="14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部门</w:t>
            </w:r>
          </w:p>
        </w:tc>
        <w:tc>
          <w:tcPr>
            <w:tcW w:w="2501"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考核指标</w:t>
            </w:r>
          </w:p>
        </w:tc>
        <w:tc>
          <w:tcPr>
            <w:tcW w:w="2047"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业绩标准</w:t>
            </w:r>
          </w:p>
        </w:tc>
        <w:tc>
          <w:tcPr>
            <w:tcW w:w="1984"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指标回顾</w:t>
            </w:r>
          </w:p>
        </w:tc>
        <w:tc>
          <w:tcPr>
            <w:tcW w:w="372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考核评价</w:t>
            </w:r>
          </w:p>
        </w:tc>
        <w:tc>
          <w:tcPr>
            <w:tcW w:w="900"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权重</w:t>
            </w:r>
          </w:p>
        </w:tc>
        <w:tc>
          <w:tcPr>
            <w:tcW w:w="1466"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提取部门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财务部</w:t>
            </w:r>
          </w:p>
        </w:tc>
        <w:tc>
          <w:tcPr>
            <w:tcW w:w="2501"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1、月审批资金供应率</w:t>
            </w:r>
          </w:p>
        </w:tc>
        <w:tc>
          <w:tcPr>
            <w:tcW w:w="2047"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供应率为100%</w:t>
            </w:r>
          </w:p>
        </w:tc>
        <w:tc>
          <w:tcPr>
            <w:tcW w:w="1984"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实际供应率：</w:t>
            </w:r>
          </w:p>
        </w:tc>
        <w:tc>
          <w:tcPr>
            <w:tcW w:w="372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 －（０％１－实际供应率）×］＝４</w:t>
            </w:r>
          </w:p>
        </w:tc>
        <w:tc>
          <w:tcPr>
            <w:tcW w:w="900" w:type="dxa"/>
            <w:noWrap w:val="0"/>
            <w:vAlign w:val="top"/>
          </w:tcPr>
          <w:p>
            <w:pPr>
              <w:spacing w:line="360" w:lineRule="auto"/>
              <w:jc w:val="center"/>
              <w:rPr>
                <w:rFonts w:hint="eastAsia" w:ascii="楷体" w:hAnsi="楷体" w:eastAsia="楷体"/>
                <w:color w:val="000000"/>
                <w:sz w:val="24"/>
                <w:szCs w:val="21"/>
              </w:rPr>
            </w:pPr>
            <w:r>
              <w:rPr>
                <w:rFonts w:ascii="楷体" w:hAnsi="楷体" w:eastAsia="楷体"/>
                <w:color w:val="000000"/>
                <w:sz w:val="24"/>
                <w:szCs w:val="21"/>
              </w:rPr>
              <w:t>30%</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p>
        </w:tc>
        <w:tc>
          <w:tcPr>
            <w:tcW w:w="2501"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2、全面预算管理控制</w:t>
            </w:r>
          </w:p>
        </w:tc>
        <w:tc>
          <w:tcPr>
            <w:tcW w:w="2047"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控制在±10%以内</w:t>
            </w:r>
          </w:p>
        </w:tc>
        <w:tc>
          <w:tcPr>
            <w:tcW w:w="1984"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实际发生：</w:t>
            </w:r>
          </w:p>
        </w:tc>
        <w:tc>
          <w:tcPr>
            <w:tcW w:w="372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５×［１－（∣实际－预算∣／ 预算－０１）×５</w:t>
            </w:r>
          </w:p>
        </w:tc>
        <w:tc>
          <w:tcPr>
            <w:tcW w:w="900" w:type="dxa"/>
            <w:noWrap w:val="0"/>
            <w:vAlign w:val="top"/>
          </w:tcPr>
          <w:p>
            <w:pPr>
              <w:spacing w:line="360" w:lineRule="auto"/>
              <w:jc w:val="center"/>
              <w:rPr>
                <w:rFonts w:hint="eastAsia" w:ascii="楷体" w:hAnsi="楷体" w:eastAsia="楷体"/>
                <w:color w:val="000000"/>
                <w:sz w:val="24"/>
                <w:szCs w:val="21"/>
              </w:rPr>
            </w:pPr>
            <w:r>
              <w:rPr>
                <w:rFonts w:ascii="楷体" w:hAnsi="楷体" w:eastAsia="楷体"/>
                <w:color w:val="000000"/>
                <w:sz w:val="24"/>
                <w:szCs w:val="21"/>
              </w:rPr>
              <w:t>30%</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p>
        </w:tc>
        <w:tc>
          <w:tcPr>
            <w:tcW w:w="2501"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3、财务费用控制</w:t>
            </w:r>
          </w:p>
        </w:tc>
        <w:tc>
          <w:tcPr>
            <w:tcW w:w="2047" w:type="dxa"/>
            <w:noWrap w:val="0"/>
            <w:vAlign w:val="top"/>
          </w:tcPr>
          <w:p>
            <w:pPr>
              <w:spacing w:line="360" w:lineRule="auto"/>
              <w:jc w:val="center"/>
              <w:rPr>
                <w:rFonts w:hint="eastAsia" w:ascii="楷体" w:hAnsi="楷体" w:eastAsia="楷体"/>
                <w:color w:val="000000"/>
                <w:sz w:val="24"/>
                <w:szCs w:val="21"/>
              </w:rPr>
            </w:pPr>
          </w:p>
        </w:tc>
        <w:tc>
          <w:tcPr>
            <w:tcW w:w="1984" w:type="dxa"/>
            <w:noWrap w:val="0"/>
            <w:vAlign w:val="top"/>
          </w:tcPr>
          <w:p>
            <w:pPr>
              <w:spacing w:line="360" w:lineRule="auto"/>
              <w:jc w:val="center"/>
              <w:rPr>
                <w:rFonts w:hint="eastAsia" w:ascii="楷体" w:hAnsi="楷体" w:eastAsia="楷体"/>
                <w:color w:val="000000"/>
                <w:sz w:val="24"/>
                <w:szCs w:val="21"/>
              </w:rPr>
            </w:pPr>
          </w:p>
        </w:tc>
        <w:tc>
          <w:tcPr>
            <w:tcW w:w="3728" w:type="dxa"/>
            <w:noWrap w:val="0"/>
            <w:vAlign w:val="top"/>
          </w:tcPr>
          <w:p>
            <w:pPr>
              <w:spacing w:line="360" w:lineRule="auto"/>
              <w:jc w:val="center"/>
              <w:rPr>
                <w:rFonts w:hint="eastAsia" w:ascii="楷体" w:hAnsi="楷体" w:eastAsia="楷体"/>
                <w:color w:val="000000"/>
                <w:sz w:val="24"/>
                <w:szCs w:val="21"/>
              </w:rPr>
            </w:pPr>
          </w:p>
        </w:tc>
        <w:tc>
          <w:tcPr>
            <w:tcW w:w="900" w:type="dxa"/>
            <w:noWrap w:val="0"/>
            <w:vAlign w:val="top"/>
          </w:tcPr>
          <w:p>
            <w:pPr>
              <w:spacing w:line="360" w:lineRule="auto"/>
              <w:jc w:val="center"/>
              <w:rPr>
                <w:rFonts w:hint="eastAsia" w:ascii="楷体" w:hAnsi="楷体" w:eastAsia="楷体"/>
                <w:color w:val="000000"/>
                <w:sz w:val="24"/>
                <w:szCs w:val="21"/>
              </w:rPr>
            </w:pPr>
            <w:r>
              <w:rPr>
                <w:rFonts w:ascii="楷体" w:hAnsi="楷体" w:eastAsia="楷体"/>
                <w:color w:val="000000"/>
                <w:sz w:val="24"/>
                <w:szCs w:val="21"/>
              </w:rPr>
              <w:t>30%</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技术部</w:t>
            </w:r>
          </w:p>
        </w:tc>
        <w:tc>
          <w:tcPr>
            <w:tcW w:w="2501"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1、提供图纸、材料定额、工艺卡及时准确性</w:t>
            </w:r>
          </w:p>
        </w:tc>
        <w:tc>
          <w:tcPr>
            <w:tcW w:w="2047"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随生产计划同时下达，晚一天扣0.5 分</w:t>
            </w:r>
          </w:p>
        </w:tc>
        <w:tc>
          <w:tcPr>
            <w:tcW w:w="1984"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实际晚天数：</w:t>
            </w:r>
          </w:p>
        </w:tc>
        <w:tc>
          <w:tcPr>
            <w:tcW w:w="3728" w:type="dxa"/>
            <w:noWrap w:val="0"/>
            <w:vAlign w:val="top"/>
          </w:tcPr>
          <w:p>
            <w:pPr>
              <w:spacing w:line="360" w:lineRule="auto"/>
              <w:jc w:val="center"/>
              <w:rPr>
                <w:rFonts w:hint="eastAsia" w:ascii="楷体" w:hAnsi="楷体" w:eastAsia="楷体"/>
                <w:color w:val="000000"/>
                <w:sz w:val="24"/>
                <w:szCs w:val="21"/>
              </w:rPr>
            </w:pPr>
            <w:r>
              <w:rPr>
                <w:rFonts w:ascii="楷体" w:hAnsi="楷体" w:eastAsia="楷体"/>
                <w:color w:val="000000"/>
                <w:sz w:val="24"/>
                <w:szCs w:val="21"/>
              </w:rPr>
              <w:t>5</w:t>
            </w:r>
            <w:r>
              <w:rPr>
                <w:rFonts w:hint="eastAsia" w:ascii="楷体" w:hAnsi="楷体" w:eastAsia="楷体"/>
                <w:color w:val="000000"/>
                <w:sz w:val="24"/>
                <w:szCs w:val="21"/>
              </w:rPr>
              <w:t>－ 实 际 晚 天 数 ×0.5</w:t>
            </w:r>
            <w:r>
              <w:rPr>
                <w:rFonts w:ascii="楷体" w:hAnsi="楷体" w:eastAsia="楷体"/>
                <w:color w:val="000000"/>
                <w:sz w:val="24"/>
                <w:szCs w:val="21"/>
              </w:rPr>
              <w:t>=</w:t>
            </w:r>
            <w:r>
              <w:rPr>
                <w:rFonts w:hint="eastAsia" w:ascii="楷体" w:hAnsi="楷体" w:eastAsia="楷体"/>
                <w:color w:val="000000"/>
                <w:sz w:val="24"/>
                <w:szCs w:val="21"/>
              </w:rPr>
              <w:t>（到0为止）</w:t>
            </w:r>
          </w:p>
        </w:tc>
        <w:tc>
          <w:tcPr>
            <w:tcW w:w="900" w:type="dxa"/>
            <w:noWrap w:val="0"/>
            <w:vAlign w:val="top"/>
          </w:tcPr>
          <w:p>
            <w:pPr>
              <w:spacing w:line="360" w:lineRule="auto"/>
              <w:jc w:val="center"/>
              <w:rPr>
                <w:rFonts w:hint="eastAsia" w:ascii="楷体" w:hAnsi="楷体" w:eastAsia="楷体"/>
                <w:color w:val="000000"/>
                <w:sz w:val="24"/>
                <w:szCs w:val="21"/>
              </w:rPr>
            </w:pPr>
            <w:r>
              <w:rPr>
                <w:rFonts w:ascii="楷体" w:hAnsi="楷体" w:eastAsia="楷体"/>
                <w:color w:val="000000"/>
                <w:sz w:val="24"/>
                <w:szCs w:val="21"/>
              </w:rPr>
              <w:t>30%</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p>
        </w:tc>
        <w:tc>
          <w:tcPr>
            <w:tcW w:w="2501"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2、解决现场问题及时性</w:t>
            </w:r>
          </w:p>
        </w:tc>
        <w:tc>
          <w:tcPr>
            <w:tcW w:w="2047"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延误生产发货一次扣2分</w:t>
            </w:r>
          </w:p>
        </w:tc>
        <w:tc>
          <w:tcPr>
            <w:tcW w:w="1984"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实际耽误</w:t>
            </w:r>
          </w:p>
        </w:tc>
        <w:tc>
          <w:tcPr>
            <w:tcW w:w="3728" w:type="dxa"/>
            <w:noWrap w:val="0"/>
            <w:vAlign w:val="top"/>
          </w:tcPr>
          <w:p>
            <w:pPr>
              <w:spacing w:line="360" w:lineRule="auto"/>
              <w:jc w:val="center"/>
              <w:rPr>
                <w:rFonts w:hint="eastAsia" w:ascii="楷体" w:hAnsi="楷体" w:eastAsia="楷体"/>
                <w:color w:val="000000"/>
                <w:sz w:val="24"/>
                <w:szCs w:val="21"/>
              </w:rPr>
            </w:pPr>
            <w:r>
              <w:rPr>
                <w:rFonts w:ascii="楷体" w:hAnsi="楷体" w:eastAsia="楷体"/>
                <w:color w:val="000000"/>
                <w:sz w:val="24"/>
                <w:szCs w:val="21"/>
              </w:rPr>
              <w:t>5</w:t>
            </w:r>
            <w:r>
              <w:rPr>
                <w:rFonts w:hint="eastAsia" w:ascii="楷体" w:hAnsi="楷体" w:eastAsia="楷体"/>
                <w:color w:val="000000"/>
                <w:sz w:val="24"/>
                <w:szCs w:val="21"/>
              </w:rPr>
              <w:t>－ 实 际 延 误 次 数 × 2=（0、5为止）</w:t>
            </w:r>
          </w:p>
        </w:tc>
        <w:tc>
          <w:tcPr>
            <w:tcW w:w="900" w:type="dxa"/>
            <w:noWrap w:val="0"/>
            <w:vAlign w:val="top"/>
          </w:tcPr>
          <w:p>
            <w:pPr>
              <w:spacing w:line="360" w:lineRule="auto"/>
              <w:jc w:val="center"/>
              <w:rPr>
                <w:rFonts w:hint="eastAsia" w:ascii="楷体" w:hAnsi="楷体" w:eastAsia="楷体"/>
                <w:color w:val="000000"/>
                <w:sz w:val="24"/>
                <w:szCs w:val="21"/>
              </w:rPr>
            </w:pPr>
            <w:r>
              <w:rPr>
                <w:rFonts w:ascii="楷体" w:hAnsi="楷体" w:eastAsia="楷体"/>
                <w:color w:val="000000"/>
                <w:sz w:val="24"/>
                <w:szCs w:val="21"/>
              </w:rPr>
              <w:t>20%</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p>
        </w:tc>
        <w:tc>
          <w:tcPr>
            <w:tcW w:w="2501"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3、质量事故率</w:t>
            </w:r>
          </w:p>
        </w:tc>
        <w:tc>
          <w:tcPr>
            <w:tcW w:w="2047"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因技术问题发生的质量事故次数, 每次扣3分</w:t>
            </w:r>
          </w:p>
        </w:tc>
        <w:tc>
          <w:tcPr>
            <w:tcW w:w="1984"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实际事故数：</w:t>
            </w:r>
          </w:p>
        </w:tc>
        <w:tc>
          <w:tcPr>
            <w:tcW w:w="3728" w:type="dxa"/>
            <w:noWrap w:val="0"/>
            <w:vAlign w:val="top"/>
          </w:tcPr>
          <w:p>
            <w:pPr>
              <w:spacing w:line="360" w:lineRule="auto"/>
              <w:jc w:val="center"/>
              <w:rPr>
                <w:rFonts w:hint="eastAsia" w:ascii="楷体" w:hAnsi="楷体" w:eastAsia="楷体"/>
                <w:color w:val="000000"/>
                <w:sz w:val="24"/>
                <w:szCs w:val="21"/>
              </w:rPr>
            </w:pPr>
            <w:r>
              <w:rPr>
                <w:rFonts w:ascii="楷体" w:hAnsi="楷体" w:eastAsia="楷体"/>
                <w:color w:val="000000"/>
                <w:sz w:val="24"/>
                <w:szCs w:val="21"/>
              </w:rPr>
              <w:t>5</w:t>
            </w:r>
            <w:r>
              <w:rPr>
                <w:rFonts w:hint="eastAsia" w:ascii="楷体" w:hAnsi="楷体" w:eastAsia="楷体"/>
                <w:color w:val="000000"/>
                <w:sz w:val="24"/>
                <w:szCs w:val="21"/>
              </w:rPr>
              <w:t>－ 实 际 事 故 次 数 ×3=（到0为止）</w:t>
            </w:r>
          </w:p>
        </w:tc>
        <w:tc>
          <w:tcPr>
            <w:tcW w:w="900" w:type="dxa"/>
            <w:noWrap w:val="0"/>
            <w:vAlign w:val="top"/>
          </w:tcPr>
          <w:p>
            <w:pPr>
              <w:spacing w:line="360" w:lineRule="auto"/>
              <w:jc w:val="center"/>
              <w:rPr>
                <w:rFonts w:hint="eastAsia" w:ascii="楷体" w:hAnsi="楷体" w:eastAsia="楷体"/>
                <w:color w:val="000000"/>
                <w:sz w:val="24"/>
                <w:szCs w:val="21"/>
              </w:rPr>
            </w:pPr>
            <w:r>
              <w:rPr>
                <w:rFonts w:ascii="楷体" w:hAnsi="楷体" w:eastAsia="楷体"/>
                <w:color w:val="000000"/>
                <w:sz w:val="24"/>
                <w:szCs w:val="21"/>
              </w:rPr>
              <w:t>10%</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p>
        </w:tc>
        <w:tc>
          <w:tcPr>
            <w:tcW w:w="2501"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4、 现场技术支持满意率</w:t>
            </w:r>
          </w:p>
        </w:tc>
        <w:tc>
          <w:tcPr>
            <w:tcW w:w="2047"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满意率100%，见季度调查表</w:t>
            </w:r>
          </w:p>
        </w:tc>
        <w:tc>
          <w:tcPr>
            <w:tcW w:w="1984"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实际满意率</w:t>
            </w:r>
          </w:p>
        </w:tc>
        <w:tc>
          <w:tcPr>
            <w:tcW w:w="372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×［１（０％１实际满意率）×３＝</w:t>
            </w:r>
          </w:p>
        </w:tc>
        <w:tc>
          <w:tcPr>
            <w:tcW w:w="900" w:type="dxa"/>
            <w:noWrap w:val="0"/>
            <w:vAlign w:val="top"/>
          </w:tcPr>
          <w:p>
            <w:pPr>
              <w:spacing w:line="360" w:lineRule="auto"/>
              <w:jc w:val="center"/>
              <w:rPr>
                <w:rFonts w:hint="eastAsia" w:ascii="楷体" w:hAnsi="楷体" w:eastAsia="楷体"/>
                <w:color w:val="000000"/>
                <w:sz w:val="24"/>
                <w:szCs w:val="21"/>
              </w:rPr>
            </w:pPr>
            <w:r>
              <w:rPr>
                <w:rFonts w:ascii="楷体" w:hAnsi="楷体" w:eastAsia="楷体"/>
                <w:color w:val="000000"/>
                <w:sz w:val="24"/>
                <w:szCs w:val="21"/>
              </w:rPr>
              <w:t>30%</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生产部</w:t>
            </w:r>
          </w:p>
        </w:tc>
        <w:tc>
          <w:tcPr>
            <w:tcW w:w="2501"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4、（生产能耗）产能利用率</w:t>
            </w:r>
          </w:p>
        </w:tc>
        <w:tc>
          <w:tcPr>
            <w:tcW w:w="2047"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电耗/kw 机组设备</w:t>
            </w:r>
          </w:p>
        </w:tc>
        <w:tc>
          <w:tcPr>
            <w:tcW w:w="1984" w:type="dxa"/>
            <w:noWrap w:val="0"/>
            <w:vAlign w:val="top"/>
          </w:tcPr>
          <w:p>
            <w:pPr>
              <w:spacing w:line="360" w:lineRule="auto"/>
              <w:jc w:val="center"/>
              <w:rPr>
                <w:rFonts w:hint="eastAsia" w:ascii="楷体" w:hAnsi="楷体" w:eastAsia="楷体"/>
                <w:color w:val="000000"/>
                <w:sz w:val="24"/>
                <w:szCs w:val="21"/>
              </w:rPr>
            </w:pPr>
          </w:p>
        </w:tc>
        <w:tc>
          <w:tcPr>
            <w:tcW w:w="3728" w:type="dxa"/>
            <w:noWrap w:val="0"/>
            <w:vAlign w:val="top"/>
          </w:tcPr>
          <w:p>
            <w:pPr>
              <w:spacing w:line="360" w:lineRule="auto"/>
              <w:jc w:val="center"/>
              <w:rPr>
                <w:rFonts w:hint="eastAsia" w:ascii="楷体" w:hAnsi="楷体" w:eastAsia="楷体"/>
                <w:color w:val="000000"/>
                <w:sz w:val="24"/>
                <w:szCs w:val="21"/>
              </w:rPr>
            </w:pPr>
          </w:p>
        </w:tc>
        <w:tc>
          <w:tcPr>
            <w:tcW w:w="900" w:type="dxa"/>
            <w:noWrap w:val="0"/>
            <w:vAlign w:val="top"/>
          </w:tcPr>
          <w:p>
            <w:pPr>
              <w:spacing w:line="360" w:lineRule="auto"/>
              <w:jc w:val="center"/>
              <w:rPr>
                <w:rFonts w:hint="eastAsia" w:ascii="楷体" w:hAnsi="楷体" w:eastAsia="楷体"/>
                <w:color w:val="000000"/>
                <w:sz w:val="24"/>
                <w:szCs w:val="21"/>
              </w:rPr>
            </w:pP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车间</w:t>
            </w:r>
          </w:p>
        </w:tc>
        <w:tc>
          <w:tcPr>
            <w:tcW w:w="2501"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2、各工序返工率</w:t>
            </w:r>
          </w:p>
        </w:tc>
        <w:tc>
          <w:tcPr>
            <w:tcW w:w="2047"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返工率为０</w:t>
            </w:r>
          </w:p>
        </w:tc>
        <w:tc>
          <w:tcPr>
            <w:tcW w:w="1984"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实际返工率：</w:t>
            </w:r>
          </w:p>
        </w:tc>
        <w:tc>
          <w:tcPr>
            <w:tcW w:w="3728" w:type="dxa"/>
            <w:noWrap w:val="0"/>
            <w:vAlign w:val="top"/>
          </w:tcPr>
          <w:p>
            <w:pPr>
              <w:spacing w:line="360" w:lineRule="auto"/>
              <w:jc w:val="center"/>
              <w:rPr>
                <w:rFonts w:hint="eastAsia" w:ascii="楷体" w:hAnsi="楷体" w:eastAsia="楷体"/>
                <w:color w:val="000000"/>
                <w:sz w:val="24"/>
                <w:szCs w:val="21"/>
              </w:rPr>
            </w:pPr>
          </w:p>
        </w:tc>
        <w:tc>
          <w:tcPr>
            <w:tcW w:w="900" w:type="dxa"/>
            <w:noWrap w:val="0"/>
            <w:vAlign w:val="top"/>
          </w:tcPr>
          <w:p>
            <w:pPr>
              <w:spacing w:line="360" w:lineRule="auto"/>
              <w:jc w:val="center"/>
              <w:rPr>
                <w:rFonts w:hint="eastAsia" w:ascii="楷体" w:hAnsi="楷体" w:eastAsia="楷体"/>
                <w:color w:val="000000"/>
                <w:sz w:val="24"/>
                <w:szCs w:val="21"/>
              </w:rPr>
            </w:pPr>
            <w:r>
              <w:rPr>
                <w:rFonts w:ascii="楷体" w:hAnsi="楷体" w:eastAsia="楷体"/>
                <w:color w:val="000000"/>
                <w:sz w:val="24"/>
                <w:szCs w:val="21"/>
              </w:rPr>
              <w:t>30%</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p>
        </w:tc>
        <w:tc>
          <w:tcPr>
            <w:tcW w:w="2501"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3、质量事故率</w:t>
            </w:r>
          </w:p>
        </w:tc>
        <w:tc>
          <w:tcPr>
            <w:tcW w:w="2047"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０ ，主要质量责任事故一次扣 ３ 分</w:t>
            </w:r>
          </w:p>
        </w:tc>
        <w:tc>
          <w:tcPr>
            <w:tcW w:w="1984"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实际质量事故数</w:t>
            </w:r>
          </w:p>
        </w:tc>
        <w:tc>
          <w:tcPr>
            <w:tcW w:w="3728" w:type="dxa"/>
            <w:noWrap w:val="0"/>
            <w:vAlign w:val="top"/>
          </w:tcPr>
          <w:p>
            <w:pPr>
              <w:spacing w:line="360" w:lineRule="auto"/>
              <w:jc w:val="center"/>
              <w:rPr>
                <w:rFonts w:hint="eastAsia" w:ascii="楷体" w:hAnsi="楷体" w:eastAsia="楷体"/>
                <w:color w:val="000000"/>
                <w:sz w:val="24"/>
                <w:szCs w:val="21"/>
              </w:rPr>
            </w:pPr>
            <w:r>
              <w:rPr>
                <w:rFonts w:ascii="楷体" w:hAnsi="楷体" w:eastAsia="楷体"/>
                <w:color w:val="000000"/>
                <w:sz w:val="24"/>
                <w:szCs w:val="21"/>
              </w:rPr>
              <w:t>5</w:t>
            </w:r>
            <w:r>
              <w:rPr>
                <w:rFonts w:hint="eastAsia" w:ascii="楷体" w:hAnsi="楷体" w:eastAsia="楷体"/>
                <w:color w:val="000000"/>
                <w:sz w:val="24"/>
                <w:szCs w:val="21"/>
              </w:rPr>
              <w:t>－ 实 际 事 故 次 数 × 3=（0、5为止）</w:t>
            </w:r>
          </w:p>
        </w:tc>
        <w:tc>
          <w:tcPr>
            <w:tcW w:w="900" w:type="dxa"/>
            <w:noWrap w:val="0"/>
            <w:vAlign w:val="top"/>
          </w:tcPr>
          <w:p>
            <w:pPr>
              <w:spacing w:line="360" w:lineRule="auto"/>
              <w:jc w:val="center"/>
              <w:rPr>
                <w:rFonts w:hint="eastAsia" w:ascii="楷体" w:hAnsi="楷体" w:eastAsia="楷体"/>
                <w:color w:val="000000"/>
                <w:sz w:val="24"/>
                <w:szCs w:val="21"/>
              </w:rPr>
            </w:pPr>
            <w:r>
              <w:rPr>
                <w:rFonts w:ascii="楷体" w:hAnsi="楷体" w:eastAsia="楷体"/>
                <w:color w:val="000000"/>
                <w:sz w:val="24"/>
                <w:szCs w:val="21"/>
              </w:rPr>
              <w:t>15%</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p>
        </w:tc>
        <w:tc>
          <w:tcPr>
            <w:tcW w:w="2501"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5、（生产能耗）产能利用率</w:t>
            </w:r>
          </w:p>
        </w:tc>
        <w:tc>
          <w:tcPr>
            <w:tcW w:w="2047"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电耗/kw 机组设备</w:t>
            </w:r>
          </w:p>
        </w:tc>
        <w:tc>
          <w:tcPr>
            <w:tcW w:w="1984" w:type="dxa"/>
            <w:noWrap w:val="0"/>
            <w:vAlign w:val="top"/>
          </w:tcPr>
          <w:p>
            <w:pPr>
              <w:spacing w:line="360" w:lineRule="auto"/>
              <w:jc w:val="center"/>
              <w:rPr>
                <w:rFonts w:hint="eastAsia" w:ascii="楷体" w:hAnsi="楷体" w:eastAsia="楷体"/>
                <w:color w:val="000000"/>
                <w:sz w:val="24"/>
                <w:szCs w:val="21"/>
              </w:rPr>
            </w:pPr>
          </w:p>
        </w:tc>
        <w:tc>
          <w:tcPr>
            <w:tcW w:w="3728" w:type="dxa"/>
            <w:noWrap w:val="0"/>
            <w:vAlign w:val="top"/>
          </w:tcPr>
          <w:p>
            <w:pPr>
              <w:spacing w:line="360" w:lineRule="auto"/>
              <w:jc w:val="center"/>
              <w:rPr>
                <w:rFonts w:hint="eastAsia" w:ascii="楷体" w:hAnsi="楷体" w:eastAsia="楷体"/>
                <w:color w:val="000000"/>
                <w:sz w:val="24"/>
                <w:szCs w:val="21"/>
              </w:rPr>
            </w:pPr>
          </w:p>
        </w:tc>
        <w:tc>
          <w:tcPr>
            <w:tcW w:w="900" w:type="dxa"/>
            <w:noWrap w:val="0"/>
            <w:vAlign w:val="top"/>
          </w:tcPr>
          <w:p>
            <w:pPr>
              <w:spacing w:line="360" w:lineRule="auto"/>
              <w:jc w:val="center"/>
              <w:rPr>
                <w:rFonts w:hint="eastAsia" w:ascii="楷体" w:hAnsi="楷体" w:eastAsia="楷体"/>
                <w:color w:val="000000"/>
                <w:sz w:val="24"/>
                <w:szCs w:val="21"/>
              </w:rPr>
            </w:pPr>
            <w:r>
              <w:rPr>
                <w:rFonts w:ascii="楷体" w:hAnsi="楷体" w:eastAsia="楷体"/>
                <w:color w:val="000000"/>
                <w:sz w:val="24"/>
                <w:szCs w:val="21"/>
              </w:rPr>
              <w:t>10%</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后勤</w:t>
            </w:r>
          </w:p>
        </w:tc>
        <w:tc>
          <w:tcPr>
            <w:tcW w:w="2501"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１、车辆费用控制率</w:t>
            </w:r>
          </w:p>
        </w:tc>
        <w:tc>
          <w:tcPr>
            <w:tcW w:w="2047"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0.75 元/公里</w:t>
            </w:r>
          </w:p>
        </w:tc>
        <w:tc>
          <w:tcPr>
            <w:tcW w:w="1984"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实际费用：</w:t>
            </w:r>
          </w:p>
        </w:tc>
        <w:tc>
          <w:tcPr>
            <w:tcW w:w="372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5×[1－（实际费用－0.75）×3/0.75]=</w:t>
            </w:r>
          </w:p>
        </w:tc>
        <w:tc>
          <w:tcPr>
            <w:tcW w:w="900"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25%</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采购部</w:t>
            </w:r>
          </w:p>
        </w:tc>
        <w:tc>
          <w:tcPr>
            <w:tcW w:w="2501"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2、采购成本控制</w:t>
            </w:r>
          </w:p>
        </w:tc>
        <w:tc>
          <w:tcPr>
            <w:tcW w:w="2047"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采购成本比去年同期下浮5%</w:t>
            </w:r>
          </w:p>
        </w:tc>
        <w:tc>
          <w:tcPr>
            <w:tcW w:w="1984"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实际控制比率</w:t>
            </w:r>
          </w:p>
        </w:tc>
        <w:tc>
          <w:tcPr>
            <w:tcW w:w="372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5×[1－（5%－实际下浮比率）×10]= （0、5 为止）</w:t>
            </w:r>
          </w:p>
        </w:tc>
        <w:tc>
          <w:tcPr>
            <w:tcW w:w="900"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30%</w:t>
            </w:r>
          </w:p>
          <w:p>
            <w:pPr>
              <w:spacing w:line="360" w:lineRule="auto"/>
              <w:jc w:val="center"/>
              <w:rPr>
                <w:rFonts w:ascii="楷体" w:hAnsi="楷体" w:eastAsia="楷体"/>
                <w:color w:val="000000"/>
                <w:sz w:val="24"/>
                <w:szCs w:val="21"/>
              </w:rPr>
            </w:pP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p>
        </w:tc>
        <w:tc>
          <w:tcPr>
            <w:tcW w:w="2501"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3、采购配件质量事故率</w:t>
            </w:r>
          </w:p>
        </w:tc>
        <w:tc>
          <w:tcPr>
            <w:tcW w:w="2047"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质量事故率为0</w:t>
            </w:r>
          </w:p>
        </w:tc>
        <w:tc>
          <w:tcPr>
            <w:tcW w:w="1984"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质量事故数：</w:t>
            </w:r>
          </w:p>
        </w:tc>
        <w:tc>
          <w:tcPr>
            <w:tcW w:w="3728" w:type="dxa"/>
            <w:noWrap w:val="0"/>
            <w:vAlign w:val="top"/>
          </w:tcPr>
          <w:p>
            <w:pPr>
              <w:spacing w:line="360" w:lineRule="auto"/>
              <w:jc w:val="center"/>
              <w:rPr>
                <w:rFonts w:hint="eastAsia" w:ascii="楷体" w:hAnsi="楷体" w:eastAsia="楷体"/>
                <w:color w:val="000000"/>
                <w:sz w:val="24"/>
                <w:szCs w:val="21"/>
              </w:rPr>
            </w:pPr>
            <w:r>
              <w:rPr>
                <w:rFonts w:ascii="楷体" w:hAnsi="楷体" w:eastAsia="楷体"/>
                <w:color w:val="000000"/>
                <w:sz w:val="24"/>
                <w:szCs w:val="21"/>
              </w:rPr>
              <w:t>5</w:t>
            </w:r>
            <w:r>
              <w:rPr>
                <w:rFonts w:hint="eastAsia" w:ascii="楷体" w:hAnsi="楷体" w:eastAsia="楷体"/>
                <w:color w:val="000000"/>
                <w:sz w:val="24"/>
                <w:szCs w:val="21"/>
              </w:rPr>
              <w:t>－ 质 量 事 故 数 ×2</w:t>
            </w:r>
            <w:r>
              <w:rPr>
                <w:rFonts w:ascii="楷体" w:hAnsi="楷体" w:eastAsia="楷体"/>
                <w:color w:val="000000"/>
                <w:sz w:val="24"/>
                <w:szCs w:val="21"/>
              </w:rPr>
              <w:t>=</w:t>
            </w:r>
            <w:r>
              <w:rPr>
                <w:rFonts w:hint="eastAsia" w:ascii="楷体" w:hAnsi="楷体" w:eastAsia="楷体"/>
                <w:color w:val="000000"/>
                <w:sz w:val="24"/>
                <w:szCs w:val="21"/>
              </w:rPr>
              <w:t>（到0为止）</w:t>
            </w:r>
          </w:p>
        </w:tc>
        <w:tc>
          <w:tcPr>
            <w:tcW w:w="900"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15%</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p>
        </w:tc>
        <w:tc>
          <w:tcPr>
            <w:tcW w:w="2501"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4、库存周期</w:t>
            </w:r>
          </w:p>
        </w:tc>
        <w:tc>
          <w:tcPr>
            <w:tcW w:w="2047"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周期≤30天</w:t>
            </w:r>
          </w:p>
        </w:tc>
        <w:tc>
          <w:tcPr>
            <w:tcW w:w="1984"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实际超出库存量</w:t>
            </w:r>
          </w:p>
        </w:tc>
        <w:tc>
          <w:tcPr>
            <w:tcW w:w="372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（1－超30天库存量×2/采购总量）×5=</w:t>
            </w:r>
          </w:p>
        </w:tc>
        <w:tc>
          <w:tcPr>
            <w:tcW w:w="900"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15%</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人力资源部</w:t>
            </w:r>
          </w:p>
        </w:tc>
        <w:tc>
          <w:tcPr>
            <w:tcW w:w="2501"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1、招聘与培训计划完成率</w:t>
            </w:r>
          </w:p>
        </w:tc>
        <w:tc>
          <w:tcPr>
            <w:tcW w:w="2047"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完成率100%（见年度计划）</w:t>
            </w:r>
          </w:p>
        </w:tc>
        <w:tc>
          <w:tcPr>
            <w:tcW w:w="1984"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实际完成率：</w:t>
            </w:r>
          </w:p>
        </w:tc>
        <w:tc>
          <w:tcPr>
            <w:tcW w:w="372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5×[1 － （ 100% － 实 际 完 成 率 ） × 5]= （到0、5为止）</w:t>
            </w:r>
          </w:p>
        </w:tc>
        <w:tc>
          <w:tcPr>
            <w:tcW w:w="900" w:type="dxa"/>
            <w:noWrap w:val="0"/>
            <w:vAlign w:val="top"/>
          </w:tcPr>
          <w:p>
            <w:pPr>
              <w:spacing w:line="360" w:lineRule="auto"/>
              <w:jc w:val="center"/>
              <w:rPr>
                <w:rFonts w:ascii="楷体" w:hAnsi="楷体" w:eastAsia="楷体"/>
                <w:color w:val="000000"/>
                <w:sz w:val="24"/>
                <w:szCs w:val="21"/>
              </w:rPr>
            </w:pPr>
            <w:r>
              <w:rPr>
                <w:rFonts w:hint="eastAsia" w:ascii="楷体" w:hAnsi="楷体" w:eastAsia="楷体"/>
                <w:color w:val="000000"/>
                <w:sz w:val="24"/>
                <w:szCs w:val="21"/>
              </w:rPr>
              <w:t>30%</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p>
        </w:tc>
        <w:tc>
          <w:tcPr>
            <w:tcW w:w="2501"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2、工资及时发放率</w:t>
            </w:r>
          </w:p>
        </w:tc>
        <w:tc>
          <w:tcPr>
            <w:tcW w:w="2047"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每月20号（与财务如何划分责任）晚一天扣0.5分</w:t>
            </w:r>
          </w:p>
        </w:tc>
        <w:tc>
          <w:tcPr>
            <w:tcW w:w="1984"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实际晚天数</w:t>
            </w:r>
          </w:p>
        </w:tc>
        <w:tc>
          <w:tcPr>
            <w:tcW w:w="3728" w:type="dxa"/>
            <w:noWrap w:val="0"/>
            <w:vAlign w:val="top"/>
          </w:tcPr>
          <w:p>
            <w:pPr>
              <w:spacing w:line="360" w:lineRule="auto"/>
              <w:jc w:val="center"/>
              <w:rPr>
                <w:rFonts w:hint="eastAsia" w:ascii="楷体" w:hAnsi="楷体" w:eastAsia="楷体"/>
                <w:color w:val="000000"/>
                <w:sz w:val="24"/>
                <w:szCs w:val="21"/>
              </w:rPr>
            </w:pPr>
            <w:r>
              <w:rPr>
                <w:rFonts w:ascii="楷体" w:hAnsi="楷体" w:eastAsia="楷体"/>
                <w:color w:val="000000"/>
                <w:sz w:val="24"/>
                <w:szCs w:val="21"/>
              </w:rPr>
              <w:t>5</w:t>
            </w:r>
            <w:r>
              <w:rPr>
                <w:rFonts w:hint="eastAsia" w:ascii="楷体" w:hAnsi="楷体" w:eastAsia="楷体"/>
                <w:color w:val="000000"/>
                <w:sz w:val="24"/>
                <w:szCs w:val="21"/>
              </w:rPr>
              <w:t>－</w:t>
            </w:r>
            <w:r>
              <w:rPr>
                <w:rFonts w:ascii="楷体" w:hAnsi="楷体" w:eastAsia="楷体"/>
                <w:color w:val="000000"/>
                <w:sz w:val="24"/>
                <w:szCs w:val="21"/>
              </w:rPr>
              <w:t>0.5×</w:t>
            </w:r>
            <w:r>
              <w:rPr>
                <w:rFonts w:hint="eastAsia" w:ascii="楷体" w:hAnsi="楷体" w:eastAsia="楷体"/>
                <w:color w:val="000000"/>
                <w:sz w:val="24"/>
                <w:szCs w:val="21"/>
              </w:rPr>
              <w:t>晚天数</w:t>
            </w:r>
            <w:r>
              <w:rPr>
                <w:rFonts w:ascii="楷体" w:hAnsi="楷体" w:eastAsia="楷体"/>
                <w:color w:val="000000"/>
                <w:sz w:val="24"/>
                <w:szCs w:val="21"/>
              </w:rPr>
              <w:t>=</w:t>
            </w:r>
            <w:r>
              <w:rPr>
                <w:rFonts w:hint="eastAsia" w:ascii="楷体" w:hAnsi="楷体" w:eastAsia="楷体"/>
                <w:color w:val="000000"/>
                <w:sz w:val="24"/>
                <w:szCs w:val="21"/>
              </w:rPr>
              <w:t>（到0为止）</w:t>
            </w:r>
          </w:p>
        </w:tc>
        <w:tc>
          <w:tcPr>
            <w:tcW w:w="900"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10%</w:t>
            </w:r>
          </w:p>
        </w:tc>
        <w:tc>
          <w:tcPr>
            <w:tcW w:w="1466" w:type="dxa"/>
            <w:noWrap w:val="0"/>
            <w:vAlign w:val="top"/>
          </w:tcPr>
          <w:p>
            <w:pPr>
              <w:spacing w:line="360" w:lineRule="auto"/>
              <w:jc w:val="center"/>
              <w:rPr>
                <w:rFonts w:hint="eastAsia" w:ascii="楷体" w:hAnsi="楷体" w:eastAsia="楷体"/>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48" w:type="dxa"/>
            <w:noWrap w:val="0"/>
            <w:vAlign w:val="top"/>
          </w:tcPr>
          <w:p>
            <w:pPr>
              <w:spacing w:line="360" w:lineRule="auto"/>
              <w:jc w:val="center"/>
              <w:rPr>
                <w:rFonts w:hint="eastAsia" w:ascii="楷体" w:hAnsi="楷体" w:eastAsia="楷体"/>
                <w:color w:val="000000"/>
                <w:sz w:val="24"/>
                <w:szCs w:val="21"/>
              </w:rPr>
            </w:pPr>
          </w:p>
        </w:tc>
        <w:tc>
          <w:tcPr>
            <w:tcW w:w="2501" w:type="dxa"/>
            <w:noWrap w:val="0"/>
            <w:vAlign w:val="top"/>
          </w:tcPr>
          <w:p>
            <w:pPr>
              <w:spacing w:line="360" w:lineRule="auto"/>
              <w:rPr>
                <w:rFonts w:hint="eastAsia" w:ascii="楷体" w:hAnsi="楷体" w:eastAsia="楷体"/>
                <w:color w:val="000000"/>
                <w:sz w:val="24"/>
                <w:szCs w:val="21"/>
              </w:rPr>
            </w:pPr>
            <w:r>
              <w:rPr>
                <w:rFonts w:hint="eastAsia" w:ascii="楷体" w:hAnsi="楷体" w:eastAsia="楷体"/>
                <w:color w:val="000000"/>
                <w:sz w:val="24"/>
                <w:szCs w:val="21"/>
              </w:rPr>
              <w:t>4、绩效考核完成率</w:t>
            </w:r>
          </w:p>
        </w:tc>
        <w:tc>
          <w:tcPr>
            <w:tcW w:w="2047"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每季首月20日结束上季考核晚一天扣0.5分</w:t>
            </w:r>
          </w:p>
        </w:tc>
        <w:tc>
          <w:tcPr>
            <w:tcW w:w="1984"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实际晚天数：</w:t>
            </w:r>
          </w:p>
        </w:tc>
        <w:tc>
          <w:tcPr>
            <w:tcW w:w="3728" w:type="dxa"/>
            <w:noWrap w:val="0"/>
            <w:vAlign w:val="top"/>
          </w:tcPr>
          <w:p>
            <w:pPr>
              <w:spacing w:line="360" w:lineRule="auto"/>
              <w:jc w:val="center"/>
              <w:rPr>
                <w:rFonts w:hint="eastAsia" w:ascii="楷体" w:hAnsi="楷体" w:eastAsia="楷体"/>
                <w:color w:val="000000"/>
                <w:sz w:val="24"/>
                <w:szCs w:val="21"/>
              </w:rPr>
            </w:pPr>
            <w:r>
              <w:rPr>
                <w:rFonts w:hint="eastAsia" w:ascii="楷体" w:hAnsi="楷体" w:eastAsia="楷体"/>
                <w:color w:val="000000"/>
                <w:sz w:val="24"/>
                <w:szCs w:val="21"/>
              </w:rPr>
              <w:t>5－0.5×天数 =</w:t>
            </w:r>
          </w:p>
        </w:tc>
        <w:tc>
          <w:tcPr>
            <w:tcW w:w="900" w:type="dxa"/>
            <w:noWrap w:val="0"/>
            <w:vAlign w:val="top"/>
          </w:tcPr>
          <w:p>
            <w:pPr>
              <w:spacing w:line="360" w:lineRule="auto"/>
              <w:jc w:val="center"/>
              <w:rPr>
                <w:rFonts w:ascii="楷体" w:hAnsi="楷体" w:eastAsia="楷体"/>
                <w:color w:val="000000"/>
                <w:sz w:val="24"/>
                <w:szCs w:val="21"/>
              </w:rPr>
            </w:pPr>
            <w:r>
              <w:rPr>
                <w:rFonts w:ascii="楷体" w:hAnsi="楷体" w:eastAsia="楷体"/>
                <w:color w:val="000000"/>
                <w:sz w:val="24"/>
                <w:szCs w:val="21"/>
              </w:rPr>
              <w:t>30%</w:t>
            </w:r>
          </w:p>
        </w:tc>
        <w:tc>
          <w:tcPr>
            <w:tcW w:w="1466" w:type="dxa"/>
            <w:noWrap w:val="0"/>
            <w:vAlign w:val="top"/>
          </w:tcPr>
          <w:p>
            <w:pPr>
              <w:spacing w:line="360" w:lineRule="auto"/>
              <w:jc w:val="center"/>
              <w:rPr>
                <w:rFonts w:hint="eastAsia" w:ascii="楷体" w:hAnsi="楷体" w:eastAsia="楷体"/>
                <w:color w:val="000000"/>
                <w:sz w:val="24"/>
                <w:szCs w:val="21"/>
              </w:rPr>
            </w:pPr>
          </w:p>
        </w:tc>
      </w:tr>
    </w:tbl>
    <w:p>
      <w:pPr>
        <w:spacing w:line="360" w:lineRule="auto"/>
        <w:ind w:firstLine="480" w:firstLineChars="200"/>
        <w:rPr>
          <w:rFonts w:ascii="楷体" w:hAnsi="楷体" w:eastAsia="楷体"/>
          <w:color w:val="000000"/>
          <w:sz w:val="24"/>
        </w:rPr>
      </w:pPr>
    </w:p>
    <w:sectPr>
      <w:pgSz w:w="16838" w:h="11906" w:orient="landscape"/>
      <w:pgMar w:top="850" w:right="1474" w:bottom="850" w:left="1474" w:header="57" w:footer="57"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00000000" w:usb1="00000000"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Arial">
    <w:panose1 w:val="020B0604020202090204"/>
    <w:charset w:val="00"/>
    <w:family w:val="swiss"/>
    <w:pitch w:val="default"/>
    <w:sig w:usb0="E0000AFF" w:usb1="00007843" w:usb2="00000001" w:usb3="00000000" w:csb0="400001BF" w:csb1="DFF70000"/>
  </w:font>
  <w:font w:name="楷体">
    <w:altName w:val="汉仪楷体KW"/>
    <w:panose1 w:val="02010609060101010101"/>
    <w:charset w:val="86"/>
    <w:family w:val="modern"/>
    <w:pitch w:val="default"/>
    <w:sig w:usb0="00000000" w:usb1="00000000" w:usb2="00000016" w:usb3="00000000" w:csb0="00040001" w:csb1="00000000"/>
  </w:font>
  <w:font w:name="汉仪楷体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汉仪中黑KW">
    <w:panose1 w:val="00020600040101010101"/>
    <w:charset w:val="86"/>
    <w:family w:val="auto"/>
    <w:pitch w:val="default"/>
    <w:sig w:usb0="A00002BF" w:usb1="18EF7CFA" w:usb2="00000016"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8"/>
      </w:rPr>
    </w:pPr>
    <w:r>
      <w:fldChar w:fldCharType="begin"/>
    </w:r>
    <w:r>
      <w:rPr>
        <w:rStyle w:val="8"/>
      </w:rPr>
      <w:instrText xml:space="preserve">PAGE  </w:instrText>
    </w:r>
    <w:r>
      <w:fldChar w:fldCharType="end"/>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val="1"/>
  <w:bordersDoNotSurroundHeader w:val="1"/>
  <w:bordersDoNotSurroundFooter w:val="1"/>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C65"/>
    <w:rsid w:val="0000120B"/>
    <w:rsid w:val="00022AA2"/>
    <w:rsid w:val="000804D0"/>
    <w:rsid w:val="000A0900"/>
    <w:rsid w:val="000C4F79"/>
    <w:rsid w:val="001405D8"/>
    <w:rsid w:val="001664AA"/>
    <w:rsid w:val="001D2E62"/>
    <w:rsid w:val="00210875"/>
    <w:rsid w:val="0024167A"/>
    <w:rsid w:val="00241A2C"/>
    <w:rsid w:val="00262095"/>
    <w:rsid w:val="00267CC9"/>
    <w:rsid w:val="00275F04"/>
    <w:rsid w:val="002A4E1B"/>
    <w:rsid w:val="002A6EF2"/>
    <w:rsid w:val="002C4091"/>
    <w:rsid w:val="002D7555"/>
    <w:rsid w:val="002E3B04"/>
    <w:rsid w:val="002F0F75"/>
    <w:rsid w:val="00304E1E"/>
    <w:rsid w:val="00307C5D"/>
    <w:rsid w:val="00314883"/>
    <w:rsid w:val="00315C67"/>
    <w:rsid w:val="0033107D"/>
    <w:rsid w:val="0033196F"/>
    <w:rsid w:val="00375696"/>
    <w:rsid w:val="00375E1A"/>
    <w:rsid w:val="00387450"/>
    <w:rsid w:val="00424973"/>
    <w:rsid w:val="00440245"/>
    <w:rsid w:val="0044274F"/>
    <w:rsid w:val="0044380F"/>
    <w:rsid w:val="00473D82"/>
    <w:rsid w:val="00475CC9"/>
    <w:rsid w:val="00515DC1"/>
    <w:rsid w:val="00531B96"/>
    <w:rsid w:val="005322DA"/>
    <w:rsid w:val="00537D10"/>
    <w:rsid w:val="00565C59"/>
    <w:rsid w:val="005C10CC"/>
    <w:rsid w:val="005D19E3"/>
    <w:rsid w:val="005E3B48"/>
    <w:rsid w:val="00601BED"/>
    <w:rsid w:val="00622DE1"/>
    <w:rsid w:val="00643FE9"/>
    <w:rsid w:val="006578D5"/>
    <w:rsid w:val="0067499D"/>
    <w:rsid w:val="006B008F"/>
    <w:rsid w:val="006B5C9A"/>
    <w:rsid w:val="006F7C65"/>
    <w:rsid w:val="00707E69"/>
    <w:rsid w:val="00744700"/>
    <w:rsid w:val="007449CD"/>
    <w:rsid w:val="00750C05"/>
    <w:rsid w:val="007A06E7"/>
    <w:rsid w:val="007A3018"/>
    <w:rsid w:val="007B2A46"/>
    <w:rsid w:val="007D16A3"/>
    <w:rsid w:val="007D543A"/>
    <w:rsid w:val="007E1C86"/>
    <w:rsid w:val="00806E08"/>
    <w:rsid w:val="008234DD"/>
    <w:rsid w:val="00863807"/>
    <w:rsid w:val="00881BA6"/>
    <w:rsid w:val="00897F32"/>
    <w:rsid w:val="008D3D9B"/>
    <w:rsid w:val="008E323A"/>
    <w:rsid w:val="008E4BEE"/>
    <w:rsid w:val="008F435B"/>
    <w:rsid w:val="00910D07"/>
    <w:rsid w:val="00952D13"/>
    <w:rsid w:val="0095764A"/>
    <w:rsid w:val="00970F28"/>
    <w:rsid w:val="009A1EE7"/>
    <w:rsid w:val="009B547C"/>
    <w:rsid w:val="009E49C9"/>
    <w:rsid w:val="009E4BA3"/>
    <w:rsid w:val="00A10800"/>
    <w:rsid w:val="00A3012D"/>
    <w:rsid w:val="00A67390"/>
    <w:rsid w:val="00AA02E8"/>
    <w:rsid w:val="00AB6F50"/>
    <w:rsid w:val="00AC4558"/>
    <w:rsid w:val="00B06CD5"/>
    <w:rsid w:val="00B41291"/>
    <w:rsid w:val="00B57946"/>
    <w:rsid w:val="00B61660"/>
    <w:rsid w:val="00B70395"/>
    <w:rsid w:val="00B82148"/>
    <w:rsid w:val="00B935C3"/>
    <w:rsid w:val="00BE4F4C"/>
    <w:rsid w:val="00C009AC"/>
    <w:rsid w:val="00C04693"/>
    <w:rsid w:val="00C056F1"/>
    <w:rsid w:val="00C11E4D"/>
    <w:rsid w:val="00C20E35"/>
    <w:rsid w:val="00C30E4C"/>
    <w:rsid w:val="00C52867"/>
    <w:rsid w:val="00C53C01"/>
    <w:rsid w:val="00C67748"/>
    <w:rsid w:val="00C70BBD"/>
    <w:rsid w:val="00C7567E"/>
    <w:rsid w:val="00C9203B"/>
    <w:rsid w:val="00CA2BDA"/>
    <w:rsid w:val="00CB2D3C"/>
    <w:rsid w:val="00D12502"/>
    <w:rsid w:val="00D16011"/>
    <w:rsid w:val="00D26920"/>
    <w:rsid w:val="00D46A98"/>
    <w:rsid w:val="00D532FC"/>
    <w:rsid w:val="00D57D5D"/>
    <w:rsid w:val="00D7506F"/>
    <w:rsid w:val="00D76ED2"/>
    <w:rsid w:val="00D8260C"/>
    <w:rsid w:val="00D83C8D"/>
    <w:rsid w:val="00D976EE"/>
    <w:rsid w:val="00DA5CE6"/>
    <w:rsid w:val="00DB4471"/>
    <w:rsid w:val="00E112A1"/>
    <w:rsid w:val="00E236B8"/>
    <w:rsid w:val="00E74D72"/>
    <w:rsid w:val="00EA0B55"/>
    <w:rsid w:val="00EC3A6F"/>
    <w:rsid w:val="00EC4EF5"/>
    <w:rsid w:val="00ED194C"/>
    <w:rsid w:val="00EE61E1"/>
    <w:rsid w:val="00F11510"/>
    <w:rsid w:val="00F11C15"/>
    <w:rsid w:val="00F26DF8"/>
    <w:rsid w:val="00F34623"/>
    <w:rsid w:val="00F47DFF"/>
    <w:rsid w:val="00F526F2"/>
    <w:rsid w:val="00F548FA"/>
    <w:rsid w:val="00F67A59"/>
    <w:rsid w:val="00F7452D"/>
    <w:rsid w:val="00F96588"/>
    <w:rsid w:val="0C9B7D70"/>
    <w:rsid w:val="774B0E6B"/>
    <w:rsid w:val="78D041BD"/>
    <w:rsid w:val="ACFF2AC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character" w:default="1" w:styleId="7">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4">
    <w:name w:val="Document Map"/>
    <w:basedOn w:val="1"/>
    <w:semiHidden/>
    <w:uiPriority w:val="0"/>
    <w:pPr>
      <w:shd w:val="clear" w:color="auto" w:fill="000080"/>
    </w:pPr>
  </w:style>
  <w:style w:type="paragraph" w:styleId="5">
    <w:name w:val="footer"/>
    <w:basedOn w:val="1"/>
    <w:uiPriority w:val="0"/>
    <w:pPr>
      <w:tabs>
        <w:tab w:val="center" w:pos="4153"/>
        <w:tab w:val="right" w:pos="8306"/>
      </w:tabs>
      <w:snapToGrid w:val="0"/>
      <w:jc w:val="left"/>
    </w:pPr>
    <w:rPr>
      <w:sz w:val="18"/>
      <w:szCs w:val="18"/>
    </w:rPr>
  </w:style>
  <w:style w:type="paragraph" w:styleId="6">
    <w:name w:val="header"/>
    <w:basedOn w:val="1"/>
    <w:uiPriority w:val="0"/>
    <w:pPr>
      <w:widowControl/>
      <w:tabs>
        <w:tab w:val="center" w:pos="4320"/>
        <w:tab w:val="right" w:pos="8640"/>
      </w:tabs>
      <w:jc w:val="left"/>
    </w:pPr>
    <w:rPr>
      <w:kern w:val="0"/>
      <w:sz w:val="24"/>
      <w:szCs w:val="20"/>
    </w:rPr>
  </w:style>
  <w:style w:type="character" w:styleId="8">
    <w:name w:val="page number"/>
    <w:basedOn w:val="7"/>
    <w:uiPriority w:val="0"/>
  </w:style>
  <w:style w:type="table" w:styleId="10">
    <w:name w:val="Table Grid"/>
    <w:basedOn w:val="9"/>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ljzx</Company>
  <Pages>44</Pages>
  <Words>3396</Words>
  <Characters>19358</Characters>
  <Lines>161</Lines>
  <Paragraphs>45</Paragraphs>
  <ScaleCrop>false</ScaleCrop>
  <LinksUpToDate>false</LinksUpToDate>
  <CharactersWithSpaces>22709</CharactersWithSpaces>
  <Application>WPS Office_3.6.0.5672_F1E327BC-269C-435d-A152-05C5408002CA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2019-04-10T09:50:00Z</dcterms:created>
  <dc:creator>Administrator</dc:creator>
  <cp:lastModifiedBy>dae</cp:lastModifiedBy>
  <cp:lastPrinted>2004-02-20T15:37:00Z</cp:lastPrinted>
  <dcterms:modified xsi:type="dcterms:W3CDTF">2022-03-02T18:10:13Z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2052-3.6.0.5672</vt:lpwstr>
  </property>
</Properties>
</file>