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984"/>
        <w:rPr>
          <w:lang w:val="en-US" w:eastAsia="en-US"/>
        </w:rPr>
      </w:pPr>
      <w:r>
        <w:rPr>
          <w:lang w:val="en-US" w:eastAsia="en-US"/>
        </w:rPr>
        <w:drawing>
          <wp:anchor behindDoc="0" distT="0" distB="0" distL="114935" distR="114935" simplePos="0" locked="0" layoutInCell="0" allowOverlap="1" relativeHeight="10">
            <wp:simplePos x="0" y="0"/>
            <wp:positionH relativeFrom="column">
              <wp:posOffset>-466725</wp:posOffset>
            </wp:positionH>
            <wp:positionV relativeFrom="paragraph">
              <wp:posOffset>-200025</wp:posOffset>
            </wp:positionV>
            <wp:extent cx="920115" cy="896620"/>
            <wp:effectExtent l="0" t="0" r="0" b="0"/>
            <wp:wrapTight wrapText="bothSides">
              <wp:wrapPolygon edited="0">
                <wp:start x="1774" y="0"/>
                <wp:lineTo x="-305" y="2246"/>
                <wp:lineTo x="-305" y="21351"/>
                <wp:lineTo x="21600" y="21351"/>
                <wp:lineTo x="21600" y="2996"/>
                <wp:lineTo x="21231" y="1497"/>
                <wp:lineTo x="19763" y="0"/>
                <wp:lineTo x="1774" y="0"/>
              </wp:wrapPolygon>
            </wp:wrapTight>
            <wp:docPr id="1"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title=""/>
                    <pic:cNvPicPr>
                      <a:picLocks noChangeAspect="1" noChangeArrowheads="1"/>
                    </pic:cNvPicPr>
                  </pic:nvPicPr>
                  <pic:blipFill>
                    <a:blip r:embed="rId2"/>
                    <a:srcRect l="-11" t="-11" r="-11" b="-11"/>
                    <a:stretch>
                      <a:fillRect/>
                    </a:stretch>
                  </pic:blipFill>
                  <pic:spPr bwMode="auto">
                    <a:xfrm>
                      <a:off x="0" y="0"/>
                      <a:ext cx="920115" cy="896620"/>
                    </a:xfrm>
                    <a:prstGeom prst="rect">
                      <a:avLst/>
                    </a:prstGeom>
                  </pic:spPr>
                </pic:pic>
              </a:graphicData>
            </a:graphic>
          </wp:anchor>
        </w:drawing>
      </w:r>
      <w:r>
        <mc:AlternateContent>
          <mc:Choice Requires="wps">
            <w:drawing>
              <wp:anchor behindDoc="0" distT="0" distB="0" distL="114935" distR="97790" simplePos="0" locked="0" layoutInCell="0" allowOverlap="1" relativeHeight="8">
                <wp:simplePos x="0" y="0"/>
                <wp:positionH relativeFrom="column">
                  <wp:posOffset>-2095500</wp:posOffset>
                </wp:positionH>
                <wp:positionV relativeFrom="paragraph">
                  <wp:posOffset>-1162050</wp:posOffset>
                </wp:positionV>
                <wp:extent cx="7560310" cy="2724150"/>
                <wp:effectExtent l="0" t="0" r="17145" b="17145"/>
                <wp:wrapNone/>
                <wp:docPr id="2" name="Frame1"/>
                <a:graphic xmlns:a="http://schemas.openxmlformats.org/drawingml/2006/main">
                  <a:graphicData uri="http://schemas.microsoft.com/office/word/2010/wordprocessingShape">
                    <wps:wsp>
                      <wps:cNvSpPr txBox="1"/>
                      <wps:spPr>
                        <a:xfrm>
                          <a:off x="0" y="0"/>
                          <a:ext cx="7560310" cy="2724150"/>
                        </a:xfrm>
                        <a:prstGeom prst="rect"/>
                        <a:solidFill>
                          <a:srgbClr val="4F81BD"/>
                        </a:solidFill>
                        <a:ln w="38100">
                          <a:solidFill>
                            <a:srgbClr val="F2F2F2"/>
                          </a:solidFill>
                        </a:ln>
                        <a:effectLst>
                          <a:outerShdw dist="24130" dir="2700000">
                            <a:srgbClr val="243F60"/>
                          </a:outerShdw>
                        </a:effectLst>
                      </wps:spPr>
                      <wps:txbx>
                        <w:txbxContent>
                          <w:p>
                            <w:pPr>
                              <w:pStyle w:val="Normal"/>
                              <w:ind w:firstLine="2521"/>
                              <w:rPr>
                                <w:rFonts w:ascii="微软雅黑" w:hAnsi="微软雅黑" w:eastAsia="微软雅黑" w:cs="微软雅黑"/>
                                <w:b/>
                                <w:b/>
                                <w:sz w:val="72"/>
                                <w:szCs w:val="72"/>
                              </w:rPr>
                            </w:pPr>
                            <w:r>
                              <w:rPr>
                                <w:rFonts w:eastAsia="微软雅黑" w:cs="微软雅黑" w:ascii="微软雅黑" w:hAnsi="微软雅黑"/>
                                <w:b/>
                                <w:sz w:val="72"/>
                                <w:szCs w:val="72"/>
                              </w:rPr>
                            </w:r>
                          </w:p>
                          <w:p>
                            <w:pPr>
                              <w:pStyle w:val="Normal"/>
                              <w:ind w:firstLine="2801"/>
                              <w:rPr>
                                <w:rFonts w:ascii="微软雅黑" w:hAnsi="微软雅黑" w:eastAsia="微软雅黑" w:cs="微软雅黑"/>
                                <w:b/>
                                <w:b/>
                                <w:color w:val="FFFFFF"/>
                                <w:sz w:val="80"/>
                                <w:szCs w:val="80"/>
                              </w:rPr>
                            </w:pPr>
                            <w:r>
                              <w:rPr>
                                <w:rFonts w:eastAsia="微软雅黑" w:cs="微软雅黑" w:ascii="微软雅黑" w:hAnsi="微软雅黑"/>
                                <w:b/>
                                <w:color w:val="FFFFFF"/>
                                <w:sz w:val="80"/>
                                <w:szCs w:val="80"/>
                              </w:rPr>
                              <w:t xml:space="preserve"> </w:t>
                            </w:r>
                            <w:r>
                              <w:rPr>
                                <w:rFonts w:ascii="微软雅黑" w:hAnsi="微软雅黑" w:cs="微软雅黑" w:eastAsia="微软雅黑"/>
                                <w:b/>
                                <w:color w:val="FFFFFF"/>
                                <w:sz w:val="80"/>
                                <w:szCs w:val="80"/>
                              </w:rPr>
                              <w:t>人力资源管理实用工具</w:t>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txbxContent>
                      </wps:txbx>
                      <wps:bodyPr anchor="t" lIns="91440" tIns="45720" rIns="91440" bIns="45720">
                        <a:noAutofit/>
                      </wps:bodyPr>
                    </wps:wsp>
                  </a:graphicData>
                </a:graphic>
              </wp:anchor>
            </w:drawing>
          </mc:Choice>
          <mc:Fallback>
            <w:pict>
              <v:rect fillcolor="#4F81BD" strokecolor="#F2F2F2" strokeweight="3pt" style="position:absolute;rotation:0;width:595.3pt;height:214.5pt;mso-wrap-distance-left:9.05pt;mso-wrap-distance-right:9.05pt;mso-wrap-distance-top:0pt;mso-wrap-distance-bottom:0pt;margin-top:-91.5pt;mso-position-vertical-relative:text;margin-left:-165pt;mso-position-horizontal-relative:text">
                <v:shadow on="t" color="#243F60" offset="1.35pt,1.35pt"/>
                <v:textbox>
                  <w:txbxContent>
                    <w:p>
                      <w:pPr>
                        <w:pStyle w:val="Normal"/>
                        <w:ind w:firstLine="2521"/>
                        <w:rPr>
                          <w:rFonts w:ascii="微软雅黑" w:hAnsi="微软雅黑" w:eastAsia="微软雅黑" w:cs="微软雅黑"/>
                          <w:b/>
                          <w:b/>
                          <w:sz w:val="72"/>
                          <w:szCs w:val="72"/>
                        </w:rPr>
                      </w:pPr>
                      <w:r>
                        <w:rPr>
                          <w:rFonts w:eastAsia="微软雅黑" w:cs="微软雅黑" w:ascii="微软雅黑" w:hAnsi="微软雅黑"/>
                          <w:b/>
                          <w:sz w:val="72"/>
                          <w:szCs w:val="72"/>
                        </w:rPr>
                      </w:r>
                    </w:p>
                    <w:p>
                      <w:pPr>
                        <w:pStyle w:val="Normal"/>
                        <w:ind w:firstLine="2801"/>
                        <w:rPr>
                          <w:rFonts w:ascii="微软雅黑" w:hAnsi="微软雅黑" w:eastAsia="微软雅黑" w:cs="微软雅黑"/>
                          <w:b/>
                          <w:b/>
                          <w:color w:val="FFFFFF"/>
                          <w:sz w:val="80"/>
                          <w:szCs w:val="80"/>
                        </w:rPr>
                      </w:pPr>
                      <w:r>
                        <w:rPr>
                          <w:rFonts w:eastAsia="微软雅黑" w:cs="微软雅黑" w:ascii="微软雅黑" w:hAnsi="微软雅黑"/>
                          <w:b/>
                          <w:color w:val="FFFFFF"/>
                          <w:sz w:val="80"/>
                          <w:szCs w:val="80"/>
                        </w:rPr>
                        <w:t xml:space="preserve"> </w:t>
                      </w:r>
                      <w:r>
                        <w:rPr>
                          <w:rFonts w:ascii="微软雅黑" w:hAnsi="微软雅黑" w:cs="微软雅黑" w:eastAsia="微软雅黑"/>
                          <w:b/>
                          <w:color w:val="FFFFFF"/>
                          <w:sz w:val="80"/>
                          <w:szCs w:val="80"/>
                        </w:rPr>
                        <w:t>人力资源管理实用工具</w:t>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ind w:firstLine="3362"/>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p>
                      <w:pPr>
                        <w:pStyle w:val="Normal"/>
                        <w:rPr>
                          <w:rFonts w:ascii="微软雅黑" w:hAnsi="微软雅黑" w:eastAsia="微软雅黑" w:cs="微软雅黑"/>
                          <w:b/>
                          <w:b/>
                          <w:color w:val="FFFFFF"/>
                          <w:sz w:val="96"/>
                          <w:szCs w:val="96"/>
                        </w:rPr>
                      </w:pPr>
                      <w:r>
                        <w:rPr>
                          <w:rFonts w:eastAsia="微软雅黑" w:cs="微软雅黑" w:ascii="微软雅黑" w:hAnsi="微软雅黑"/>
                          <w:b/>
                          <w:color w:val="FFFFFF"/>
                          <w:sz w:val="96"/>
                          <w:szCs w:val="96"/>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微软雅黑" w:hAnsi="微软雅黑" w:eastAsia="微软雅黑" w:cs="微软雅黑"/>
          <w:szCs w:val="21"/>
          <w:lang w:val="en-US" w:eastAsia="en-US"/>
        </w:rPr>
      </w:pPr>
      <w:r>
        <w:rPr>
          <w:rFonts w:eastAsia="微软雅黑" w:cs="微软雅黑" w:ascii="微软雅黑" w:hAnsi="微软雅黑"/>
          <w:szCs w:val="21"/>
          <w:lang w:val="en-US" w:eastAsia="en-US"/>
        </w:rPr>
        <mc:AlternateContent>
          <mc:Choice Requires="wps">
            <w:drawing>
              <wp:anchor behindDoc="0" distT="0" distB="0" distL="114935" distR="114935" simplePos="0" locked="0" layoutInCell="0" allowOverlap="1" relativeHeight="7">
                <wp:simplePos x="0" y="0"/>
                <wp:positionH relativeFrom="column">
                  <wp:posOffset>167640</wp:posOffset>
                </wp:positionH>
                <wp:positionV relativeFrom="paragraph">
                  <wp:posOffset>4601845</wp:posOffset>
                </wp:positionV>
                <wp:extent cx="1852930" cy="1562735"/>
                <wp:effectExtent l="0" t="0" r="0" b="0"/>
                <wp:wrapNone/>
                <wp:docPr id="3" name="自选图形 11"/>
                <a:graphic xmlns:a="http://schemas.openxmlformats.org/drawingml/2006/main">
                  <a:graphicData uri="http://schemas.microsoft.com/office/word/2010/wordprocessingShape">
                    <wps:wsp>
                      <wps:cNvSpPr/>
                      <wps:spPr>
                        <a:xfrm rot="13552800">
                          <a:off x="0" y="0"/>
                          <a:ext cx="1852200" cy="1562040"/>
                        </a:xfrm>
                        <a:prstGeom prst="flowChartInputOutput">
                          <a:avLst/>
                        </a:prstGeom>
                        <a:solidFill>
                          <a:srgbClr val="404040"/>
                        </a:solidFill>
                        <a:ln w="0">
                          <a:noFill/>
                        </a:ln>
                      </wps:spPr>
                      <wps:style>
                        <a:lnRef idx="0"/>
                        <a:fillRef idx="0"/>
                        <a:effectRef idx="0"/>
                        <a:fontRef idx="minor"/>
                      </wps:style>
                      <wps:txb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atLeast" w:line="240"/>
                              <w:jc w:val="center"/>
                              <w:rPr/>
                            </w:pPr>
                            <w:r>
                              <w:rPr>
                                <w:kern w:val="2"/>
                                <w:sz w:val="36"/>
                                <w:szCs w:val="36"/>
                                <w:b/>
                                <w:rFonts w:ascii="微软雅黑" w:hAnsi="微软雅黑" w:eastAsia="微软雅黑" w:cs="微软雅黑"/>
                                <w:color w:val="FFFFFF"/>
                                <w:lang w:val="en-US" w:eastAsia="zh-CN" w:bidi="ar-SA"/>
                              </w:rPr>
                              <w:t>销售团队管理</w:t>
                            </w:r>
                          </w:p>
                          <w:p>
                            <w:pPr>
                              <w:overflowPunct w:val="false"/>
                              <w:bidi w:val="0"/>
                              <w:spacing w:lineRule="atLeast" w:line="240"/>
                              <w:jc w:val="center"/>
                              <w:rPr/>
                            </w:pPr>
                            <w:r>
                              <w:rPr>
                                <w:kern w:val="2"/>
                                <w:sz w:val="36"/>
                                <w:szCs w:val="36"/>
                                <w:b/>
                                <w:rFonts w:ascii="微软雅黑" w:hAnsi="微软雅黑" w:eastAsia="微软雅黑" w:cs="微软雅黑"/>
                                <w:color w:val="FFFFFF"/>
                                <w:lang w:val="en-US" w:eastAsia="zh-CN" w:bidi="ar-SA"/>
                              </w:rPr>
                              <w:t>（工具）</w:t>
                            </w:r>
                          </w:p>
                        </w:txbxContent>
                      </wps:txbx>
                      <wps:bodyPr rot="8047200">
                        <a:noAutofit/>
                      </wps:bodyPr>
                    </wps:wsp>
                  </a:graphicData>
                </a:graphic>
              </wp:anchor>
            </w:drawing>
          </mc:Choice>
          <mc:Fallback>
            <w:pict>
              <v:shapetype id="shapetype_111" coordsize="21600,21600" o:spt="111" path="m,21600l4320,l21600,l17280,21600xe">
                <v:stroke joinstyle="miter"/>
                <v:formulas>
                  <v:f eqn="prod width 2 5"/>
                  <v:f eqn="prod width 3 5"/>
                  <v:f eqn="prod width 4 5"/>
                  <v:f eqn="prod width 9 10"/>
                </v:formulas>
                <v:path gradientshapeok="t" o:connecttype="rect" textboxrect="4320,0,@2,21600"/>
              </v:shapetype>
              <v:shape id="shape_0" ID="自选图形 11" fillcolor="#404040" stroked="f" style="position:absolute;margin-left:13.15pt;margin-top:362.35pt;width:145.8pt;height:122.95pt;mso-wrap-style:square;v-text-anchor:top;rotation:226" type="shapetype_111">
                <v:textbo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atLeast" w:line="240"/>
                        <w:jc w:val="center"/>
                        <w:rPr/>
                      </w:pPr>
                      <w:r>
                        <w:rPr>
                          <w:kern w:val="2"/>
                          <w:sz w:val="36"/>
                          <w:szCs w:val="36"/>
                          <w:b/>
                          <w:rFonts w:ascii="微软雅黑" w:hAnsi="微软雅黑" w:eastAsia="微软雅黑" w:cs="微软雅黑"/>
                          <w:color w:val="FFFFFF"/>
                          <w:lang w:val="en-US" w:eastAsia="zh-CN" w:bidi="ar-SA"/>
                        </w:rPr>
                        <w:t>销售团队管理</w:t>
                      </w:r>
                    </w:p>
                    <w:p>
                      <w:pPr>
                        <w:overflowPunct w:val="false"/>
                        <w:bidi w:val="0"/>
                        <w:spacing w:lineRule="atLeast" w:line="240"/>
                        <w:jc w:val="center"/>
                        <w:rPr/>
                      </w:pPr>
                      <w:r>
                        <w:rPr>
                          <w:kern w:val="2"/>
                          <w:sz w:val="36"/>
                          <w:szCs w:val="36"/>
                          <w:b/>
                          <w:rFonts w:ascii="微软雅黑" w:hAnsi="微软雅黑" w:eastAsia="微软雅黑" w:cs="微软雅黑"/>
                          <w:color w:val="FFFFFF"/>
                          <w:lang w:val="en-US" w:eastAsia="zh-CN" w:bidi="ar-SA"/>
                        </w:rPr>
                        <w:t>（工具）</w:t>
                      </w:r>
                    </w:p>
                  </w:txbxContent>
                </v:textbox>
                <v:fill o:detectmouseclick="t" type="solid" color2="#bfbfbf"/>
                <v:stroke color="#3465a4" joinstyle="round" endcap="flat"/>
                <w10:wrap type="none"/>
              </v:shape>
            </w:pict>
          </mc:Fallback>
        </mc:AlternateContent>
        <mc:AlternateContent>
          <mc:Choice Requires="wps">
            <w:drawing>
              <wp:anchor behindDoc="0" distT="6350" distB="6350" distL="121285" distR="121285" simplePos="0" locked="0" layoutInCell="0" allowOverlap="1" relativeHeight="9">
                <wp:simplePos x="0" y="0"/>
                <wp:positionH relativeFrom="column">
                  <wp:posOffset>437515</wp:posOffset>
                </wp:positionH>
                <wp:positionV relativeFrom="paragraph">
                  <wp:posOffset>-889635</wp:posOffset>
                </wp:positionV>
                <wp:extent cx="7153910" cy="11897360"/>
                <wp:effectExtent l="0" t="0" r="0" b="0"/>
                <wp:wrapNone/>
                <wp:docPr id="4" name="自选图形 8"/>
                <a:graphic xmlns:a="http://schemas.openxmlformats.org/drawingml/2006/main">
                  <a:graphicData uri="http://schemas.microsoft.com/office/word/2010/wordprocessingShape">
                    <wps:wsp>
                      <wps:cNvSpPr/>
                      <wps:spPr>
                        <a:xfrm rot="5400000">
                          <a:off x="0" y="0"/>
                          <a:ext cx="7153200" cy="11896560"/>
                        </a:xfrm>
                        <a:custGeom>
                          <a:avLst/>
                          <a:gdLst/>
                          <a:ahLst/>
                          <a:rect l="l" t="t" r="r" b="b"/>
                          <a:pathLst>
                            <a:path w="21600" h="21600">
                              <a:moveTo>
                                <a:pt x="0" y="0"/>
                              </a:moveTo>
                              <a:lnTo>
                                <a:pt x="21600" y="21600"/>
                              </a:lnTo>
                              <a:lnTo>
                                <a:pt x="0" y="21600"/>
                              </a:lnTo>
                              <a:lnTo>
                                <a:pt x="0" y="0"/>
                              </a:lnTo>
                              <a:close/>
                            </a:path>
                          </a:pathLst>
                        </a:custGeom>
                        <a:gradFill rotWithShape="0">
                          <a:gsLst>
                            <a:gs pos="0">
                              <a:srgbClr val="ffffff"/>
                            </a:gs>
                            <a:gs pos="100000">
                              <a:srgbClr val="8db3e2"/>
                            </a:gs>
                          </a:gsLst>
                          <a:lin ang="5400000"/>
                        </a:gradFill>
                        <a:ln w="12600">
                          <a:solidFill>
                            <a:srgbClr val="b2a1c7"/>
                          </a:solidFill>
                          <a:miter/>
                        </a:ln>
                        <a:effectLst>
                          <a:outerShdw dist="25630" dir="3633274" blurRad="0">
                            <a:srgbClr val="3f3151">
                              <a:alpha val="50000"/>
                            </a:srgbClr>
                          </a:outerShdw>
                        </a:effectLst>
                      </wps:spPr>
                      <wps:style>
                        <a:lnRef idx="0"/>
                        <a:fillRef idx="0"/>
                        <a:effectRef idx="0"/>
                        <a:fontRef idx="minor"/>
                      </wps:style>
                      <wps:txbx>
                        <w:txbxContent>
                          <w:p>
                            <w:pPr>
                              <w:overflowPunct w:val="false"/>
                              <w:bidi w:val="0"/>
                              <w:jc w:val="both"/>
                              <w:rPr/>
                            </w:pPr>
                            <w:r>
                              <w:rPr>
                                <w:sz w:val="52"/>
                                <w:b/>
                                <w:kern w:val="2"/>
                                <w:szCs w:val="52"/>
                                <w:rFonts w:ascii="微软雅黑" w:hAnsi="微软雅黑" w:eastAsia="微软雅黑" w:cs="微软雅黑"/>
                                <w:color w:val="auto"/>
                                <w:lang w:val="en-US" w:eastAsia="zh-CN" w:bidi="ar-SA"/>
                              </w:rPr>
                              <w:t xml:space="preserve">   </w:t>
                            </w:r>
                          </w:p>
                        </w:txbxContent>
                      </wps:txbx>
                      <wps:bodyPr rot="16200000">
                        <a:noAutofit/>
                      </wps:bodyPr>
                    </wps:wsp>
                  </a:graphicData>
                </a:graphic>
              </wp:anchor>
            </w:drawing>
          </mc:Choice>
          <mc:Fallback>
            <w:pict>
              <v:shapetype id="shapetype_6" coordsize="21600,21600" o:spt="6" path="m,21600l,l21600,21600xe">
                <v:stroke joinstyle="miter"/>
                <v:formulas>
                  <v:f eqn="prod height 7 12"/>
                  <v:f eqn="prod width 7 12"/>
                  <v:f eqn="prod height 11 12"/>
                </v:formulas>
                <v:path gradientshapeok="t" o:connecttype="rect" textboxrect="1800,@0,@1,@2"/>
              </v:shapetype>
              <v:shape id="shape_0" ID="自选图形 8" fillcolor="white" stroked="t" style="position:absolute;margin-left:34.45pt;margin-top:-70.05pt;width:563.2pt;height:936.7pt;mso-wrap-style:square;v-text-anchor:top;rotation:90" type="shapetype_6">
                <v:textbox>
                  <w:txbxContent>
                    <w:p>
                      <w:pPr>
                        <w:overflowPunct w:val="false"/>
                        <w:bidi w:val="0"/>
                        <w:jc w:val="both"/>
                        <w:rPr/>
                      </w:pPr>
                      <w:r>
                        <w:rPr>
                          <w:sz w:val="52"/>
                          <w:b/>
                          <w:kern w:val="2"/>
                          <w:szCs w:val="52"/>
                          <w:rFonts w:ascii="微软雅黑" w:hAnsi="微软雅黑" w:eastAsia="微软雅黑" w:cs="微软雅黑"/>
                          <w:color w:val="auto"/>
                          <w:lang w:val="en-US" w:eastAsia="zh-CN" w:bidi="ar-SA"/>
                        </w:rPr>
                        <w:t xml:space="preserve">   </w:t>
                      </w:r>
                    </w:p>
                  </w:txbxContent>
                </v:textbox>
                <v:fill o:detectmouseclick="t" color2="#8db3e2"/>
                <v:stroke color="#b2a1c7" weight="12600" joinstyle="miter" endcap="flat"/>
                <v:shadow on="t" obscured="f" color="#3f3151"/>
                <w10:wrap type="none"/>
              </v:shape>
            </w:pict>
          </mc:Fallback>
        </mc:AlternateContent>
        <w:pict>
          <v:shapetype id="shapetype_172" coordsize="21600,21600" o:spt="172" adj="12000" path="m0@1l21600,em,21600l21600@2e">
            <v:stroke joinstyle="miter"/>
            <v:formulas>
              <v:f eqn="val #0"/>
              <v:f eqn="sum 0 @0 0"/>
              <v:f eqn="sum height 0 @0"/>
            </v:formulas>
            <v:handles>
              <v:h position="0,@1"/>
            </v:handles>
          </v:shapetype>
          <v:shape id="shape_0" ID="艺术字 12" fillcolor="#404040" stroked="t" style="position:absolute;margin-left:298.25pt;margin-top:528.75pt;width:175.45pt;height:40.05pt;mso-wrap-style:none;v-text-anchor:middle;rotation:334" type="shapetype_172">
            <v:path textpathok="t"/>
            <v:textpath on="t" fitshape="t" string="专业  实用  精简  系统" style="font-family:&quot;微软雅黑&quot;;font-size:18pt"/>
            <v:fill o:detectmouseclick="t" type="solid" color2="#bfbfbf"/>
            <v:stroke color="black" weight="9360" joinstyle="miter" endcap="flat"/>
            <w10:wrap type="square"/>
          </v:shape>
        </w:pict>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05"/>
        <w:jc w:val="center"/>
        <w:rPr>
          <w:rFonts w:ascii="黑体" w:hAnsi="黑体" w:eastAsia="黑体" w:cs="黑体"/>
          <w:b/>
          <w:b/>
          <w:bCs/>
          <w:color w:val="0070C0"/>
          <w:sz w:val="32"/>
          <w:szCs w:val="32"/>
          <w:lang w:val="en-US" w:eastAsia="en-US"/>
        </w:rPr>
      </w:pPr>
      <w:r>
        <w:rPr>
          <w:rFonts w:eastAsia="黑体" w:cs="黑体" w:ascii="黑体" w:hAnsi="黑体"/>
          <w:b/>
          <w:bCs/>
          <w:color w:val="0070C0"/>
          <w:sz w:val="32"/>
          <w:szCs w:val="32"/>
          <w:lang w:val="en-US" w:eastAsia="en-US"/>
        </w:rPr>
      </w:r>
      <w:r>
        <mc:AlternateContent>
          <mc:Choice Requires="wps">
            <w:drawing>
              <wp:anchor behindDoc="0" distT="0" distB="0" distL="114935" distR="5080" simplePos="0" locked="0" layoutInCell="0" allowOverlap="1" relativeHeight="11">
                <wp:simplePos x="0" y="0"/>
                <wp:positionH relativeFrom="column">
                  <wp:posOffset>2463165</wp:posOffset>
                </wp:positionH>
                <wp:positionV relativeFrom="paragraph">
                  <wp:posOffset>83820</wp:posOffset>
                </wp:positionV>
                <wp:extent cx="4038600" cy="666750"/>
                <wp:effectExtent l="0" t="0" r="109855" b="109855"/>
                <wp:wrapNone/>
                <wp:docPr id="6" name="Frame2"/>
                <a:graphic xmlns:a="http://schemas.openxmlformats.org/drawingml/2006/main">
                  <a:graphicData uri="http://schemas.microsoft.com/office/word/2010/wordprocessingShape">
                    <wps:wsp>
                      <wps:cNvSpPr txBox="1"/>
                      <wps:spPr>
                        <a:xfrm>
                          <a:off x="0" y="0"/>
                          <a:ext cx="4038600" cy="666750"/>
                        </a:xfrm>
                        <a:prstGeom prst="rect"/>
                        <a:solidFill>
                          <a:srgbClr val="FFFFFF"/>
                        </a:solidFill>
                        <a:ln w="9525">
                          <a:solidFill>
                            <a:srgbClr val="D8D8D8"/>
                          </a:solidFill>
                        </a:ln>
                        <a:effectLst>
                          <a:outerShdw dist="154940" dir="2700000">
                            <a:srgbClr val="808080"/>
                          </a:outerShdw>
                        </a:effectLst>
                      </wps:spPr>
                      <wps:txbx>
                        <w:txbxContent>
                          <w:p>
                            <w:pPr>
                              <w:pStyle w:val="Normal"/>
                              <w:jc w:val="center"/>
                              <w:rPr>
                                <w:rFonts w:ascii="微软雅黑" w:hAnsi="微软雅黑" w:eastAsia="微软雅黑" w:cs="微软雅黑"/>
                                <w:b/>
                                <w:b/>
                                <w:sz w:val="52"/>
                                <w:szCs w:val="52"/>
                              </w:rPr>
                            </w:pPr>
                            <w:r>
                              <w:rPr>
                                <w:rFonts w:ascii="微软雅黑" w:hAnsi="微软雅黑" w:cs="微软雅黑" w:eastAsia="微软雅黑"/>
                                <w:b/>
                                <w:sz w:val="52"/>
                                <w:szCs w:val="52"/>
                              </w:rPr>
                              <w:t>　模块五：绩效考核</w:t>
                            </w:r>
                          </w:p>
                        </w:txbxContent>
                      </wps:txbx>
                      <wps:bodyPr anchor="t" lIns="91440" tIns="45720" rIns="91440" bIns="45720">
                        <a:noAutofit/>
                      </wps:bodyPr>
                    </wps:wsp>
                  </a:graphicData>
                </a:graphic>
              </wp:anchor>
            </w:drawing>
          </mc:Choice>
          <mc:Fallback>
            <w:pict>
              <v:rect fillcolor="#FFFFFF" strokecolor="#D8D8D8" strokeweight="0pt" style="position:absolute;rotation:0;width:318pt;height:52.5pt;mso-wrap-distance-left:9.05pt;mso-wrap-distance-right:9.05pt;mso-wrap-distance-top:0pt;mso-wrap-distance-bottom:0pt;margin-top:6.6pt;mso-position-vertical-relative:text;margin-left:193.95pt;mso-position-horizontal-relative:text">
                <v:shadow on="t" color="#808080" offset="8.65pt,8.65pt"/>
                <v:textbox>
                  <w:txbxContent>
                    <w:p>
                      <w:pPr>
                        <w:pStyle w:val="Normal"/>
                        <w:jc w:val="center"/>
                        <w:rPr>
                          <w:rFonts w:ascii="微软雅黑" w:hAnsi="微软雅黑" w:eastAsia="微软雅黑" w:cs="微软雅黑"/>
                          <w:b/>
                          <w:b/>
                          <w:sz w:val="52"/>
                          <w:szCs w:val="52"/>
                        </w:rPr>
                      </w:pPr>
                      <w:r>
                        <w:rPr>
                          <w:rFonts w:ascii="微软雅黑" w:hAnsi="微软雅黑" w:cs="微软雅黑" w:eastAsia="微软雅黑"/>
                          <w:b/>
                          <w:sz w:val="52"/>
                          <w:szCs w:val="52"/>
                        </w:rPr>
                        <w:t>　模块五：绩效考核</w:t>
                      </w:r>
                    </w:p>
                  </w:txbxContent>
                </v:textbox>
                <w10:wrap type="none"/>
              </v:rect>
            </w:pict>
          </mc:Fallback>
        </mc:AlternateContent>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05"/>
        <w:jc w:val="center"/>
        <w:rPr>
          <w:rFonts w:ascii="黑体" w:hAnsi="黑体" w:eastAsia="黑体" w:cs="黑体"/>
          <w:b/>
          <w:b/>
          <w:bCs/>
          <w:color w:val="0070C0"/>
          <w:sz w:val="32"/>
          <w:szCs w:val="32"/>
          <w:lang w:val="en-US" w:eastAsia="en-US"/>
        </w:rPr>
      </w:pPr>
      <w:r>
        <w:rPr>
          <w:rFonts w:eastAsia="黑体" w:cs="黑体" w:ascii="黑体" w:hAnsi="黑体"/>
          <w:b/>
          <w:bCs/>
          <w:color w:val="0070C0"/>
          <w:sz w:val="32"/>
          <w:szCs w:val="32"/>
          <w:lang w:val="en-US" w:eastAsia="en-US"/>
        </w:rPr>
      </w:r>
      <w:r>
        <mc:AlternateContent>
          <mc:Choice Requires="wps">
            <w:drawing>
              <wp:anchor behindDoc="0" distT="0" distB="0" distL="114935" distR="114935" simplePos="0" locked="0" layoutInCell="0" allowOverlap="1" relativeHeight="12">
                <wp:simplePos x="0" y="0"/>
                <wp:positionH relativeFrom="column">
                  <wp:posOffset>-851535</wp:posOffset>
                </wp:positionH>
                <wp:positionV relativeFrom="paragraph">
                  <wp:posOffset>93345</wp:posOffset>
                </wp:positionV>
                <wp:extent cx="7162800" cy="2352675"/>
                <wp:effectExtent l="0" t="0" r="0" b="0"/>
                <wp:wrapNone/>
                <wp:docPr id="7" name="Frame3"/>
                <a:graphic xmlns:a="http://schemas.openxmlformats.org/drawingml/2006/main">
                  <a:graphicData uri="http://schemas.microsoft.com/office/word/2010/wordprocessingShape">
                    <wps:wsp>
                      <wps:cNvSpPr txBox="1"/>
                      <wps:spPr>
                        <a:xfrm>
                          <a:off x="0" y="0"/>
                          <a:ext cx="7162800" cy="2352675"/>
                        </a:xfrm>
                        <a:prstGeom prst="rect"/>
                        <a:solidFill>
                          <a:srgbClr val="FFFFFF">
                            <a:alpha val="0"/>
                          </a:srgbClr>
                        </a:solidFill>
                      </wps:spPr>
                      <wps:txbx>
                        <w:txbxContent>
                          <w:p>
                            <w:pPr>
                              <w:pStyle w:val="Normal"/>
                              <w:jc w:val="center"/>
                              <w:rPr>
                                <w:rFonts w:ascii="微软雅黑" w:hAnsi="微软雅黑" w:eastAsia="微软雅黑" w:cs="微软雅黑"/>
                                <w:b/>
                                <w:b/>
                                <w:color w:val="E36C0A"/>
                                <w:sz w:val="72"/>
                                <w:szCs w:val="72"/>
                              </w:rPr>
                            </w:pPr>
                            <w:r>
                              <w:rPr>
                                <w:rFonts w:eastAsia="微软雅黑" w:cs="微软雅黑" w:ascii="微软雅黑" w:hAnsi="微软雅黑"/>
                                <w:b/>
                                <w:sz w:val="108"/>
                                <w:szCs w:val="108"/>
                              </w:rPr>
                              <w:t>KPI</w:t>
                            </w:r>
                            <w:r>
                              <w:rPr>
                                <w:rFonts w:ascii="微软雅黑" w:hAnsi="微软雅黑" w:cs="微软雅黑" w:eastAsia="微软雅黑"/>
                                <w:b/>
                                <w:sz w:val="108"/>
                                <w:szCs w:val="108"/>
                              </w:rPr>
                              <w:t>绩效考核管理办法</w:t>
                            </w:r>
                            <w:r>
                              <w:rPr>
                                <w:rFonts w:ascii="微软雅黑" w:hAnsi="微软雅黑" w:cs="微软雅黑" w:eastAsia="微软雅黑"/>
                                <w:b/>
                                <w:color w:val="E36C0A"/>
                                <w:sz w:val="72"/>
                                <w:szCs w:val="72"/>
                              </w:rPr>
                              <w:t>（模板）超实用</w:t>
                            </w:r>
                          </w:p>
                        </w:txbxContent>
                      </wps:txbx>
                      <wps:bodyPr anchor="t" lIns="92075" tIns="46355" rIns="92075" bIns="46355">
                        <a:noAutofit/>
                      </wps:bodyPr>
                    </wps:wsp>
                  </a:graphicData>
                </a:graphic>
              </wp:anchor>
            </w:drawing>
          </mc:Choice>
          <mc:Fallback>
            <w:pict>
              <v:rect fillcolor="#FFFFFF" style="position:absolute;rotation:0;width:564pt;height:185.25pt;mso-wrap-distance-left:9.05pt;mso-wrap-distance-right:9.05pt;mso-wrap-distance-top:0pt;mso-wrap-distance-bottom:0pt;margin-top:7.35pt;mso-position-vertical-relative:text;margin-left:-67.05pt;mso-position-horizontal-relative:text">
                <v:fill opacity="0f"/>
                <v:textbox inset="0.100694444444444in,0.0506944444444444in,0.100694444444444in,0.0506944444444444in">
                  <w:txbxContent>
                    <w:p>
                      <w:pPr>
                        <w:pStyle w:val="Normal"/>
                        <w:jc w:val="center"/>
                        <w:rPr>
                          <w:rFonts w:ascii="微软雅黑" w:hAnsi="微软雅黑" w:eastAsia="微软雅黑" w:cs="微软雅黑"/>
                          <w:b/>
                          <w:b/>
                          <w:color w:val="E36C0A"/>
                          <w:sz w:val="72"/>
                          <w:szCs w:val="72"/>
                        </w:rPr>
                      </w:pPr>
                      <w:r>
                        <w:rPr>
                          <w:rFonts w:eastAsia="微软雅黑" w:cs="微软雅黑" w:ascii="微软雅黑" w:hAnsi="微软雅黑"/>
                          <w:b/>
                          <w:sz w:val="108"/>
                          <w:szCs w:val="108"/>
                        </w:rPr>
                        <w:t>KPI</w:t>
                      </w:r>
                      <w:r>
                        <w:rPr>
                          <w:rFonts w:ascii="微软雅黑" w:hAnsi="微软雅黑" w:cs="微软雅黑" w:eastAsia="微软雅黑"/>
                          <w:b/>
                          <w:sz w:val="108"/>
                          <w:szCs w:val="108"/>
                        </w:rPr>
                        <w:t>绩效考核管理办法</w:t>
                      </w:r>
                      <w:r>
                        <w:rPr>
                          <w:rFonts w:ascii="微软雅黑" w:hAnsi="微软雅黑" w:cs="微软雅黑" w:eastAsia="微软雅黑"/>
                          <w:b/>
                          <w:color w:val="E36C0A"/>
                          <w:sz w:val="72"/>
                          <w:szCs w:val="72"/>
                        </w:rPr>
                        <w:t>（模板）超实用</w:t>
                      </w:r>
                    </w:p>
                  </w:txbxContent>
                </v:textbox>
                <w10:wrap type="none"/>
              </v:rect>
            </w:pict>
          </mc:Fallback>
        </mc:AlternateContent>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lang w:val="en-US" w:eastAsia="en-US"/>
        </w:rPr>
      </w:pPr>
      <w:r>
        <w:rPr>
          <w:rFonts w:eastAsia="黑体" w:cs="黑体" w:ascii="黑体" w:hAnsi="黑体"/>
          <w:b/>
          <w:bCs/>
          <w:color w:val="0070C0"/>
          <w:sz w:val="32"/>
          <w:szCs w:val="32"/>
          <w:lang w:val="en-US" w:eastAsia="en-US"/>
        </w:rPr>
        <mc:AlternateContent>
          <mc:Choice Requires="wps">
            <w:drawing>
              <wp:anchor behindDoc="1" distT="6350" distB="6350" distL="121285" distR="121285" simplePos="0" locked="0" layoutInCell="0" allowOverlap="1" relativeHeight="6">
                <wp:simplePos x="0" y="0"/>
                <wp:positionH relativeFrom="column">
                  <wp:posOffset>-494665</wp:posOffset>
                </wp:positionH>
                <wp:positionV relativeFrom="paragraph">
                  <wp:posOffset>-942975</wp:posOffset>
                </wp:positionV>
                <wp:extent cx="6322060" cy="8252460"/>
                <wp:effectExtent l="0" t="0" r="0" b="0"/>
                <wp:wrapNone/>
                <wp:docPr id="8" name="自选图形 97"/>
                <a:graphic xmlns:a="http://schemas.openxmlformats.org/drawingml/2006/main">
                  <a:graphicData uri="http://schemas.microsoft.com/office/word/2010/wordprocessingShape">
                    <wps:wsp>
                      <wps:cNvSpPr/>
                      <wps:spPr>
                        <a:xfrm rot="16563600">
                          <a:off x="0" y="0"/>
                          <a:ext cx="6321600" cy="8251920"/>
                        </a:xfrm>
                        <a:custGeom>
                          <a:avLst/>
                          <a:gdLst/>
                          <a:ahLst/>
                          <a:rect l="l" t="t" r="r" b="b"/>
                          <a:pathLst>
                            <a:path w="21600" h="21600">
                              <a:moveTo>
                                <a:pt x="0" y="0"/>
                              </a:moveTo>
                              <a:lnTo>
                                <a:pt x="21600" y="21600"/>
                              </a:lnTo>
                              <a:lnTo>
                                <a:pt x="0" y="21600"/>
                              </a:lnTo>
                              <a:lnTo>
                                <a:pt x="0" y="0"/>
                              </a:lnTo>
                              <a:close/>
                            </a:path>
                          </a:pathLst>
                        </a:custGeom>
                        <a:gradFill rotWithShape="0">
                          <a:gsLst>
                            <a:gs pos="0">
                              <a:srgbClr val="ffffff">
                                <a:alpha val="94117"/>
                              </a:srgbClr>
                            </a:gs>
                            <a:gs pos="100000">
                              <a:srgbClr val="eeece1"/>
                            </a:gs>
                          </a:gsLst>
                          <a:lin ang="3072000"/>
                        </a:gradFill>
                        <a:ln w="12600">
                          <a:solidFill>
                            <a:srgbClr val="ffffff"/>
                          </a:solidFill>
                          <a:miter/>
                        </a:ln>
                        <a:effectLst>
                          <a:outerShdw dist="25630" dir="3633274" blurRad="0">
                            <a:srgbClr val="243f60">
                              <a:alpha val="50000"/>
                            </a:srgbClr>
                          </a:outerShdw>
                        </a:effectLst>
                      </wps:spPr>
                      <wps:style>
                        <a:lnRef idx="0"/>
                        <a:fillRef idx="0"/>
                        <a:effectRef idx="0"/>
                        <a:fontRef idx="minor"/>
                      </wps:style>
                      <wps:bodyPr/>
                    </wps:wsp>
                  </a:graphicData>
                </a:graphic>
              </wp:anchor>
            </w:drawing>
          </mc:Choice>
          <mc:Fallback>
            <w:pict>
              <v:shape id="shape_0" ID="自选图形 97" fillcolor="white" stroked="t" style="position:absolute;margin-left:-39pt;margin-top:-74.25pt;width:497.7pt;height:649.7pt;mso-wrap-style:none;v-text-anchor:middle;rotation:276" type="shapetype_6">
                <v:fill o:detectmouseclick="t" color2="#eeece1"/>
                <v:stroke color="white" weight="12600" joinstyle="miter" endcap="flat"/>
                <v:shadow on="t" obscured="f" color="#243f60"/>
                <w10:wrap type="none"/>
              </v:shape>
            </w:pict>
          </mc:Fallback>
        </mc:AlternateContent>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tabs>
          <w:tab w:val="clear" w:pos="420"/>
          <w:tab w:val="center" w:pos="4293" w:leader="none"/>
          <w:tab w:val="right" w:pos="8426" w:leader="none"/>
        </w:tabs>
        <w:spacing w:lineRule="exact" w:line="240"/>
        <w:ind w:firstLine="161"/>
        <w:jc w:val="start"/>
        <w:rPr>
          <w:rFonts w:ascii="黑体" w:hAnsi="黑体" w:eastAsia="黑体" w:cs="黑体"/>
          <w:b/>
          <w:b/>
          <w:bCs/>
          <w:color w:val="0070C0"/>
          <w:sz w:val="32"/>
          <w:szCs w:val="32"/>
        </w:rPr>
      </w:pPr>
      <w:r>
        <w:rPr>
          <w:rFonts w:eastAsia="黑体" w:cs="黑体" w:ascii="黑体" w:hAnsi="黑体"/>
          <w:b/>
          <w:bCs/>
          <w:color w:val="0070C0"/>
          <w:sz w:val="32"/>
          <w:szCs w:val="32"/>
        </w:rPr>
        <w:tab/>
      </w:r>
      <w:r>
        <mc:AlternateContent>
          <mc:Choice Requires="wps">
            <w:drawing>
              <wp:anchor behindDoc="0" distT="0" distB="0" distL="114935" distR="114935" simplePos="0" locked="0" layoutInCell="0" allowOverlap="1" relativeHeight="13">
                <wp:simplePos x="0" y="0"/>
                <wp:positionH relativeFrom="column">
                  <wp:posOffset>228600</wp:posOffset>
                </wp:positionH>
                <wp:positionV relativeFrom="paragraph">
                  <wp:posOffset>-1690370</wp:posOffset>
                </wp:positionV>
                <wp:extent cx="1852930" cy="1562735"/>
                <wp:effectExtent l="0" t="0" r="0" b="0"/>
                <wp:wrapNone/>
                <wp:docPr id="9" name="自选图形 14"/>
                <a:graphic xmlns:a="http://schemas.openxmlformats.org/drawingml/2006/main">
                  <a:graphicData uri="http://schemas.microsoft.com/office/word/2010/wordprocessingShape">
                    <wps:wsp>
                      <wps:cNvSpPr/>
                      <wps:spPr>
                        <a:xfrm rot="13552800">
                          <a:off x="0" y="0"/>
                          <a:ext cx="1852200" cy="1562040"/>
                        </a:xfrm>
                        <a:prstGeom prst="flowChartInputOutput">
                          <a:avLst/>
                        </a:prstGeom>
                        <a:solidFill>
                          <a:srgbClr val="404040"/>
                        </a:solidFill>
                        <a:ln w="0">
                          <a:noFill/>
                        </a:ln>
                      </wps:spPr>
                      <wps:style>
                        <a:lnRef idx="0"/>
                        <a:fillRef idx="0"/>
                        <a:effectRef idx="0"/>
                        <a:fontRef idx="minor"/>
                      </wps:style>
                      <wps:txb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atLeast" w:line="240"/>
                              <w:jc w:val="center"/>
                              <w:rPr/>
                            </w:pPr>
                            <w:r>
                              <w:rPr>
                                <w:kern w:val="2"/>
                                <w:sz w:val="36"/>
                                <w:szCs w:val="36"/>
                                <w:b/>
                                <w:rFonts w:ascii="微软雅黑" w:hAnsi="微软雅黑" w:eastAsia="微软雅黑" w:cs="微软雅黑"/>
                                <w:color w:val="FFFFFF"/>
                                <w:lang w:val="en-US" w:eastAsia="zh-CN" w:bidi="ar-SA"/>
                              </w:rPr>
                              <w:t>制度、规范与流程</w:t>
                            </w:r>
                          </w:p>
                        </w:txbxContent>
                      </wps:txbx>
                      <wps:bodyPr rot="8047200">
                        <a:noAutofit/>
                      </wps:bodyPr>
                    </wps:wsp>
                  </a:graphicData>
                </a:graphic>
              </wp:anchor>
            </w:drawing>
          </mc:Choice>
          <mc:Fallback>
            <w:pict>
              <v:shape id="shape_0" ID="自选图形 14" fillcolor="#404040" stroked="f" style="position:absolute;margin-left:17.95pt;margin-top:-133.15pt;width:145.8pt;height:122.95pt;mso-wrap-style:square;v-text-anchor:top;rotation:226" type="shapetype_111">
                <v:textbo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atLeast" w:line="240"/>
                        <w:jc w:val="center"/>
                        <w:rPr/>
                      </w:pPr>
                      <w:r>
                        <w:rPr>
                          <w:kern w:val="2"/>
                          <w:sz w:val="36"/>
                          <w:szCs w:val="36"/>
                          <w:b/>
                          <w:rFonts w:ascii="微软雅黑" w:hAnsi="微软雅黑" w:eastAsia="微软雅黑" w:cs="微软雅黑"/>
                          <w:color w:val="FFFFFF"/>
                          <w:lang w:val="en-US" w:eastAsia="zh-CN" w:bidi="ar-SA"/>
                        </w:rPr>
                        <w:t>制度、规范与流程</w:t>
                      </w:r>
                    </w:p>
                  </w:txbxContent>
                </v:textbox>
                <v:fill o:detectmouseclick="t" type="solid" color2="#bfbfbf"/>
                <v:stroke color="#3465a4" joinstyle="round" endcap="flat"/>
                <w10:wrap type="none"/>
              </v:shape>
            </w:pict>
          </mc:Fallback>
        </mc:AlternateContent>
      </w:r>
      <w:r>
        <w:rPr>
          <w:rFonts w:eastAsia="黑体" w:cs="黑体" w:ascii="黑体" w:hAnsi="黑体"/>
          <w:b/>
          <w:bCs/>
          <w:color w:val="0070C0"/>
          <w:sz w:val="32"/>
          <w:szCs w:val="32"/>
        </w:rPr>
        <w:tab/>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spacing w:lineRule="exact" w:line="240"/>
        <w:ind w:firstLine="161"/>
        <w:jc w:val="center"/>
        <w:rPr>
          <w:rFonts w:ascii="黑体" w:hAnsi="黑体" w:eastAsia="黑体" w:cs="黑体"/>
          <w:b/>
          <w:b/>
          <w:bCs/>
          <w:color w:val="0070C0"/>
          <w:sz w:val="32"/>
          <w:szCs w:val="32"/>
        </w:rPr>
      </w:pPr>
      <w:r>
        <w:rPr>
          <w:rFonts w:eastAsia="黑体" w:cs="黑体" w:ascii="黑体" w:hAnsi="黑体"/>
          <w:b/>
          <w:bCs/>
          <w:color w:val="0070C0"/>
          <w:sz w:val="32"/>
          <w:szCs w:val="32"/>
        </w:rPr>
      </w:r>
    </w:p>
    <w:p>
      <w:pPr>
        <w:pStyle w:val="Normal"/>
        <w:jc w:val="center"/>
        <w:rPr>
          <w:rFonts w:ascii="微软雅黑" w:hAnsi="微软雅黑" w:eastAsia="微软雅黑" w:cs="微软雅黑"/>
          <w:b/>
          <w:b/>
          <w:color w:val="0070C0"/>
          <w:sz w:val="44"/>
          <w:szCs w:val="44"/>
        </w:rPr>
      </w:pPr>
      <w:r>
        <w:rPr>
          <w:rFonts w:eastAsia="微软雅黑" w:cs="微软雅黑" w:ascii="微软雅黑" w:hAnsi="微软雅黑"/>
          <w:b/>
          <w:color w:val="0070C0"/>
          <w:sz w:val="44"/>
          <w:szCs w:val="44"/>
        </w:rPr>
        <w:t>KPI</w:t>
      </w:r>
      <w:r>
        <w:rPr>
          <w:rFonts w:ascii="微软雅黑" w:hAnsi="微软雅黑" w:cs="微软雅黑" w:eastAsia="微软雅黑"/>
          <w:b/>
          <w:color w:val="0070C0"/>
          <w:sz w:val="44"/>
          <w:szCs w:val="44"/>
        </w:rPr>
        <w:t>绩效考核管理办法（超实用）</w:t>
      </w:r>
    </w:p>
    <w:p>
      <w:pPr>
        <w:pStyle w:val="Normal"/>
        <w:jc w:val="center"/>
        <w:rPr>
          <w:rFonts w:ascii="宋体" w:hAnsi="宋体" w:cs="宋体"/>
          <w:b/>
          <w:b/>
          <w:color w:val="FF0000"/>
          <w:sz w:val="28"/>
          <w:szCs w:val="28"/>
        </w:rPr>
      </w:pPr>
      <w:r>
        <w:rPr>
          <w:rFonts w:ascii="宋体" w:hAnsi="宋体" w:cs="宋体"/>
          <w:b/>
          <w:color w:val="FF0000"/>
          <w:sz w:val="28"/>
          <w:szCs w:val="28"/>
        </w:rPr>
        <w:t>（模板）</w:t>
      </w:r>
    </w:p>
    <w:p>
      <w:pPr>
        <w:pStyle w:val="Normal"/>
        <w:spacing w:lineRule="exact" w:line="360"/>
        <w:ind w:start="-424" w:end="-567" w:firstLine="470"/>
        <w:jc w:val="start"/>
        <w:rPr>
          <w:rFonts w:ascii="楷体_GB2312;楷体" w:hAnsi="楷体_GB2312;楷体" w:eastAsia="楷体_GB2312;楷体" w:cs="宋体"/>
          <w:b/>
          <w:b/>
          <w:color w:val="FF0000"/>
          <w:sz w:val="24"/>
          <w:szCs w:val="28"/>
        </w:rPr>
      </w:pPr>
      <w:r>
        <w:rPr>
          <w:rFonts w:eastAsia="楷体_GB2312;楷体" w:cs="宋体" w:ascii="楷体_GB2312;楷体" w:hAnsi="楷体_GB2312;楷体"/>
          <w:b/>
          <w:color w:val="FF0000"/>
          <w:sz w:val="24"/>
          <w:szCs w:val="28"/>
        </w:rPr>
      </w:r>
    </w:p>
    <w:p>
      <w:pPr>
        <w:pStyle w:val="Normal"/>
        <w:spacing w:lineRule="exact" w:line="700"/>
        <w:ind w:start="-424" w:end="-567" w:firstLine="624"/>
        <w:jc w:val="start"/>
        <w:rPr>
          <w:rFonts w:ascii="微软雅黑" w:hAnsi="微软雅黑" w:eastAsia="微软雅黑" w:cs="微软雅黑"/>
          <w:sz w:val="32"/>
          <w:szCs w:val="32"/>
        </w:rPr>
      </w:pPr>
      <w:r>
        <w:rPr>
          <w:rFonts w:ascii="微软雅黑" w:hAnsi="微软雅黑" w:cs="微软雅黑" w:eastAsia="微软雅黑"/>
          <w:b/>
          <w:sz w:val="32"/>
          <w:szCs w:val="32"/>
        </w:rPr>
        <w:t>说明：</w:t>
      </w:r>
      <w:r>
        <w:rPr>
          <w:rFonts w:ascii="微软雅黑" w:hAnsi="微软雅黑" w:cs="微软雅黑" w:eastAsia="微软雅黑"/>
          <w:sz w:val="32"/>
          <w:szCs w:val="32"/>
        </w:rPr>
        <w:t>本文档详细提供了</w:t>
      </w:r>
      <w:r>
        <w:rPr>
          <w:rFonts w:eastAsia="微软雅黑" w:cs="微软雅黑" w:ascii="微软雅黑" w:hAnsi="微软雅黑"/>
          <w:sz w:val="32"/>
          <w:szCs w:val="32"/>
        </w:rPr>
        <w:t>KPI</w:t>
      </w:r>
      <w:r>
        <w:rPr>
          <w:rFonts w:ascii="微软雅黑" w:hAnsi="微软雅黑" w:cs="微软雅黑" w:eastAsia="微软雅黑"/>
          <w:sz w:val="32"/>
          <w:szCs w:val="32"/>
        </w:rPr>
        <w:t>绩效考核管理办法的内容模板，具体包括考核目的、</w:t>
      </w:r>
      <w:r>
        <w:rPr>
          <w:rFonts w:eastAsia="微软雅黑" w:cs="微软雅黑" w:ascii="微软雅黑" w:hAnsi="微软雅黑"/>
          <w:sz w:val="32"/>
          <w:szCs w:val="32"/>
        </w:rPr>
        <w:t>KPI</w:t>
      </w:r>
      <w:r>
        <w:rPr>
          <w:rFonts w:ascii="微软雅黑" w:hAnsi="微软雅黑" w:cs="微软雅黑" w:eastAsia="微软雅黑"/>
          <w:sz w:val="32"/>
          <w:szCs w:val="32"/>
        </w:rPr>
        <w:t>绩效考核理念、</w:t>
      </w:r>
      <w:r>
        <w:rPr>
          <w:rFonts w:eastAsia="微软雅黑" w:cs="微软雅黑" w:ascii="微软雅黑" w:hAnsi="微软雅黑"/>
          <w:sz w:val="32"/>
          <w:szCs w:val="32"/>
        </w:rPr>
        <w:t>KPI</w:t>
      </w:r>
      <w:r>
        <w:rPr>
          <w:rFonts w:ascii="微软雅黑" w:hAnsi="微软雅黑" w:cs="微软雅黑" w:eastAsia="微软雅黑"/>
          <w:sz w:val="32"/>
          <w:szCs w:val="32"/>
        </w:rPr>
        <w:t>释义、适用范围、考核原则、考核依据、</w:t>
      </w:r>
      <w:r>
        <w:rPr>
          <w:rFonts w:eastAsia="微软雅黑" w:cs="微软雅黑" w:ascii="微软雅黑" w:hAnsi="微软雅黑"/>
          <w:sz w:val="32"/>
          <w:szCs w:val="32"/>
        </w:rPr>
        <w:t>KPI</w:t>
      </w:r>
      <w:r>
        <w:rPr>
          <w:rFonts w:ascii="微软雅黑" w:hAnsi="微软雅黑" w:cs="微软雅黑" w:eastAsia="微软雅黑"/>
          <w:sz w:val="32"/>
          <w:szCs w:val="32"/>
        </w:rPr>
        <w:t>体系运行图、</w:t>
      </w:r>
      <w:r>
        <w:rPr>
          <w:rFonts w:eastAsia="微软雅黑" w:cs="微软雅黑" w:ascii="微软雅黑" w:hAnsi="微软雅黑"/>
          <w:sz w:val="32"/>
          <w:szCs w:val="32"/>
        </w:rPr>
        <w:t>KPI</w:t>
      </w:r>
      <w:r>
        <w:rPr>
          <w:rFonts w:ascii="微软雅黑" w:hAnsi="微软雅黑" w:cs="微软雅黑" w:eastAsia="微软雅黑"/>
          <w:sz w:val="32"/>
          <w:szCs w:val="32"/>
        </w:rPr>
        <w:t>考核量表（示例）、考核组织、考核周期与时间、考核流程与说明、考核结果应用、解释权说明、生效日期。（注：本管理办法内容大部分也适合一般的绩效管理办法，非常实用）</w:t>
      </w:r>
    </w:p>
    <w:p>
      <w:pPr>
        <w:pStyle w:val="Normal"/>
        <w:spacing w:lineRule="exact" w:line="360"/>
        <w:ind w:start="-424" w:end="-567" w:firstLine="468"/>
        <w:jc w:val="start"/>
        <w:rPr>
          <w:rFonts w:ascii="楷体_GB2312;楷体" w:hAnsi="楷体_GB2312;楷体" w:eastAsia="楷体_GB2312;楷体" w:cs="微软雅黑"/>
          <w:sz w:val="24"/>
          <w:szCs w:val="32"/>
        </w:rPr>
      </w:pPr>
      <w:r>
        <w:rPr>
          <w:rFonts w:eastAsia="楷体_GB2312;楷体" w:cs="微软雅黑" w:ascii="楷体_GB2312;楷体" w:hAnsi="楷体_GB2312;楷体"/>
          <w:sz w:val="24"/>
          <w:szCs w:val="32"/>
        </w:rPr>
      </w:r>
    </w:p>
    <w:p>
      <w:pPr>
        <w:pStyle w:val="TOC"/>
        <w:rPr>
          <w:lang w:val="zh-CN"/>
        </w:rPr>
      </w:pPr>
      <w:r>
        <w:rPr>
          <w:lang w:val="zh-CN"/>
        </w:rPr>
        <w:t>目录</w:t>
      </w:r>
    </w:p>
    <w:sdt>
      <w:sdtPr>
        <w:docPartObj>
          <w:docPartGallery w:val="Table of Contents"/>
          <w:docPartUnique w:val="true"/>
        </w:docPartObj>
      </w:sdtPr>
      <w:sdtContent>
        <w:p>
          <w:pPr>
            <w:pStyle w:val="Contents1"/>
            <w:tabs>
              <w:tab w:val="clear" w:pos="420"/>
              <w:tab w:val="right" w:pos="8494" w:leader="dot"/>
            </w:tabs>
            <w:rPr>
              <w:rFonts w:ascii="Calibri" w:hAnsi="Calibri" w:cs="Calibri"/>
              <w:szCs w:val="22"/>
              <w:lang w:val="en-US" w:eastAsia="en-US"/>
            </w:rPr>
          </w:pPr>
          <w:r>
            <w:fldChar w:fldCharType="begin"/>
          </w:r>
          <w:r>
            <w:rPr>
              <w:rStyle w:val="IndexLink"/>
              <w:lang w:val="en-US" w:eastAsia="en-US"/>
            </w:rPr>
            <w:instrText> TOC \o "1-3" \h \z \u </w:instrText>
          </w:r>
          <w:r>
            <w:rPr>
              <w:rStyle w:val="IndexLink"/>
              <w:lang w:val="en-US" w:eastAsia="en-US"/>
            </w:rPr>
            <w:fldChar w:fldCharType="separate"/>
          </w:r>
          <w:hyperlink w:anchor="__RefHeading___Toc404009621">
            <w:r>
              <w:rPr>
                <w:rStyle w:val="IndexLink"/>
                <w:lang w:val="en-US" w:eastAsia="en-US"/>
              </w:rPr>
              <w:t>一、考核目的</w:t>
            </w:r>
            <w:r>
              <w:rPr>
                <w:rStyle w:val="IndexLink"/>
                <w:lang w:val="en-US" w:eastAsia="en-US"/>
              </w:rPr>
              <w:tab/>
              <w:t>3</w:t>
            </w:r>
          </w:hyperlink>
        </w:p>
        <w:p>
          <w:pPr>
            <w:pStyle w:val="Contents1"/>
            <w:tabs>
              <w:tab w:val="clear" w:pos="420"/>
              <w:tab w:val="right" w:pos="8494" w:leader="dot"/>
            </w:tabs>
            <w:rPr>
              <w:rFonts w:ascii="Calibri" w:hAnsi="Calibri" w:cs="Calibri"/>
              <w:szCs w:val="22"/>
              <w:lang w:val="en-US" w:eastAsia="en-US"/>
            </w:rPr>
          </w:pPr>
          <w:hyperlink w:anchor="__RefHeading___Toc404009622">
            <w:r>
              <w:rPr>
                <w:rStyle w:val="IndexLink"/>
                <w:lang w:val="en-US" w:eastAsia="en-US"/>
              </w:rPr>
              <w:t>二、基于</w:t>
            </w:r>
            <w:r>
              <w:rPr>
                <w:rStyle w:val="IndexLink"/>
                <w:lang w:val="en-US" w:eastAsia="en-US"/>
              </w:rPr>
              <w:t>KPI</w:t>
            </w:r>
            <w:r>
              <w:rPr>
                <w:rStyle w:val="IndexLink"/>
                <w:lang w:val="en-US" w:eastAsia="en-US"/>
              </w:rPr>
              <w:t>绩效考核管理理念</w:t>
            </w:r>
            <w:r>
              <w:rPr>
                <w:rStyle w:val="IndexLink"/>
                <w:lang w:val="en-US" w:eastAsia="en-US"/>
              </w:rPr>
              <w:tab/>
              <w:t>3</w:t>
            </w:r>
          </w:hyperlink>
        </w:p>
        <w:p>
          <w:pPr>
            <w:pStyle w:val="Contents1"/>
            <w:tabs>
              <w:tab w:val="clear" w:pos="420"/>
              <w:tab w:val="right" w:pos="8494" w:leader="dot"/>
            </w:tabs>
            <w:rPr>
              <w:rFonts w:ascii="Calibri" w:hAnsi="Calibri" w:cs="Calibri"/>
              <w:szCs w:val="22"/>
              <w:lang w:val="en-US" w:eastAsia="en-US"/>
            </w:rPr>
          </w:pPr>
          <w:hyperlink w:anchor="__RefHeading___Toc404009623">
            <w:r>
              <w:rPr>
                <w:rStyle w:val="IndexLink"/>
                <w:lang w:val="en-US" w:eastAsia="en-US"/>
              </w:rPr>
              <w:t>三、</w:t>
            </w:r>
            <w:r>
              <w:rPr>
                <w:rStyle w:val="IndexLink"/>
                <w:lang w:val="en-US" w:eastAsia="en-US"/>
              </w:rPr>
              <w:t>KRA</w:t>
            </w:r>
            <w:r>
              <w:rPr>
                <w:rStyle w:val="IndexLink"/>
                <w:lang w:val="en-US" w:eastAsia="en-US"/>
              </w:rPr>
              <w:t>与</w:t>
            </w:r>
            <w:r>
              <w:rPr>
                <w:rStyle w:val="IndexLink"/>
                <w:lang w:val="en-US" w:eastAsia="en-US"/>
              </w:rPr>
              <w:t>KPI</w:t>
            </w:r>
            <w:r>
              <w:rPr>
                <w:rStyle w:val="IndexLink"/>
                <w:lang w:val="en-US" w:eastAsia="en-US"/>
              </w:rPr>
              <w:t>释义</w:t>
            </w:r>
            <w:r>
              <w:rPr>
                <w:rStyle w:val="IndexLink"/>
                <w:lang w:val="en-US" w:eastAsia="en-US"/>
              </w:rPr>
              <w:tab/>
              <w:t>3</w:t>
            </w:r>
          </w:hyperlink>
        </w:p>
        <w:p>
          <w:pPr>
            <w:pStyle w:val="Contents1"/>
            <w:tabs>
              <w:tab w:val="clear" w:pos="420"/>
              <w:tab w:val="right" w:pos="8494" w:leader="dot"/>
            </w:tabs>
            <w:rPr>
              <w:rFonts w:ascii="Calibri" w:hAnsi="Calibri" w:cs="Calibri"/>
              <w:szCs w:val="22"/>
              <w:lang w:val="en-US" w:eastAsia="en-US"/>
            </w:rPr>
          </w:pPr>
          <w:hyperlink w:anchor="__RefHeading___Toc404009624">
            <w:r>
              <w:rPr>
                <w:rStyle w:val="IndexLink"/>
                <w:lang w:val="en-US" w:eastAsia="en-US"/>
              </w:rPr>
              <w:t>四、适用范围</w:t>
            </w:r>
            <w:r>
              <w:rPr>
                <w:rStyle w:val="IndexLink"/>
                <w:lang w:val="en-US" w:eastAsia="en-US"/>
              </w:rPr>
              <w:tab/>
              <w:t>3</w:t>
            </w:r>
          </w:hyperlink>
        </w:p>
        <w:p>
          <w:pPr>
            <w:pStyle w:val="Contents1"/>
            <w:tabs>
              <w:tab w:val="clear" w:pos="420"/>
              <w:tab w:val="right" w:pos="8494" w:leader="dot"/>
            </w:tabs>
            <w:rPr>
              <w:rFonts w:ascii="Calibri" w:hAnsi="Calibri" w:cs="Calibri"/>
              <w:szCs w:val="22"/>
              <w:lang w:val="en-US" w:eastAsia="en-US"/>
            </w:rPr>
          </w:pPr>
          <w:hyperlink w:anchor="__RefHeading___Toc404009625">
            <w:r>
              <w:rPr>
                <w:rStyle w:val="IndexLink"/>
                <w:lang w:val="en-US" w:eastAsia="en-US"/>
              </w:rPr>
              <w:t>五、考核原则</w:t>
            </w:r>
            <w:r>
              <w:rPr>
                <w:rStyle w:val="IndexLink"/>
                <w:lang w:val="en-US" w:eastAsia="en-US"/>
              </w:rPr>
              <w:tab/>
              <w:t>4</w:t>
            </w:r>
          </w:hyperlink>
        </w:p>
        <w:p>
          <w:pPr>
            <w:pStyle w:val="Contents1"/>
            <w:tabs>
              <w:tab w:val="clear" w:pos="420"/>
              <w:tab w:val="right" w:pos="8494" w:leader="dot"/>
            </w:tabs>
            <w:rPr>
              <w:rFonts w:ascii="Calibri" w:hAnsi="Calibri" w:cs="Calibri"/>
              <w:szCs w:val="22"/>
              <w:lang w:val="en-US" w:eastAsia="en-US"/>
            </w:rPr>
          </w:pPr>
          <w:hyperlink w:anchor="__RefHeading___Toc404009626">
            <w:r>
              <w:rPr>
                <w:rStyle w:val="IndexLink"/>
                <w:lang w:val="en-US" w:eastAsia="en-US"/>
              </w:rPr>
              <w:t>六、考核依据（</w:t>
            </w:r>
            <w:r>
              <w:rPr>
                <w:rStyle w:val="IndexLink"/>
                <w:lang w:val="en-US" w:eastAsia="en-US"/>
              </w:rPr>
              <w:t>KPI</w:t>
            </w:r>
            <w:r>
              <w:rPr>
                <w:rStyle w:val="IndexLink"/>
                <w:lang w:val="en-US" w:eastAsia="en-US"/>
              </w:rPr>
              <w:t>设定原则）</w:t>
            </w:r>
            <w:r>
              <w:rPr>
                <w:rStyle w:val="IndexLink"/>
                <w:lang w:val="en-US" w:eastAsia="en-US"/>
              </w:rPr>
              <w:tab/>
              <w:t>4</w:t>
            </w:r>
          </w:hyperlink>
        </w:p>
        <w:p>
          <w:pPr>
            <w:pStyle w:val="Contents1"/>
            <w:tabs>
              <w:tab w:val="clear" w:pos="420"/>
              <w:tab w:val="right" w:pos="8494" w:leader="dot"/>
            </w:tabs>
            <w:rPr>
              <w:rFonts w:ascii="Calibri" w:hAnsi="Calibri" w:cs="Calibri"/>
              <w:szCs w:val="22"/>
              <w:lang w:val="en-US" w:eastAsia="en-US"/>
            </w:rPr>
          </w:pPr>
          <w:hyperlink w:anchor="__RefHeading___Toc404009627">
            <w:r>
              <w:rPr>
                <w:rStyle w:val="IndexLink"/>
                <w:lang w:val="en-US" w:eastAsia="en-US"/>
              </w:rPr>
              <w:t>七、</w:t>
            </w:r>
            <w:r>
              <w:rPr>
                <w:rStyle w:val="IndexLink"/>
                <w:lang w:val="en-US" w:eastAsia="en-US"/>
              </w:rPr>
              <w:t>KPI</w:t>
            </w:r>
            <w:r>
              <w:rPr>
                <w:rStyle w:val="IndexLink"/>
                <w:lang w:val="en-US" w:eastAsia="en-US"/>
              </w:rPr>
              <w:t>体系运行流程图</w:t>
            </w:r>
            <w:r>
              <w:rPr>
                <w:rStyle w:val="IndexLink"/>
                <w:lang w:val="en-US" w:eastAsia="en-US"/>
              </w:rPr>
              <w:tab/>
              <w:t>5</w:t>
            </w:r>
          </w:hyperlink>
        </w:p>
        <w:p>
          <w:pPr>
            <w:pStyle w:val="Contents1"/>
            <w:tabs>
              <w:tab w:val="clear" w:pos="420"/>
              <w:tab w:val="right" w:pos="8494" w:leader="dot"/>
            </w:tabs>
            <w:rPr>
              <w:rFonts w:ascii="Calibri" w:hAnsi="Calibri" w:cs="Calibri"/>
              <w:szCs w:val="22"/>
              <w:lang w:val="en-US" w:eastAsia="en-US"/>
            </w:rPr>
          </w:pPr>
          <w:hyperlink w:anchor="__RefHeading___Toc404009628">
            <w:r>
              <w:rPr>
                <w:rStyle w:val="IndexLink"/>
                <w:lang w:val="en-US" w:eastAsia="en-US"/>
              </w:rPr>
              <w:t>八、</w:t>
            </w:r>
            <w:r>
              <w:rPr>
                <w:rStyle w:val="IndexLink"/>
                <w:lang w:val="en-US" w:eastAsia="en-US"/>
              </w:rPr>
              <w:t>KPI</w:t>
            </w:r>
            <w:r>
              <w:rPr>
                <w:rStyle w:val="IndexLink"/>
                <w:lang w:val="en-US" w:eastAsia="en-US"/>
              </w:rPr>
              <w:t>考核量表</w:t>
            </w:r>
            <w:r>
              <w:rPr>
                <w:rStyle w:val="IndexLink"/>
                <w:lang w:val="en-US" w:eastAsia="en-US"/>
              </w:rPr>
              <w:tab/>
              <w:t>5</w:t>
            </w:r>
          </w:hyperlink>
        </w:p>
        <w:p>
          <w:pPr>
            <w:pStyle w:val="Contents1"/>
            <w:tabs>
              <w:tab w:val="clear" w:pos="420"/>
              <w:tab w:val="right" w:pos="8494" w:leader="dot"/>
            </w:tabs>
            <w:rPr>
              <w:rFonts w:ascii="Calibri" w:hAnsi="Calibri" w:cs="Calibri"/>
              <w:szCs w:val="22"/>
              <w:lang w:val="en-US" w:eastAsia="en-US"/>
            </w:rPr>
          </w:pPr>
          <w:hyperlink w:anchor="__RefHeading___Toc404009629">
            <w:r>
              <w:rPr>
                <w:rStyle w:val="IndexLink"/>
                <w:lang w:val="en-US" w:eastAsia="en-US"/>
              </w:rPr>
              <w:t>九、考核组织</w:t>
            </w:r>
            <w:r>
              <w:rPr>
                <w:rStyle w:val="IndexLink"/>
                <w:lang w:val="en-US" w:eastAsia="en-US"/>
              </w:rPr>
              <w:tab/>
              <w:t>6</w:t>
            </w:r>
          </w:hyperlink>
        </w:p>
        <w:p>
          <w:pPr>
            <w:pStyle w:val="Contents1"/>
            <w:tabs>
              <w:tab w:val="clear" w:pos="420"/>
              <w:tab w:val="right" w:pos="8494" w:leader="dot"/>
            </w:tabs>
            <w:rPr>
              <w:rFonts w:ascii="Calibri" w:hAnsi="Calibri" w:cs="Calibri"/>
              <w:szCs w:val="22"/>
              <w:lang w:val="en-US" w:eastAsia="en-US"/>
            </w:rPr>
          </w:pPr>
          <w:hyperlink w:anchor="__RefHeading___Toc404009630">
            <w:r>
              <w:rPr>
                <w:rStyle w:val="IndexLink"/>
                <w:lang w:val="en-US" w:eastAsia="en-US"/>
              </w:rPr>
              <w:t>十、考核周期及时间</w:t>
            </w:r>
            <w:r>
              <w:rPr>
                <w:rStyle w:val="IndexLink"/>
                <w:lang w:val="en-US" w:eastAsia="en-US"/>
              </w:rPr>
              <w:tab/>
              <w:t>7</w:t>
            </w:r>
          </w:hyperlink>
        </w:p>
        <w:p>
          <w:pPr>
            <w:pStyle w:val="Contents1"/>
            <w:tabs>
              <w:tab w:val="clear" w:pos="420"/>
              <w:tab w:val="right" w:pos="8494" w:leader="dot"/>
            </w:tabs>
            <w:rPr>
              <w:rFonts w:ascii="Calibri" w:hAnsi="Calibri" w:cs="Calibri"/>
              <w:szCs w:val="22"/>
              <w:lang w:val="en-US" w:eastAsia="en-US"/>
            </w:rPr>
          </w:pPr>
          <w:hyperlink w:anchor="__RefHeading___Toc404009631">
            <w:r>
              <w:rPr>
                <w:rStyle w:val="IndexLink"/>
                <w:lang w:val="en-US" w:eastAsia="en-US"/>
              </w:rPr>
              <w:t>十一、考核方法</w:t>
            </w:r>
            <w:r>
              <w:rPr>
                <w:rStyle w:val="IndexLink"/>
                <w:lang w:val="en-US" w:eastAsia="en-US"/>
              </w:rPr>
              <w:tab/>
              <w:t>7</w:t>
            </w:r>
          </w:hyperlink>
        </w:p>
        <w:p>
          <w:pPr>
            <w:pStyle w:val="Contents1"/>
            <w:tabs>
              <w:tab w:val="clear" w:pos="420"/>
              <w:tab w:val="right" w:pos="8494" w:leader="dot"/>
            </w:tabs>
            <w:rPr>
              <w:rFonts w:ascii="Calibri" w:hAnsi="Calibri" w:cs="Calibri"/>
              <w:szCs w:val="22"/>
              <w:lang w:val="en-US" w:eastAsia="en-US"/>
            </w:rPr>
          </w:pPr>
          <w:hyperlink w:anchor="__RefHeading___Toc404009632">
            <w:r>
              <w:rPr>
                <w:rStyle w:val="IndexLink"/>
                <w:lang w:val="en-US" w:eastAsia="en-US"/>
              </w:rPr>
              <w:t>十二、考核流程与说明</w:t>
            </w:r>
            <w:r>
              <w:rPr>
                <w:rStyle w:val="IndexLink"/>
                <w:lang w:val="en-US" w:eastAsia="en-US"/>
              </w:rPr>
              <w:tab/>
              <w:t>8</w:t>
            </w:r>
          </w:hyperlink>
        </w:p>
        <w:p>
          <w:pPr>
            <w:pStyle w:val="Contents1"/>
            <w:tabs>
              <w:tab w:val="clear" w:pos="420"/>
              <w:tab w:val="right" w:pos="8494" w:leader="dot"/>
            </w:tabs>
            <w:rPr>
              <w:rFonts w:ascii="Calibri" w:hAnsi="Calibri" w:cs="Calibri"/>
              <w:szCs w:val="22"/>
              <w:lang w:val="en-US" w:eastAsia="en-US"/>
            </w:rPr>
          </w:pPr>
          <w:hyperlink w:anchor="__RefHeading___Toc404009633">
            <w:r>
              <w:rPr>
                <w:rStyle w:val="IndexLink"/>
                <w:lang w:val="en-US" w:eastAsia="en-US"/>
              </w:rPr>
              <w:t>十三、考核结果应用</w:t>
            </w:r>
            <w:r>
              <w:rPr>
                <w:rStyle w:val="IndexLink"/>
                <w:lang w:val="en-US" w:eastAsia="en-US"/>
              </w:rPr>
              <w:tab/>
              <w:t>11</w:t>
            </w:r>
          </w:hyperlink>
        </w:p>
        <w:p>
          <w:pPr>
            <w:pStyle w:val="Contents1"/>
            <w:tabs>
              <w:tab w:val="clear" w:pos="420"/>
              <w:tab w:val="right" w:pos="8494" w:leader="dot"/>
            </w:tabs>
            <w:rPr>
              <w:rFonts w:ascii="Calibri" w:hAnsi="Calibri" w:cs="Calibri"/>
              <w:szCs w:val="22"/>
              <w:lang w:val="en-US" w:eastAsia="en-US"/>
            </w:rPr>
          </w:pPr>
          <w:hyperlink w:anchor="__RefHeading___Toc404009634">
            <w:r>
              <w:rPr>
                <w:rStyle w:val="IndexLink"/>
                <w:lang w:val="en-US" w:eastAsia="en-US"/>
              </w:rPr>
              <w:t>十四、解释权说明</w:t>
            </w:r>
            <w:r>
              <w:rPr>
                <w:rStyle w:val="IndexLink"/>
                <w:lang w:val="en-US" w:eastAsia="en-US"/>
              </w:rPr>
              <w:tab/>
              <w:t>12</w:t>
            </w:r>
          </w:hyperlink>
        </w:p>
        <w:p>
          <w:pPr>
            <w:pStyle w:val="Contents1"/>
            <w:tabs>
              <w:tab w:val="clear" w:pos="420"/>
              <w:tab w:val="right" w:pos="8494" w:leader="dot"/>
            </w:tabs>
            <w:rPr>
              <w:rFonts w:ascii="Calibri" w:hAnsi="Calibri" w:cs="Calibri"/>
              <w:szCs w:val="22"/>
              <w:lang w:val="en-US" w:eastAsia="en-US"/>
            </w:rPr>
          </w:pPr>
          <w:hyperlink w:anchor="__RefHeading___Toc404009635">
            <w:r>
              <w:rPr>
                <w:rStyle w:val="IndexLink"/>
                <w:lang w:val="en-US" w:eastAsia="en-US"/>
              </w:rPr>
              <w:t>十五、生效日期</w:t>
            </w:r>
            <w:r>
              <w:rPr>
                <w:rStyle w:val="IndexLink"/>
                <w:lang w:val="en-US" w:eastAsia="en-US"/>
              </w:rPr>
              <w:tab/>
              <w:t>12</w:t>
            </w:r>
          </w:hyperlink>
          <w:r>
            <w:rPr>
              <w:rStyle w:val="IndexLink"/>
              <w:lang w:val="en-US" w:eastAsia="en-US"/>
            </w:rPr>
            <w:fldChar w:fldCharType="end"/>
          </w:r>
        </w:p>
      </w:sdtContent>
    </w:sdt>
    <w:p>
      <w:pPr>
        <w:pStyle w:val="Normal"/>
        <w:rPr>
          <w:rFonts w:ascii="Calibri" w:hAnsi="Calibri" w:cs="Calibri"/>
          <w:szCs w:val="22"/>
          <w:lang w:val="en-US" w:eastAsia="en-US"/>
        </w:rPr>
      </w:pPr>
      <w:r>
        <w:rPr>
          <w:rFonts w:cs="Calibri" w:ascii="Calibri" w:hAnsi="Calibri"/>
          <w:szCs w:val="22"/>
          <w:lang w:val="en-US" w:eastAsia="en-US"/>
        </w:rPr>
      </w:r>
    </w:p>
    <w:p>
      <w:pPr>
        <w:pStyle w:val="Normal"/>
        <w:rPr/>
      </w:pPr>
      <w:r>
        <w:rPr/>
      </w:r>
    </w:p>
    <w:p>
      <w:pPr>
        <w:pStyle w:val="Normal"/>
        <w:rPr/>
      </w:pPr>
      <w:r>
        <w:rPr/>
      </w:r>
    </w:p>
    <w:tbl>
      <w:tblPr>
        <w:tblW w:w="9693" w:type="dxa"/>
        <w:jc w:val="center"/>
        <w:tblInd w:w="0" w:type="dxa"/>
        <w:tblLayout w:type="fixed"/>
        <w:tblCellMar>
          <w:top w:w="0" w:type="dxa"/>
          <w:start w:w="108" w:type="dxa"/>
          <w:bottom w:w="0" w:type="dxa"/>
          <w:end w:w="108" w:type="dxa"/>
        </w:tblCellMar>
      </w:tblPr>
      <w:tblGrid>
        <w:gridCol w:w="1871"/>
        <w:gridCol w:w="7822"/>
      </w:tblGrid>
      <w:tr>
        <w:trPr>
          <w:trHeight w:val="344" w:hRule="atLeast"/>
        </w:trPr>
        <w:tc>
          <w:tcPr>
            <w:tcW w:w="1871" w:type="dxa"/>
            <w:tcBorders>
              <w:top w:val="single" w:sz="12" w:space="0" w:color="000000"/>
              <w:start w:val="single" w:sz="12" w:space="0" w:color="000000"/>
              <w:bottom w:val="single" w:sz="4" w:space="0" w:color="000000"/>
              <w:end w:val="single" w:sz="4" w:space="0" w:color="000000"/>
            </w:tcBorders>
            <w:shd w:fill="FFFF00" w:val="clear"/>
            <w:vAlign w:val="center"/>
          </w:tcPr>
          <w:p>
            <w:pPr>
              <w:pStyle w:val="Normal"/>
              <w:spacing w:lineRule="exact" w:line="460"/>
              <w:jc w:val="center"/>
              <w:rPr>
                <w:b/>
                <w:b/>
                <w:sz w:val="24"/>
              </w:rPr>
            </w:pPr>
            <w:r>
              <w:rPr>
                <w:b/>
                <w:sz w:val="24"/>
              </w:rPr>
              <w:t>标题</w:t>
            </w:r>
          </w:p>
        </w:tc>
        <w:tc>
          <w:tcPr>
            <w:tcW w:w="7822" w:type="dxa"/>
            <w:tcBorders>
              <w:top w:val="single" w:sz="12" w:space="0" w:color="000000"/>
              <w:start w:val="single" w:sz="4" w:space="0" w:color="000000"/>
              <w:bottom w:val="single" w:sz="4" w:space="0" w:color="000000"/>
              <w:end w:val="single" w:sz="12" w:space="0" w:color="000000"/>
            </w:tcBorders>
            <w:shd w:fill="FFFF00" w:val="clear"/>
            <w:vAlign w:val="center"/>
          </w:tcPr>
          <w:p>
            <w:pPr>
              <w:pStyle w:val="Normal"/>
              <w:spacing w:lineRule="exact" w:line="460"/>
              <w:jc w:val="center"/>
              <w:rPr>
                <w:b/>
                <w:b/>
                <w:sz w:val="24"/>
              </w:rPr>
            </w:pPr>
            <w:r>
              <w:rPr>
                <w:b/>
                <w:sz w:val="24"/>
              </w:rPr>
              <w:t>内容</w:t>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rPr/>
            </w:pPr>
            <w:bookmarkStart w:id="0" w:name="__RefHeading___Toc404009621"/>
            <w:bookmarkEnd w:id="0"/>
            <w:r>
              <w:rPr/>
              <w:t>一、考核目的</w:t>
            </w:r>
          </w:p>
        </w:tc>
        <w:tc>
          <w:tcPr>
            <w:tcW w:w="7822" w:type="dxa"/>
            <w:tcBorders>
              <w:top w:val="single" w:sz="4" w:space="0" w:color="000000"/>
              <w:start w:val="single" w:sz="4" w:space="0" w:color="000000"/>
              <w:bottom w:val="single" w:sz="4" w:space="0" w:color="000000"/>
              <w:end w:val="single" w:sz="12" w:space="0" w:color="000000"/>
            </w:tcBorders>
          </w:tcPr>
          <w:p>
            <w:pPr>
              <w:pStyle w:val="Normal"/>
              <w:widowControl/>
              <w:shd w:fill="FFFFFF" w:val="clear"/>
              <w:snapToGrid w:val="false"/>
              <w:spacing w:lineRule="atLeast" w:line="360"/>
              <w:jc w:val="start"/>
              <w:rPr>
                <w:rFonts w:ascii="宋体" w:hAnsi="宋体" w:cs="宋体"/>
                <w:kern w:val="0"/>
                <w:sz w:val="24"/>
              </w:rPr>
            </w:pPr>
            <w:r>
              <w:rPr>
                <w:rFonts w:cs="宋体" w:ascii="宋体" w:hAnsi="宋体"/>
                <w:kern w:val="0"/>
                <w:sz w:val="24"/>
              </w:rPr>
            </w:r>
          </w:p>
          <w:p>
            <w:pPr>
              <w:pStyle w:val="Normal"/>
              <w:spacing w:lineRule="exact" w:line="460"/>
              <w:rPr>
                <w:sz w:val="24"/>
              </w:rPr>
            </w:pPr>
            <w:r>
              <w:rPr>
                <w:sz w:val="24"/>
              </w:rPr>
              <w:t>1.1</w:t>
            </w:r>
            <w:r>
              <w:rPr>
                <w:sz w:val="24"/>
              </w:rPr>
              <w:t>有效的促进战略目标与规划的落地实施，并促使全体员工的价值创造为公司战略目标以及核心业务活动而服务；</w:t>
            </w:r>
          </w:p>
          <w:p>
            <w:pPr>
              <w:pStyle w:val="Normal"/>
              <w:spacing w:lineRule="exact" w:line="460"/>
              <w:rPr>
                <w:sz w:val="24"/>
              </w:rPr>
            </w:pPr>
            <w:r>
              <w:rPr>
                <w:sz w:val="24"/>
              </w:rPr>
              <w:t>1.2</w:t>
            </w:r>
            <w:r>
              <w:rPr>
                <w:sz w:val="24"/>
              </w:rPr>
              <w:t>建立公平、公正、透明的绩效考核长效机制，最大限度的提高激励效果，充分激发员工的主观能动性，并营造良好竞争氛围；</w:t>
            </w:r>
          </w:p>
          <w:p>
            <w:pPr>
              <w:pStyle w:val="Normal"/>
              <w:spacing w:lineRule="exact" w:line="460"/>
              <w:rPr>
                <w:sz w:val="24"/>
              </w:rPr>
            </w:pPr>
            <w:r>
              <w:rPr>
                <w:sz w:val="24"/>
              </w:rPr>
              <w:t>1.3</w:t>
            </w:r>
            <w:r>
              <w:rPr>
                <w:sz w:val="24"/>
              </w:rPr>
              <w:t>持续改善经营绩效，实现企业战略目标。</w:t>
            </w:r>
          </w:p>
          <w:p>
            <w:pPr>
              <w:pStyle w:val="Style16"/>
              <w:spacing w:lineRule="exact" w:line="460"/>
              <w:ind w:start="840" w:hanging="0"/>
              <w:rPr>
                <w:sz w:val="24"/>
              </w:rPr>
            </w:pPr>
            <w:r>
              <w:rPr>
                <w:sz w:val="24"/>
              </w:rPr>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1" w:name="__RefHeading___Toc404009622"/>
            <w:bookmarkEnd w:id="1"/>
            <w:r>
              <w:rPr/>
              <w:t>二、基于</w:t>
            </w:r>
            <w:r>
              <w:rPr/>
              <w:t>KPI</w:t>
            </w:r>
            <w:r>
              <w:rPr/>
              <w:t>绩效考核管理理念</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rPr>
                <w:sz w:val="24"/>
              </w:rPr>
            </w:pPr>
            <w:r>
              <w:rPr>
                <w:sz w:val="24"/>
              </w:rPr>
              <w:t>2.1 KPI</w:t>
            </w:r>
            <w:r>
              <w:rPr>
                <w:sz w:val="24"/>
              </w:rPr>
              <w:t>绩效管理是把企业战略目标科学地转化为组织和组织成员行动的管理过程，因此，</w:t>
            </w:r>
            <w:r>
              <w:rPr>
                <w:sz w:val="24"/>
              </w:rPr>
              <w:t>KPI</w:t>
            </w:r>
            <w:r>
              <w:rPr>
                <w:sz w:val="24"/>
              </w:rPr>
              <w:t>绩效考核管理是战略管理的过程管理，是公司战略目标的实现过程；</w:t>
            </w:r>
          </w:p>
          <w:p>
            <w:pPr>
              <w:pStyle w:val="Normal"/>
              <w:spacing w:lineRule="exact" w:line="460"/>
              <w:rPr>
                <w:sz w:val="24"/>
              </w:rPr>
            </w:pPr>
            <w:r>
              <w:rPr>
                <w:sz w:val="24"/>
              </w:rPr>
              <w:t>2.2  KPI</w:t>
            </w:r>
            <w:r>
              <w:rPr>
                <w:sz w:val="24"/>
              </w:rPr>
              <w:t>是组织及组织行为方向指引和结果评价的标杆；</w:t>
            </w:r>
          </w:p>
          <w:p>
            <w:pPr>
              <w:pStyle w:val="Normal"/>
              <w:spacing w:lineRule="exact" w:line="460"/>
              <w:rPr>
                <w:sz w:val="24"/>
              </w:rPr>
            </w:pPr>
            <w:r>
              <w:rPr>
                <w:sz w:val="24"/>
              </w:rPr>
              <w:t>2.3</w:t>
              <w:tab/>
              <w:t>KPI</w:t>
            </w:r>
            <w:r>
              <w:rPr>
                <w:sz w:val="24"/>
              </w:rPr>
              <w:t>绩效管理是把个人、团队、组织的目标和绩效与价值分配进行有机结合和管理的过程；</w:t>
            </w:r>
          </w:p>
          <w:p>
            <w:pPr>
              <w:pStyle w:val="Normal"/>
              <w:spacing w:lineRule="exact" w:line="460"/>
              <w:rPr>
                <w:sz w:val="24"/>
              </w:rPr>
            </w:pPr>
            <w:r>
              <w:rPr>
                <w:sz w:val="24"/>
              </w:rPr>
              <w:t>2.4 KPI</w:t>
            </w:r>
            <w:r>
              <w:rPr>
                <w:sz w:val="24"/>
              </w:rPr>
              <w:t>绩效管理是抓住企业发展关键要素、关注企业核心价值创造的管理过程；</w:t>
            </w:r>
          </w:p>
          <w:p>
            <w:pPr>
              <w:pStyle w:val="Normal"/>
              <w:spacing w:lineRule="exact" w:line="460"/>
              <w:rPr>
                <w:sz w:val="24"/>
              </w:rPr>
            </w:pPr>
            <w:r>
              <w:rPr>
                <w:sz w:val="24"/>
              </w:rPr>
              <w:t>2.5 KPI</w:t>
            </w:r>
            <w:r>
              <w:rPr>
                <w:sz w:val="24"/>
              </w:rPr>
              <w:t>绩效管理是各级主管参与的管理过程，是全员追求共同目标的过程。</w:t>
            </w:r>
          </w:p>
          <w:p>
            <w:pPr>
              <w:pStyle w:val="Normal"/>
              <w:spacing w:lineRule="exact" w:line="460"/>
              <w:rPr>
                <w:rFonts w:ascii="宋体" w:hAnsi="宋体" w:cs="宋体"/>
                <w:kern w:val="0"/>
                <w:sz w:val="24"/>
              </w:rPr>
            </w:pPr>
            <w:r>
              <w:rPr>
                <w:rFonts w:cs="宋体" w:ascii="宋体" w:hAnsi="宋体"/>
                <w:kern w:val="0"/>
                <w:sz w:val="24"/>
              </w:rPr>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2" w:name="__RefHeading___Toc404009623"/>
            <w:bookmarkEnd w:id="2"/>
            <w:r>
              <w:rPr/>
              <w:t>三、</w:t>
            </w:r>
            <w:r>
              <w:rPr/>
              <w:t>KRA</w:t>
            </w:r>
            <w:r>
              <w:rPr/>
              <w:t>与</w:t>
            </w:r>
            <w:r>
              <w:rPr/>
              <w:t>KPI</w:t>
            </w:r>
            <w:r>
              <w:rPr/>
              <w:t>释义</w:t>
            </w:r>
            <w:r>
              <w:rPr>
                <w:rStyle w:val="FootnoteCharacters"/>
                <w:rStyle w:val="FootnoteAnchor"/>
              </w:rPr>
              <w:footnoteReference w:id="2"/>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rPr>
                <w:sz w:val="24"/>
              </w:rPr>
            </w:pPr>
            <w:r>
              <w:rPr>
                <w:sz w:val="24"/>
              </w:rPr>
              <w:t>3.1</w:t>
              <w:tab/>
            </w:r>
            <w:r>
              <w:rPr>
                <w:sz w:val="24"/>
              </w:rPr>
              <w:t>关键结果领域（</w:t>
            </w:r>
            <w:r>
              <w:rPr>
                <w:sz w:val="24"/>
              </w:rPr>
              <w:t>KRA</w:t>
            </w:r>
            <w:r>
              <w:rPr>
                <w:sz w:val="24"/>
              </w:rPr>
              <w:t>）：是对公司使命、愿景及目标达成有着至关重要影响和直接贡献的领域。</w:t>
            </w:r>
          </w:p>
          <w:p>
            <w:pPr>
              <w:pStyle w:val="Normal"/>
              <w:spacing w:lineRule="exact" w:line="460"/>
              <w:rPr>
                <w:sz w:val="24"/>
              </w:rPr>
            </w:pPr>
            <w:r>
              <w:rPr>
                <w:sz w:val="24"/>
              </w:rPr>
              <w:t>3.2</w:t>
              <w:tab/>
            </w:r>
            <w:r>
              <w:rPr>
                <w:sz w:val="24"/>
              </w:rPr>
              <w:t>关键绩效指标（</w:t>
            </w:r>
            <w:r>
              <w:rPr>
                <w:sz w:val="24"/>
              </w:rPr>
              <w:t>KPI</w:t>
            </w:r>
            <w:r>
              <w:rPr>
                <w:sz w:val="24"/>
              </w:rPr>
              <w:t>）：是衡量公司关键成功要素的可量化的措施；是依据企业组织、成员行为与战略目标之间的价值创造关系、因果关系建立起来的指标体系。</w:t>
            </w:r>
          </w:p>
          <w:p>
            <w:pPr>
              <w:pStyle w:val="Normal"/>
              <w:spacing w:lineRule="exact" w:line="460"/>
              <w:rPr>
                <w:sz w:val="24"/>
              </w:rPr>
            </w:pPr>
            <w:r>
              <w:rPr>
                <w:sz w:val="24"/>
              </w:rPr>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3" w:name="__RefHeading___Toc404009624"/>
            <w:bookmarkEnd w:id="3"/>
            <w:r>
              <w:rPr/>
              <w:t>四、适用范围</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rPr>
                <w:sz w:val="24"/>
              </w:rPr>
            </w:pPr>
            <w:r>
              <w:rPr>
                <w:sz w:val="24"/>
              </w:rPr>
              <w:t>4.1</w:t>
              <w:tab/>
              <w:t>KPI</w:t>
            </w:r>
            <w:r>
              <w:rPr>
                <w:sz w:val="24"/>
              </w:rPr>
              <w:t>指标体系的制定原则、使用方法及体系运行机制构建。</w:t>
            </w:r>
          </w:p>
          <w:p>
            <w:pPr>
              <w:pStyle w:val="Normal"/>
              <w:spacing w:lineRule="exact" w:line="460"/>
              <w:rPr>
                <w:sz w:val="24"/>
              </w:rPr>
            </w:pPr>
            <w:r>
              <w:rPr>
                <w:sz w:val="24"/>
              </w:rPr>
              <w:t>4.2</w:t>
              <w:tab/>
              <w:t>KPI</w:t>
            </w:r>
            <w:r>
              <w:rPr>
                <w:sz w:val="24"/>
              </w:rPr>
              <w:t>运行体系维护与管理。</w:t>
            </w:r>
          </w:p>
          <w:p>
            <w:pPr>
              <w:pStyle w:val="Normal"/>
              <w:spacing w:lineRule="exact" w:line="460"/>
              <w:rPr>
                <w:sz w:val="24"/>
              </w:rPr>
            </w:pPr>
            <w:r>
              <w:rPr>
                <w:sz w:val="24"/>
              </w:rPr>
              <w:t>4.3</w:t>
              <w:tab/>
            </w:r>
            <w:r>
              <w:rPr>
                <w:sz w:val="24"/>
              </w:rPr>
              <w:t>全公司以及各部门、各职位的</w:t>
            </w:r>
            <w:r>
              <w:rPr>
                <w:sz w:val="24"/>
              </w:rPr>
              <w:t>KPI</w:t>
            </w:r>
            <w:r>
              <w:rPr>
                <w:sz w:val="24"/>
              </w:rPr>
              <w:t>的制定、修正、更改。</w:t>
            </w:r>
          </w:p>
          <w:p>
            <w:pPr>
              <w:pStyle w:val="Normal"/>
              <w:spacing w:lineRule="exact" w:line="460"/>
              <w:rPr>
                <w:sz w:val="24"/>
              </w:rPr>
            </w:pPr>
            <w:r>
              <w:rPr>
                <w:sz w:val="24"/>
              </w:rPr>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4" w:name="__RefHeading___Toc404009625"/>
            <w:bookmarkEnd w:id="4"/>
            <w:r>
              <w:rPr/>
              <w:t>五、考核原则</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rPr>
                <w:sz w:val="24"/>
              </w:rPr>
            </w:pPr>
            <w:r>
              <w:rPr>
                <w:sz w:val="24"/>
              </w:rPr>
              <w:t xml:space="preserve">5.1 </w:t>
            </w:r>
            <w:r>
              <w:rPr>
                <w:sz w:val="24"/>
              </w:rPr>
              <w:t>考核可量化：考核指标尽可能量化或者具体行为化；</w:t>
            </w:r>
          </w:p>
          <w:p>
            <w:pPr>
              <w:pStyle w:val="Normal"/>
              <w:spacing w:lineRule="exact" w:line="460"/>
              <w:rPr>
                <w:sz w:val="24"/>
              </w:rPr>
            </w:pPr>
            <w:r>
              <w:rPr>
                <w:sz w:val="24"/>
              </w:rPr>
              <w:t xml:space="preserve">5.2 </w:t>
            </w:r>
            <w:r>
              <w:rPr>
                <w:sz w:val="24"/>
              </w:rPr>
              <w:t>考核客观化：必须依据客观的事实或者工作表现；</w:t>
            </w:r>
          </w:p>
          <w:p>
            <w:pPr>
              <w:pStyle w:val="Normal"/>
              <w:spacing w:lineRule="exact" w:line="460"/>
              <w:rPr>
                <w:sz w:val="24"/>
              </w:rPr>
            </w:pPr>
            <w:r>
              <w:rPr>
                <w:sz w:val="24"/>
              </w:rPr>
              <w:t xml:space="preserve">5.3 </w:t>
            </w:r>
            <w:r>
              <w:rPr>
                <w:sz w:val="24"/>
              </w:rPr>
              <w:t>考核公平化：主要指考核工作开展做到公开、公平、公正、透明；</w:t>
            </w:r>
          </w:p>
          <w:p>
            <w:pPr>
              <w:pStyle w:val="Normal"/>
              <w:spacing w:lineRule="exact" w:line="460"/>
              <w:rPr>
                <w:sz w:val="24"/>
              </w:rPr>
            </w:pPr>
            <w:r>
              <w:rPr>
                <w:sz w:val="24"/>
              </w:rPr>
              <w:t xml:space="preserve">5.4 </w:t>
            </w:r>
            <w:r>
              <w:rPr>
                <w:sz w:val="24"/>
              </w:rPr>
              <w:t>考核互动化：主要指考核者与被考核者之间要有良好沟通机制，在双向沟通互动过程中有效开展考核与绩效改进工作；</w:t>
            </w:r>
          </w:p>
          <w:p>
            <w:pPr>
              <w:pStyle w:val="Normal"/>
              <w:spacing w:lineRule="exact" w:line="460"/>
              <w:rPr>
                <w:sz w:val="24"/>
              </w:rPr>
            </w:pPr>
            <w:r>
              <w:rPr>
                <w:sz w:val="24"/>
              </w:rPr>
              <w:t xml:space="preserve">5.5 </w:t>
            </w:r>
            <w:r>
              <w:rPr>
                <w:sz w:val="24"/>
              </w:rPr>
              <w:t>考核高效化：不能为了考核而考核，要通过绩效考核指导、约束、激励被考核者达成业绩目标并不断改善绩效。</w:t>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5" w:name="__RefHeading___Toc404009626"/>
            <w:bookmarkEnd w:id="5"/>
            <w:r>
              <w:rPr/>
              <w:t>六、考核依据（</w:t>
            </w:r>
            <w:r>
              <w:rPr/>
              <w:t>KPI</w:t>
            </w:r>
            <w:r>
              <w:rPr/>
              <w:t>设定原则）</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rPr>
                <w:sz w:val="24"/>
              </w:rPr>
            </w:pPr>
            <w:r>
              <w:rPr>
                <w:sz w:val="24"/>
              </w:rPr>
              <w:t>6.1</w:t>
              <w:tab/>
            </w:r>
            <w:r>
              <w:rPr>
                <w:sz w:val="24"/>
              </w:rPr>
              <w:t>战略目标性原则：</w:t>
            </w:r>
          </w:p>
          <w:p>
            <w:pPr>
              <w:pStyle w:val="Normal"/>
              <w:spacing w:lineRule="exact" w:line="460"/>
              <w:rPr>
                <w:sz w:val="24"/>
              </w:rPr>
            </w:pPr>
            <w:r>
              <w:rPr>
                <w:sz w:val="24"/>
              </w:rPr>
              <w:t>KPI</w:t>
            </w:r>
            <w:r>
              <w:rPr>
                <w:sz w:val="24"/>
              </w:rPr>
              <w:t>源自战略目标分解。其设计出发点和目的，就是为了公司实现其战略目标，</w:t>
            </w:r>
            <w:r>
              <w:rPr>
                <w:sz w:val="24"/>
              </w:rPr>
              <w:t>KPI</w:t>
            </w:r>
            <w:r>
              <w:rPr>
                <w:sz w:val="24"/>
              </w:rPr>
              <w:t>应公分体现公司战略的行动策略。</w:t>
            </w:r>
          </w:p>
          <w:p>
            <w:pPr>
              <w:pStyle w:val="Normal"/>
              <w:spacing w:lineRule="exact" w:line="460"/>
              <w:rPr>
                <w:sz w:val="24"/>
              </w:rPr>
            </w:pPr>
            <w:r>
              <w:rPr>
                <w:sz w:val="24"/>
              </w:rPr>
              <w:t>6.2</w:t>
              <w:tab/>
            </w:r>
            <w:r>
              <w:rPr>
                <w:sz w:val="24"/>
              </w:rPr>
              <w:t>关键性原则：</w:t>
            </w:r>
          </w:p>
          <w:p>
            <w:pPr>
              <w:pStyle w:val="Normal"/>
              <w:spacing w:lineRule="exact" w:line="460"/>
              <w:rPr>
                <w:sz w:val="24"/>
              </w:rPr>
            </w:pPr>
            <w:r>
              <w:rPr>
                <w:sz w:val="24"/>
              </w:rPr>
              <w:t>KPI</w:t>
            </w:r>
            <w:r>
              <w:rPr>
                <w:sz w:val="24"/>
              </w:rPr>
              <w:t>的最大特点就是抓住企业发展的关键要素，它也是各部门及员工完成最终绩效的关键行为的标杆，是行为和绩效因果关系的逻辑交点。因此，各部门及员工的绩效应体现在关键指标上，指标数量不宜过多。</w:t>
            </w:r>
          </w:p>
          <w:p>
            <w:pPr>
              <w:pStyle w:val="Normal"/>
              <w:spacing w:lineRule="exact" w:line="460"/>
              <w:rPr>
                <w:sz w:val="24"/>
              </w:rPr>
            </w:pPr>
            <w:r>
              <w:rPr>
                <w:sz w:val="24"/>
              </w:rPr>
              <w:t>6.3</w:t>
              <w:tab/>
            </w:r>
            <w:r>
              <w:rPr>
                <w:sz w:val="24"/>
              </w:rPr>
              <w:t>系统平衡性原则：</w:t>
            </w:r>
          </w:p>
          <w:p>
            <w:pPr>
              <w:pStyle w:val="Normal"/>
              <w:spacing w:lineRule="exact" w:line="460"/>
              <w:rPr>
                <w:sz w:val="24"/>
              </w:rPr>
            </w:pPr>
            <w:r>
              <w:rPr>
                <w:sz w:val="24"/>
              </w:rPr>
              <w:t>KPI</w:t>
            </w:r>
            <w:r>
              <w:rPr>
                <w:sz w:val="24"/>
              </w:rPr>
              <w:t>体系应保持动态的相对平衡，即内部指向性指标与外部指向性指标的平衡、客观性指标和主观驱动性指标的平衡、当前评价性指标和未来牵引性指标的平衡。企业的进步就是在内部向外部、客观向主观、现实向未来的寻求平衡中体现。</w:t>
            </w:r>
          </w:p>
          <w:p>
            <w:pPr>
              <w:pStyle w:val="Normal"/>
              <w:spacing w:lineRule="exact" w:line="460"/>
              <w:rPr>
                <w:sz w:val="24"/>
              </w:rPr>
            </w:pPr>
            <w:r>
              <w:rPr>
                <w:sz w:val="24"/>
              </w:rPr>
              <w:t>6.4</w:t>
              <w:tab/>
            </w:r>
            <w:r>
              <w:rPr>
                <w:sz w:val="24"/>
              </w:rPr>
              <w:t>因果逻辑性原则：</w:t>
            </w:r>
          </w:p>
          <w:p>
            <w:pPr>
              <w:pStyle w:val="Normal"/>
              <w:spacing w:lineRule="exact" w:line="460"/>
              <w:rPr>
                <w:sz w:val="24"/>
              </w:rPr>
            </w:pPr>
            <w:r>
              <w:rPr>
                <w:sz w:val="24"/>
              </w:rPr>
              <w:t>KPI</w:t>
            </w:r>
            <w:r>
              <w:rPr>
                <w:sz w:val="24"/>
              </w:rPr>
              <w:t>体系必须体现“目标——行为——结果”之间的因果逻辑关系，即行为策略必须为目标服务，行为的结果必须趋向公司愿景的结果，同时行为结果也是目标实现的必然。</w:t>
            </w:r>
          </w:p>
          <w:p>
            <w:pPr>
              <w:pStyle w:val="Normal"/>
              <w:spacing w:lineRule="exact" w:line="460"/>
              <w:rPr>
                <w:sz w:val="24"/>
              </w:rPr>
            </w:pPr>
            <w:r>
              <w:rPr>
                <w:sz w:val="24"/>
              </w:rPr>
              <w:t>6.5</w:t>
              <w:tab/>
            </w:r>
            <w:r>
              <w:rPr>
                <w:sz w:val="24"/>
              </w:rPr>
              <w:t>一致性原则：</w:t>
            </w:r>
          </w:p>
          <w:p>
            <w:pPr>
              <w:pStyle w:val="Normal"/>
              <w:spacing w:lineRule="exact" w:line="460"/>
              <w:rPr>
                <w:sz w:val="24"/>
              </w:rPr>
            </w:pPr>
            <w:r>
              <w:rPr>
                <w:sz w:val="24"/>
              </w:rPr>
              <w:t>KPI</w:t>
            </w:r>
            <w:r>
              <w:rPr>
                <w:sz w:val="24"/>
              </w:rPr>
              <w:t>体系为处于不同层级和执行不同行为内容的公司员工提供了相同诠释的语言和标准，</w:t>
            </w:r>
            <w:r>
              <w:rPr>
                <w:sz w:val="24"/>
              </w:rPr>
              <w:t>KPI</w:t>
            </w:r>
            <w:r>
              <w:rPr>
                <w:sz w:val="24"/>
              </w:rPr>
              <w:t>对于完成公司绩效，其指向是一致的。</w:t>
            </w:r>
          </w:p>
          <w:p>
            <w:pPr>
              <w:pStyle w:val="Normal"/>
              <w:spacing w:lineRule="exact" w:line="460"/>
              <w:rPr>
                <w:sz w:val="24"/>
              </w:rPr>
            </w:pPr>
            <w:r>
              <w:rPr>
                <w:sz w:val="24"/>
              </w:rPr>
              <w:t>6.6</w:t>
              <w:tab/>
            </w:r>
            <w:r>
              <w:rPr>
                <w:sz w:val="24"/>
              </w:rPr>
              <w:t>价值性原则：</w:t>
            </w:r>
          </w:p>
          <w:p>
            <w:pPr>
              <w:pStyle w:val="Normal"/>
              <w:spacing w:lineRule="exact" w:line="460"/>
              <w:rPr>
                <w:sz w:val="24"/>
              </w:rPr>
            </w:pPr>
            <w:r>
              <w:rPr>
                <w:sz w:val="24"/>
              </w:rPr>
              <w:t>KPI</w:t>
            </w:r>
            <w:r>
              <w:rPr>
                <w:sz w:val="24"/>
              </w:rPr>
              <w:t>源自战略目标分解，最终又是为了实现战略目标而服务。因此，</w:t>
            </w:r>
            <w:r>
              <w:rPr>
                <w:sz w:val="24"/>
              </w:rPr>
              <w:t>KPI</w:t>
            </w:r>
            <w:r>
              <w:rPr>
                <w:sz w:val="24"/>
              </w:rPr>
              <w:t>的设定，始终坚持为公司创造价值的原则。</w:t>
            </w:r>
          </w:p>
        </w:tc>
      </w:tr>
      <w:tr>
        <w:trPr>
          <w:trHeight w:val="1215"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6" w:name="__RefHeading___Toc404009627"/>
            <w:bookmarkEnd w:id="6"/>
            <w:r>
              <w:rPr/>
              <w:t>七、</w:t>
            </w:r>
            <w:r>
              <w:rPr/>
              <w:t>KPI</w:t>
            </w:r>
            <w:r>
              <w:rPr/>
              <w:t>体系运行流程图</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ind w:firstLine="480"/>
              <w:rPr>
                <w:sz w:val="24"/>
              </w:rPr>
            </w:pPr>
            <w:r>
              <w:rPr>
                <w:sz w:val="24"/>
              </w:rPr>
              <w:t>KPI</w:t>
            </w:r>
            <w:r>
              <w:rPr>
                <w:sz w:val="24"/>
              </w:rPr>
              <w:t>体系运行原理，主要采用</w:t>
            </w:r>
            <w:r>
              <w:rPr>
                <w:sz w:val="24"/>
              </w:rPr>
              <w:t>KRA</w:t>
            </w:r>
            <w:r>
              <w:rPr>
                <w:sz w:val="24"/>
              </w:rPr>
              <w:t>方法和策略地图、</w:t>
            </w:r>
            <w:r>
              <w:rPr>
                <w:sz w:val="24"/>
              </w:rPr>
              <w:t>SCOR</w:t>
            </w:r>
            <w:r>
              <w:rPr>
                <w:rStyle w:val="FootnoteCharacters"/>
                <w:rStyle w:val="FootnoteAnchor"/>
                <w:sz w:val="24"/>
              </w:rPr>
              <w:footnoteReference w:id="3"/>
            </w:r>
            <w:r>
              <w:rPr>
                <w:sz w:val="24"/>
              </w:rPr>
              <w:t>法、</w:t>
            </w:r>
            <w:r>
              <w:rPr>
                <w:sz w:val="24"/>
              </w:rPr>
              <w:t>BSC</w:t>
            </w:r>
            <w:r>
              <w:rPr>
                <w:sz w:val="24"/>
              </w:rPr>
              <w:t>、</w:t>
            </w:r>
            <w:r>
              <w:rPr>
                <w:sz w:val="24"/>
              </w:rPr>
              <w:t>PDCA</w:t>
            </w:r>
            <w:r>
              <w:rPr>
                <w:sz w:val="24"/>
              </w:rPr>
              <w:t>循环法等理论进行的。具体的</w:t>
            </w:r>
            <w:r>
              <w:rPr>
                <w:sz w:val="24"/>
              </w:rPr>
              <w:t>KPI</w:t>
            </w:r>
            <w:r>
              <w:rPr>
                <w:sz w:val="24"/>
              </w:rPr>
              <w:t>体系运行流程见下图（详见附件）：</w:t>
            </w:r>
          </w:p>
          <w:p>
            <w:pPr>
              <w:pStyle w:val="Normal"/>
              <w:spacing w:lineRule="exact" w:line="460"/>
              <w:ind w:firstLine="480"/>
              <w:rPr>
                <w:sz w:val="24"/>
              </w:rPr>
            </w:pPr>
            <w:r>
              <w:rPr>
                <w:sz w:val="24"/>
              </w:rPr>
              <w:t xml:space="preserve">7.1 </w:t>
            </w:r>
            <w:r>
              <w:rPr>
                <w:sz w:val="24"/>
              </w:rPr>
              <w:t>某企业</w:t>
            </w:r>
            <w:r>
              <w:rPr>
                <w:sz w:val="24"/>
              </w:rPr>
              <w:t>PDCA</w:t>
            </w:r>
            <w:r>
              <w:rPr>
                <w:sz w:val="24"/>
              </w:rPr>
              <w:t>运行流程图</w:t>
            </w:r>
            <w:r>
              <w:rPr>
                <w:sz w:val="24"/>
              </w:rPr>
              <w:t>1</w:t>
            </w:r>
          </w:p>
          <w:p>
            <w:pPr>
              <w:pStyle w:val="Normal"/>
              <w:spacing w:lineRule="exact" w:line="460"/>
              <w:ind w:firstLine="480"/>
              <w:rPr>
                <w:sz w:val="24"/>
              </w:rPr>
            </w:pPr>
            <w:r>
              <w:rPr>
                <w:sz w:val="24"/>
              </w:rPr>
              <w:t xml:space="preserve">7.2 </w:t>
            </w:r>
            <w:r>
              <w:rPr>
                <w:sz w:val="24"/>
              </w:rPr>
              <w:t>某企业</w:t>
            </w:r>
            <w:r>
              <w:rPr>
                <w:sz w:val="24"/>
              </w:rPr>
              <w:t>PDCA</w:t>
            </w:r>
            <w:r>
              <w:rPr>
                <w:sz w:val="24"/>
              </w:rPr>
              <w:t>运行流程图</w:t>
            </w:r>
            <w:r>
              <w:rPr>
                <w:sz w:val="24"/>
              </w:rPr>
              <w:t>2</w:t>
            </w:r>
          </w:p>
          <w:p>
            <w:pPr>
              <w:pStyle w:val="Normal"/>
              <w:spacing w:lineRule="exact" w:line="460"/>
              <w:ind w:firstLine="480"/>
              <w:rPr>
                <w:sz w:val="24"/>
              </w:rPr>
            </w:pPr>
            <w:r>
              <w:rPr>
                <w:sz w:val="24"/>
              </w:rPr>
              <w:t xml:space="preserve">7.3 </w:t>
            </w:r>
            <w:r>
              <w:rPr>
                <w:sz w:val="24"/>
              </w:rPr>
              <w:t>某企业</w:t>
            </w:r>
            <w:r>
              <w:rPr>
                <w:sz w:val="24"/>
              </w:rPr>
              <w:t>KPI</w:t>
            </w:r>
            <w:r>
              <w:rPr>
                <w:sz w:val="24"/>
              </w:rPr>
              <w:t>体系运行流程图</w:t>
            </w:r>
            <w:r>
              <w:rPr>
                <w:sz w:val="24"/>
              </w:rPr>
              <w:t>3</w:t>
            </w:r>
          </w:p>
          <w:p>
            <w:pPr>
              <w:pStyle w:val="Normal"/>
              <w:spacing w:lineRule="exact" w:line="460"/>
              <w:rPr>
                <w:sz w:val="24"/>
              </w:rPr>
            </w:pPr>
            <w:r>
              <w:rPr>
                <w:sz w:val="24"/>
              </w:rPr>
            </w:r>
          </w:p>
        </w:tc>
      </w:tr>
      <w:tr>
        <w:trPr>
          <w:trHeight w:val="7452"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7" w:name="__RefHeading___Toc404009628"/>
            <w:bookmarkEnd w:id="7"/>
            <w:r>
              <w:rPr/>
              <w:t>八、</w:t>
            </w:r>
            <w:r>
              <w:rPr/>
              <w:t>KPI</w:t>
            </w:r>
            <w:r>
              <w:rPr/>
              <w:t>考核量表</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ind w:firstLine="480"/>
              <w:rPr>
                <w:sz w:val="24"/>
              </w:rPr>
            </w:pPr>
            <w:r>
              <w:rPr>
                <w:sz w:val="24"/>
              </w:rPr>
              <w:t>略。以下为市场部经理岗位考核量表示例：</w:t>
            </w:r>
          </w:p>
          <w:tbl>
            <w:tblPr>
              <w:tblW w:w="7575" w:type="dxa"/>
              <w:jc w:val="start"/>
              <w:tblInd w:w="108" w:type="dxa"/>
              <w:tblLayout w:type="fixed"/>
              <w:tblCellMar>
                <w:top w:w="0" w:type="dxa"/>
                <w:start w:w="108" w:type="dxa"/>
                <w:bottom w:w="0" w:type="dxa"/>
                <w:end w:w="108" w:type="dxa"/>
              </w:tblCellMar>
            </w:tblPr>
            <w:tblGrid>
              <w:gridCol w:w="1622"/>
              <w:gridCol w:w="720"/>
              <w:gridCol w:w="720"/>
              <w:gridCol w:w="720"/>
              <w:gridCol w:w="817"/>
              <w:gridCol w:w="708"/>
              <w:gridCol w:w="851"/>
              <w:gridCol w:w="709"/>
              <w:gridCol w:w="708"/>
            </w:tblGrid>
            <w:tr>
              <w:trPr>
                <w:trHeight w:val="441" w:hRule="atLeast"/>
              </w:trPr>
              <w:tc>
                <w:tcPr>
                  <w:tcW w:w="16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874" w:hanging="0"/>
                    <w:rPr>
                      <w:color w:val="000000"/>
                      <w:szCs w:val="21"/>
                    </w:rPr>
                  </w:pPr>
                  <w:r>
                    <w:rPr>
                      <w:color w:val="000000"/>
                      <w:szCs w:val="21"/>
                    </w:rPr>
                    <w:t>KPI</w:t>
                  </w:r>
                </w:p>
              </w:tc>
              <w:tc>
                <w:tcPr>
                  <w:tcW w:w="2977"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要求目标</w:t>
                  </w:r>
                </w:p>
              </w:tc>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绩效</w:t>
                  </w:r>
                </w:p>
              </w:tc>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18"/>
                      <w:szCs w:val="18"/>
                    </w:rPr>
                  </w:pPr>
                  <w:r>
                    <w:rPr>
                      <w:color w:val="000000"/>
                      <w:sz w:val="18"/>
                      <w:szCs w:val="18"/>
                    </w:rPr>
                    <w:t>评分</w:t>
                  </w:r>
                  <w:r>
                    <w:rPr>
                      <w:rStyle w:val="FootnoteCharacters"/>
                      <w:rStyle w:val="FootnoteAnchor"/>
                      <w:color w:val="000000"/>
                      <w:sz w:val="18"/>
                      <w:szCs w:val="18"/>
                    </w:rPr>
                    <w:footnoteReference w:id="4"/>
                  </w:r>
                </w:p>
                <w:p>
                  <w:pPr>
                    <w:pStyle w:val="Normal"/>
                    <w:jc w:val="center"/>
                    <w:rPr>
                      <w:color w:val="000000"/>
                      <w:szCs w:val="21"/>
                    </w:rPr>
                  </w:pPr>
                  <w:r>
                    <w:rPr>
                      <w:color w:val="000000"/>
                      <w:szCs w:val="21"/>
                    </w:rPr>
                    <w:t>权重</w:t>
                  </w:r>
                </w:p>
              </w:tc>
              <w:tc>
                <w:tcPr>
                  <w:tcW w:w="7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Cs w:val="21"/>
                    </w:rPr>
                  </w:pPr>
                  <w:r>
                    <w:rPr>
                      <w:color w:val="000000"/>
                      <w:szCs w:val="21"/>
                    </w:rPr>
                    <w:t>得分</w:t>
                  </w:r>
                </w:p>
              </w:tc>
              <w:tc>
                <w:tcPr>
                  <w:tcW w:w="7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Cs w:val="21"/>
                    </w:rPr>
                  </w:pPr>
                  <w:r>
                    <w:rPr>
                      <w:color w:val="000000"/>
                      <w:szCs w:val="21"/>
                    </w:rPr>
                  </w:r>
                </w:p>
              </w:tc>
            </w:tr>
            <w:tr>
              <w:trPr>
                <w:trHeight w:val="360" w:hRule="atLeast"/>
              </w:trPr>
              <w:tc>
                <w:tcPr>
                  <w:tcW w:w="16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874" w:hanging="0"/>
                    <w:rPr>
                      <w:color w:val="000000"/>
                      <w:szCs w:val="21"/>
                      <w:u w:val="single"/>
                    </w:rPr>
                  </w:pPr>
                  <w:r>
                    <w:rPr>
                      <w:color w:val="000000"/>
                      <w:szCs w:val="21"/>
                      <w:u w:val="single"/>
                    </w:rPr>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月度</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季度</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半年</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年度</w:t>
                  </w:r>
                </w:p>
              </w:tc>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Cs w:val="21"/>
                    </w:rPr>
                  </w:pPr>
                  <w:r>
                    <w:rPr>
                      <w:color w:val="000000"/>
                      <w:szCs w:val="21"/>
                    </w:rPr>
                  </w:r>
                </w:p>
              </w:tc>
              <w:tc>
                <w:tcPr>
                  <w:tcW w:w="8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18"/>
                    </w:rPr>
                  </w:pPr>
                  <w:r>
                    <w:rPr>
                      <w:color w:val="000000"/>
                      <w:sz w:val="18"/>
                      <w:szCs w:val="18"/>
                    </w:rPr>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 w:val="18"/>
                      <w:szCs w:val="21"/>
                    </w:rPr>
                  </w:pPr>
                  <w:r>
                    <w:rPr>
                      <w:color w:val="000000"/>
                      <w:sz w:val="18"/>
                      <w:szCs w:val="21"/>
                    </w:rPr>
                  </w:r>
                </w:p>
              </w:tc>
              <w:tc>
                <w:tcPr>
                  <w:tcW w:w="7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color w:val="000000"/>
                      <w:szCs w:val="21"/>
                    </w:rPr>
                  </w:pPr>
                  <w:r>
                    <w:rPr>
                      <w:color w:val="000000"/>
                      <w:szCs w:val="21"/>
                    </w:rPr>
                  </w:r>
                </w:p>
              </w:tc>
            </w:tr>
            <w:tr>
              <w:trPr>
                <w:trHeight w:val="360"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销售额完成率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15%</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43"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销量完成率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15%</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60"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产品组合完成率</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5%</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43"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回款率</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85%</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85%</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85%</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30%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60"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利润率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1.78%</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1.78%</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1.78%</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1.78%</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8%</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60"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新客户拓展率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50%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50%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50%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50%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3%</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43"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销售预测准确率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70%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70%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70%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rFonts w:cs="宋体" w:ascii="宋体" w:hAnsi="宋体"/>
                      <w:color w:val="000000"/>
                      <w:szCs w:val="21"/>
                    </w:rPr>
                    <w:t>≥</w:t>
                  </w:r>
                  <w:r>
                    <w:rPr>
                      <w:color w:val="000000"/>
                      <w:szCs w:val="21"/>
                    </w:rPr>
                    <w:t>70%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5%</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60"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费用率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0</w:t>
                  </w:r>
                  <w:r>
                    <w:rPr>
                      <w:color w:val="000000"/>
                      <w:szCs w:val="21"/>
                    </w:rPr>
                    <w:t>．</w:t>
                  </w:r>
                  <w:r>
                    <w:rPr>
                      <w:color w:val="000000"/>
                      <w:szCs w:val="21"/>
                    </w:rPr>
                    <w:t>35%</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0</w:t>
                  </w:r>
                  <w:r>
                    <w:rPr>
                      <w:color w:val="000000"/>
                      <w:szCs w:val="21"/>
                    </w:rPr>
                    <w:t>．</w:t>
                  </w:r>
                  <w:r>
                    <w:rPr>
                      <w:color w:val="000000"/>
                      <w:szCs w:val="21"/>
                    </w:rPr>
                    <w:t>35%</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0</w:t>
                  </w:r>
                  <w:r>
                    <w:rPr>
                      <w:color w:val="000000"/>
                      <w:szCs w:val="21"/>
                    </w:rPr>
                    <w:t>．</w:t>
                  </w:r>
                  <w:r>
                    <w:rPr>
                      <w:color w:val="000000"/>
                      <w:szCs w:val="21"/>
                    </w:rPr>
                    <w:t>35%</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0</w:t>
                  </w:r>
                  <w:r>
                    <w:rPr>
                      <w:color w:val="000000"/>
                      <w:szCs w:val="21"/>
                    </w:rPr>
                    <w:t>．</w:t>
                  </w:r>
                  <w:r>
                    <w:rPr>
                      <w:color w:val="000000"/>
                      <w:szCs w:val="21"/>
                    </w:rPr>
                    <w:t>35%</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8%</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43"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客户投诉次数</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2</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2%</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343"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ind w:end="-874" w:hanging="0"/>
                    <w:rPr>
                      <w:color w:val="000000"/>
                      <w:szCs w:val="21"/>
                    </w:rPr>
                  </w:pPr>
                  <w:r>
                    <w:rPr>
                      <w:color w:val="000000"/>
                      <w:szCs w:val="21"/>
                    </w:rPr>
                    <w:t>客户投诉处理</w:t>
                  </w:r>
                </w:p>
                <w:p>
                  <w:pPr>
                    <w:pStyle w:val="Normal"/>
                    <w:ind w:end="-874" w:hanging="0"/>
                    <w:rPr>
                      <w:color w:val="000000"/>
                      <w:szCs w:val="21"/>
                    </w:rPr>
                  </w:pPr>
                  <w:r>
                    <w:rPr>
                      <w:color w:val="000000"/>
                      <w:szCs w:val="21"/>
                    </w:rPr>
                    <w:t>满意度</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2%</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r>
              <w:trPr>
                <w:trHeight w:val="720" w:hRule="atLeast"/>
              </w:trPr>
              <w:tc>
                <w:tcPr>
                  <w:tcW w:w="1622"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报表上交及时准确率</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20"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817"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100%</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c>
                <w:tcPr>
                  <w:tcW w:w="709" w:type="dxa"/>
                  <w:tcBorders>
                    <w:top w:val="single" w:sz="4" w:space="0" w:color="000000"/>
                    <w:start w:val="single" w:sz="4" w:space="0" w:color="000000"/>
                    <w:bottom w:val="single" w:sz="4" w:space="0" w:color="000000"/>
                    <w:end w:val="single" w:sz="4" w:space="0" w:color="000000"/>
                  </w:tcBorders>
                </w:tcPr>
                <w:p>
                  <w:pPr>
                    <w:pStyle w:val="Normal"/>
                    <w:rPr>
                      <w:color w:val="000000"/>
                      <w:szCs w:val="21"/>
                    </w:rPr>
                  </w:pPr>
                  <w:r>
                    <w:rPr>
                      <w:color w:val="000000"/>
                      <w:szCs w:val="21"/>
                    </w:rPr>
                    <w:t>3%</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rPr>
                      <w:color w:val="000000"/>
                      <w:szCs w:val="21"/>
                    </w:rPr>
                  </w:pPr>
                  <w:r>
                    <w:rPr>
                      <w:color w:val="000000"/>
                      <w:szCs w:val="21"/>
                    </w:rPr>
                  </w:r>
                </w:p>
              </w:tc>
            </w:tr>
          </w:tbl>
          <w:p>
            <w:pPr>
              <w:pStyle w:val="Normal"/>
              <w:spacing w:lineRule="exact" w:line="460"/>
              <w:ind w:firstLine="420"/>
              <w:rPr>
                <w:sz w:val="24"/>
              </w:rPr>
            </w:pPr>
            <w:r>
              <w:rPr>
                <w:szCs w:val="21"/>
              </w:rPr>
              <w:t>注：表格中</w:t>
            </w:r>
            <w:r>
              <w:rPr>
                <w:szCs w:val="21"/>
              </w:rPr>
              <w:t>KPI</w:t>
            </w:r>
            <w:r>
              <w:rPr>
                <w:szCs w:val="21"/>
              </w:rPr>
              <w:t>定义、计算公式、数据来源等信息未注明，具体可参考详细的</w:t>
            </w:r>
            <w:r>
              <w:rPr>
                <w:szCs w:val="21"/>
              </w:rPr>
              <w:t>KPI</w:t>
            </w:r>
            <w:r>
              <w:rPr>
                <w:szCs w:val="21"/>
              </w:rPr>
              <w:t>指标库。当然，企业在具体运用过程中也可以明确列出来。</w:t>
            </w:r>
          </w:p>
        </w:tc>
      </w:tr>
      <w:tr>
        <w:trPr>
          <w:trHeight w:val="5751"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8" w:name="__RefHeading___Toc404009629"/>
            <w:bookmarkEnd w:id="8"/>
            <w:r>
              <w:rPr/>
              <w:t>九、考核组织</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ind w:firstLine="480"/>
              <w:rPr>
                <w:sz w:val="24"/>
              </w:rPr>
            </w:pPr>
            <w:r>
              <w:rPr>
                <w:sz w:val="24"/>
              </w:rPr>
              <w:t>7.1</w:t>
              <w:tab/>
              <w:t>KPI</w:t>
            </w:r>
            <w:r>
              <w:rPr>
                <w:sz w:val="24"/>
              </w:rPr>
              <w:t>绩效管理委员会</w:t>
            </w:r>
          </w:p>
          <w:p>
            <w:pPr>
              <w:pStyle w:val="Style16"/>
              <w:numPr>
                <w:ilvl w:val="0"/>
                <w:numId w:val="3"/>
              </w:numPr>
              <w:spacing w:lineRule="exact" w:line="460"/>
              <w:rPr>
                <w:sz w:val="24"/>
              </w:rPr>
            </w:pPr>
            <w:r>
              <w:rPr>
                <w:sz w:val="24"/>
              </w:rPr>
              <w:t>成员：</w:t>
            </w:r>
          </w:p>
          <w:p>
            <w:pPr>
              <w:pStyle w:val="Normal"/>
              <w:spacing w:lineRule="exact" w:line="460"/>
              <w:ind w:start="480" w:hanging="0"/>
              <w:rPr>
                <w:sz w:val="24"/>
              </w:rPr>
            </w:pPr>
            <w:r>
              <w:rPr>
                <w:sz w:val="24"/>
              </w:rPr>
              <w:t>公司领导；人力资源部、财务部、办公室等中层骨干。</w:t>
            </w:r>
          </w:p>
          <w:p>
            <w:pPr>
              <w:pStyle w:val="Style16"/>
              <w:numPr>
                <w:ilvl w:val="0"/>
                <w:numId w:val="3"/>
              </w:numPr>
              <w:spacing w:lineRule="exact" w:line="460"/>
              <w:rPr>
                <w:sz w:val="24"/>
              </w:rPr>
            </w:pPr>
            <w:r>
              <w:rPr>
                <w:sz w:val="24"/>
              </w:rPr>
              <w:t>职责：</w:t>
            </w:r>
          </w:p>
          <w:p>
            <w:pPr>
              <w:pStyle w:val="Normal"/>
              <w:spacing w:lineRule="exact" w:line="460"/>
              <w:ind w:firstLine="480"/>
              <w:rPr>
                <w:sz w:val="24"/>
              </w:rPr>
            </w:pPr>
            <w:r>
              <w:rPr>
                <w:sz w:val="24"/>
              </w:rPr>
              <w:t>战略目标、策略方案制定；</w:t>
            </w:r>
          </w:p>
          <w:p>
            <w:pPr>
              <w:pStyle w:val="Normal"/>
              <w:spacing w:lineRule="exact" w:line="460"/>
              <w:ind w:firstLine="480"/>
              <w:rPr>
                <w:sz w:val="24"/>
              </w:rPr>
            </w:pPr>
            <w:r>
              <w:rPr>
                <w:sz w:val="24"/>
              </w:rPr>
              <w:t>战略目标分解；</w:t>
            </w:r>
          </w:p>
          <w:p>
            <w:pPr>
              <w:pStyle w:val="Normal"/>
              <w:spacing w:lineRule="exact" w:line="460"/>
              <w:ind w:firstLine="480"/>
              <w:rPr>
                <w:sz w:val="24"/>
              </w:rPr>
            </w:pPr>
            <w:r>
              <w:rPr>
                <w:sz w:val="24"/>
              </w:rPr>
              <w:t>指导</w:t>
            </w:r>
            <w:r>
              <w:rPr>
                <w:sz w:val="24"/>
              </w:rPr>
              <w:t>KPI</w:t>
            </w:r>
            <w:r>
              <w:rPr>
                <w:sz w:val="24"/>
              </w:rPr>
              <w:t>绩效管理工作；</w:t>
            </w:r>
          </w:p>
          <w:p>
            <w:pPr>
              <w:pStyle w:val="Normal"/>
              <w:spacing w:lineRule="exact" w:line="460"/>
              <w:ind w:firstLine="480"/>
              <w:rPr>
                <w:sz w:val="24"/>
              </w:rPr>
            </w:pPr>
            <w:r>
              <w:rPr>
                <w:sz w:val="24"/>
              </w:rPr>
              <w:t>审定</w:t>
            </w:r>
            <w:r>
              <w:rPr>
                <w:sz w:val="24"/>
              </w:rPr>
              <w:t>KPI</w:t>
            </w:r>
            <w:r>
              <w:rPr>
                <w:sz w:val="24"/>
              </w:rPr>
              <w:t>指标体系、考核制度、考核方法及整体</w:t>
            </w:r>
            <w:r>
              <w:rPr>
                <w:sz w:val="24"/>
              </w:rPr>
              <w:t>KPI</w:t>
            </w:r>
            <w:r>
              <w:rPr>
                <w:sz w:val="24"/>
              </w:rPr>
              <w:t>体系运行方案。</w:t>
            </w:r>
          </w:p>
          <w:p>
            <w:pPr>
              <w:pStyle w:val="Style16"/>
              <w:numPr>
                <w:ilvl w:val="0"/>
                <w:numId w:val="2"/>
              </w:numPr>
              <w:spacing w:lineRule="exact" w:line="460"/>
              <w:rPr>
                <w:sz w:val="24"/>
              </w:rPr>
            </w:pPr>
            <w:r>
              <w:rPr>
                <w:sz w:val="24"/>
              </w:rPr>
              <w:t>权限：</w:t>
            </w:r>
          </w:p>
          <w:p>
            <w:pPr>
              <w:pStyle w:val="Normal"/>
              <w:spacing w:lineRule="exact" w:line="460"/>
              <w:ind w:start="480" w:hanging="0"/>
              <w:rPr>
                <w:sz w:val="24"/>
              </w:rPr>
            </w:pPr>
            <w:r>
              <w:rPr>
                <w:sz w:val="24"/>
              </w:rPr>
              <w:t>全体员工的考核权、</w:t>
            </w:r>
            <w:r>
              <w:rPr>
                <w:sz w:val="24"/>
              </w:rPr>
              <w:t>KPI</w:t>
            </w:r>
            <w:r>
              <w:rPr>
                <w:sz w:val="24"/>
              </w:rPr>
              <w:t>体系运行监控权、相关方案及文件的审定权。</w:t>
            </w:r>
          </w:p>
          <w:p>
            <w:pPr>
              <w:pStyle w:val="Normal"/>
              <w:spacing w:lineRule="exact" w:line="460"/>
              <w:ind w:start="480" w:hanging="0"/>
              <w:rPr>
                <w:sz w:val="24"/>
              </w:rPr>
            </w:pPr>
            <w:r>
              <w:rPr>
                <w:sz w:val="24"/>
              </w:rPr>
            </w:r>
          </w:p>
          <w:p>
            <w:pPr>
              <w:pStyle w:val="Normal"/>
              <w:spacing w:lineRule="exact" w:line="460"/>
              <w:ind w:firstLine="480"/>
              <w:rPr>
                <w:sz w:val="24"/>
              </w:rPr>
            </w:pPr>
            <w:r>
              <w:rPr>
                <w:sz w:val="24"/>
              </w:rPr>
              <w:t>7.2 KPI</w:t>
            </w:r>
            <w:r>
              <w:rPr>
                <w:sz w:val="24"/>
              </w:rPr>
              <w:t>绩效管理实施小组</w:t>
            </w:r>
          </w:p>
          <w:p>
            <w:pPr>
              <w:pStyle w:val="Style16"/>
              <w:numPr>
                <w:ilvl w:val="0"/>
                <w:numId w:val="2"/>
              </w:numPr>
              <w:spacing w:lineRule="exact" w:line="460"/>
              <w:rPr>
                <w:sz w:val="24"/>
              </w:rPr>
            </w:pPr>
            <w:r>
              <w:rPr>
                <w:sz w:val="24"/>
              </w:rPr>
              <w:t>成员：</w:t>
            </w:r>
          </w:p>
          <w:p>
            <w:pPr>
              <w:pStyle w:val="Normal"/>
              <w:spacing w:lineRule="exact" w:line="460"/>
              <w:ind w:start="480" w:hanging="0"/>
              <w:rPr>
                <w:sz w:val="24"/>
              </w:rPr>
            </w:pPr>
            <w:r>
              <w:rPr>
                <w:sz w:val="24"/>
              </w:rPr>
              <w:t>主要由人力资源部成员组成，财务部及其它部门成员辅助。</w:t>
            </w:r>
          </w:p>
          <w:p>
            <w:pPr>
              <w:pStyle w:val="Style16"/>
              <w:numPr>
                <w:ilvl w:val="0"/>
                <w:numId w:val="2"/>
              </w:numPr>
              <w:spacing w:lineRule="exact" w:line="460"/>
              <w:rPr>
                <w:sz w:val="24"/>
              </w:rPr>
            </w:pPr>
            <w:r>
              <w:rPr>
                <w:sz w:val="24"/>
              </w:rPr>
              <w:t>职责：</w:t>
            </w:r>
          </w:p>
          <w:p>
            <w:pPr>
              <w:pStyle w:val="Normal"/>
              <w:spacing w:lineRule="exact" w:line="460"/>
              <w:ind w:firstLine="480"/>
              <w:rPr>
                <w:sz w:val="24"/>
              </w:rPr>
            </w:pPr>
            <w:r>
              <w:rPr>
                <w:sz w:val="24"/>
              </w:rPr>
              <w:t>参与企业战略目标、策略方案的制定、目标分解（主要负责人员）；</w:t>
            </w:r>
          </w:p>
          <w:p>
            <w:pPr>
              <w:pStyle w:val="Normal"/>
              <w:spacing w:lineRule="exact" w:line="460"/>
              <w:ind w:firstLine="480"/>
              <w:rPr>
                <w:sz w:val="24"/>
              </w:rPr>
            </w:pPr>
            <w:r>
              <w:rPr>
                <w:sz w:val="24"/>
              </w:rPr>
              <w:t>负责</w:t>
            </w:r>
            <w:r>
              <w:rPr>
                <w:sz w:val="24"/>
              </w:rPr>
              <w:t>KPI</w:t>
            </w:r>
            <w:r>
              <w:rPr>
                <w:sz w:val="24"/>
              </w:rPr>
              <w:t>的制定、修改、调整；</w:t>
            </w:r>
          </w:p>
          <w:p>
            <w:pPr>
              <w:pStyle w:val="Normal"/>
              <w:spacing w:lineRule="exact" w:line="460"/>
              <w:ind w:firstLine="480"/>
              <w:rPr>
                <w:sz w:val="24"/>
              </w:rPr>
            </w:pPr>
            <w:r>
              <w:rPr>
                <w:sz w:val="24"/>
              </w:rPr>
              <w:t>负责</w:t>
            </w:r>
            <w:r>
              <w:rPr>
                <w:sz w:val="24"/>
              </w:rPr>
              <w:t>KPI</w:t>
            </w:r>
            <w:r>
              <w:rPr>
                <w:sz w:val="24"/>
              </w:rPr>
              <w:t>系统的正常运作以以及运行情况监控和考核；</w:t>
            </w:r>
          </w:p>
          <w:p>
            <w:pPr>
              <w:pStyle w:val="Normal"/>
              <w:spacing w:lineRule="exact" w:line="460"/>
              <w:ind w:firstLine="480"/>
              <w:rPr>
                <w:sz w:val="24"/>
              </w:rPr>
            </w:pPr>
            <w:r>
              <w:rPr>
                <w:sz w:val="24"/>
              </w:rPr>
              <w:t>负责反馈意见的收集、归纳，并负责编写</w:t>
            </w:r>
            <w:r>
              <w:rPr>
                <w:sz w:val="24"/>
              </w:rPr>
              <w:t>KPI</w:t>
            </w:r>
            <w:r>
              <w:rPr>
                <w:sz w:val="24"/>
              </w:rPr>
              <w:t>运作分析报告；</w:t>
            </w:r>
          </w:p>
          <w:p>
            <w:pPr>
              <w:pStyle w:val="Normal"/>
              <w:spacing w:lineRule="exact" w:line="460"/>
              <w:ind w:firstLine="480"/>
              <w:rPr>
                <w:sz w:val="24"/>
              </w:rPr>
            </w:pPr>
            <w:r>
              <w:rPr>
                <w:sz w:val="24"/>
              </w:rPr>
              <w:t>负责考核结果的收集、数据处理、调整；</w:t>
            </w:r>
          </w:p>
          <w:p>
            <w:pPr>
              <w:pStyle w:val="Normal"/>
              <w:spacing w:lineRule="exact" w:line="460"/>
              <w:ind w:firstLine="480"/>
              <w:rPr>
                <w:sz w:val="24"/>
              </w:rPr>
            </w:pPr>
            <w:r>
              <w:rPr>
                <w:sz w:val="24"/>
              </w:rPr>
              <w:t>负责编制考核结果报告；</w:t>
            </w:r>
          </w:p>
          <w:p>
            <w:pPr>
              <w:pStyle w:val="Normal"/>
              <w:spacing w:lineRule="exact" w:line="460"/>
              <w:ind w:firstLine="480"/>
              <w:rPr>
                <w:sz w:val="24"/>
              </w:rPr>
            </w:pPr>
            <w:r>
              <w:rPr>
                <w:sz w:val="24"/>
              </w:rPr>
              <w:t>负责考核培训、解释、答疑工作；</w:t>
            </w:r>
          </w:p>
          <w:p>
            <w:pPr>
              <w:pStyle w:val="Normal"/>
              <w:spacing w:lineRule="exact" w:line="460"/>
              <w:ind w:firstLine="480"/>
              <w:rPr>
                <w:sz w:val="24"/>
              </w:rPr>
            </w:pPr>
            <w:r>
              <w:rPr>
                <w:sz w:val="24"/>
              </w:rPr>
              <w:t>负责对考核流程的修改和审批。</w:t>
            </w:r>
          </w:p>
          <w:p>
            <w:pPr>
              <w:pStyle w:val="Style16"/>
              <w:numPr>
                <w:ilvl w:val="0"/>
                <w:numId w:val="2"/>
              </w:numPr>
              <w:spacing w:lineRule="exact" w:line="460"/>
              <w:rPr>
                <w:sz w:val="24"/>
              </w:rPr>
            </w:pPr>
            <w:r>
              <w:rPr>
                <w:sz w:val="24"/>
              </w:rPr>
              <w:t>权限：</w:t>
            </w:r>
          </w:p>
          <w:p>
            <w:pPr>
              <w:pStyle w:val="Normal"/>
              <w:spacing w:lineRule="exact" w:line="460"/>
              <w:ind w:firstLine="480"/>
              <w:rPr>
                <w:sz w:val="24"/>
              </w:rPr>
            </w:pPr>
            <w:r>
              <w:rPr>
                <w:sz w:val="24"/>
              </w:rPr>
              <w:t>制定、修改</w:t>
            </w:r>
            <w:r>
              <w:rPr>
                <w:sz w:val="24"/>
              </w:rPr>
              <w:t>KPI</w:t>
            </w:r>
            <w:r>
              <w:rPr>
                <w:sz w:val="24"/>
              </w:rPr>
              <w:t>权；</w:t>
            </w:r>
            <w:r>
              <w:rPr>
                <w:sz w:val="24"/>
              </w:rPr>
              <w:t>KPI</w:t>
            </w:r>
            <w:r>
              <w:rPr>
                <w:sz w:val="24"/>
              </w:rPr>
              <w:t>体系组织实施、监控权、全体员工的考核权；</w:t>
            </w:r>
            <w:r>
              <w:rPr>
                <w:sz w:val="24"/>
              </w:rPr>
              <w:t>KPI</w:t>
            </w:r>
            <w:r>
              <w:rPr>
                <w:sz w:val="24"/>
              </w:rPr>
              <w:t>的解释权；</w:t>
            </w:r>
            <w:r>
              <w:rPr>
                <w:sz w:val="24"/>
              </w:rPr>
              <w:t>KPI</w:t>
            </w:r>
            <w:r>
              <w:rPr>
                <w:sz w:val="24"/>
              </w:rPr>
              <w:t>运行结果的报告权</w:t>
            </w:r>
          </w:p>
          <w:p>
            <w:pPr>
              <w:pStyle w:val="Normal"/>
              <w:spacing w:lineRule="exact" w:line="460"/>
              <w:ind w:firstLine="480"/>
              <w:rPr>
                <w:sz w:val="24"/>
              </w:rPr>
            </w:pPr>
            <w:r>
              <w:rPr>
                <w:sz w:val="24"/>
              </w:rPr>
            </w:r>
          </w:p>
          <w:p>
            <w:pPr>
              <w:pStyle w:val="Normal"/>
              <w:spacing w:lineRule="exact" w:line="460"/>
              <w:ind w:firstLine="480"/>
              <w:rPr>
                <w:sz w:val="24"/>
              </w:rPr>
            </w:pPr>
            <w:r>
              <w:rPr>
                <w:sz w:val="24"/>
              </w:rPr>
              <w:t xml:space="preserve">7.3 </w:t>
            </w:r>
            <w:r>
              <w:rPr>
                <w:sz w:val="24"/>
              </w:rPr>
              <w:t>相关部门</w:t>
            </w:r>
          </w:p>
          <w:p>
            <w:pPr>
              <w:pStyle w:val="Style16"/>
              <w:numPr>
                <w:ilvl w:val="0"/>
                <w:numId w:val="2"/>
              </w:numPr>
              <w:spacing w:lineRule="exact" w:line="460"/>
              <w:rPr>
                <w:sz w:val="24"/>
              </w:rPr>
            </w:pPr>
            <w:r>
              <w:rPr>
                <w:sz w:val="24"/>
              </w:rPr>
              <w:t>职责：</w:t>
            </w:r>
          </w:p>
          <w:p>
            <w:pPr>
              <w:pStyle w:val="Normal"/>
              <w:spacing w:lineRule="exact" w:line="460"/>
              <w:ind w:firstLine="480"/>
              <w:rPr>
                <w:sz w:val="24"/>
              </w:rPr>
            </w:pPr>
            <w:r>
              <w:rPr>
                <w:sz w:val="24"/>
              </w:rPr>
              <w:t>本部门</w:t>
            </w:r>
            <w:r>
              <w:rPr>
                <w:sz w:val="24"/>
              </w:rPr>
              <w:t>KPI</w:t>
            </w:r>
            <w:r>
              <w:rPr>
                <w:sz w:val="24"/>
              </w:rPr>
              <w:t>绩效考核工作实施，并定期检查目标达成情况并提出改进方案；</w:t>
            </w:r>
          </w:p>
          <w:p>
            <w:pPr>
              <w:pStyle w:val="Normal"/>
              <w:spacing w:lineRule="exact" w:line="460"/>
              <w:ind w:firstLine="480"/>
              <w:rPr>
                <w:sz w:val="24"/>
              </w:rPr>
            </w:pPr>
            <w:r>
              <w:rPr>
                <w:sz w:val="24"/>
              </w:rPr>
              <w:t>审核考核结果，并对考核结果负责；</w:t>
            </w:r>
          </w:p>
          <w:p>
            <w:pPr>
              <w:pStyle w:val="Normal"/>
              <w:spacing w:lineRule="exact" w:line="460"/>
              <w:ind w:firstLine="480"/>
              <w:rPr>
                <w:sz w:val="24"/>
              </w:rPr>
            </w:pPr>
            <w:r>
              <w:rPr>
                <w:sz w:val="24"/>
              </w:rPr>
              <w:t>协调考核中出现的问题，进行有效的沟通和解释。</w:t>
            </w:r>
          </w:p>
          <w:p>
            <w:pPr>
              <w:pStyle w:val="Style16"/>
              <w:numPr>
                <w:ilvl w:val="0"/>
                <w:numId w:val="2"/>
              </w:numPr>
              <w:spacing w:lineRule="exact" w:line="460"/>
              <w:rPr>
                <w:sz w:val="24"/>
              </w:rPr>
            </w:pPr>
            <w:r>
              <w:rPr>
                <w:sz w:val="24"/>
              </w:rPr>
              <w:t>权限：</w:t>
            </w:r>
          </w:p>
          <w:p>
            <w:pPr>
              <w:pStyle w:val="Normal"/>
              <w:spacing w:lineRule="exact" w:line="460"/>
              <w:ind w:firstLine="480"/>
              <w:rPr>
                <w:sz w:val="24"/>
              </w:rPr>
            </w:pPr>
            <w:r>
              <w:rPr>
                <w:sz w:val="24"/>
              </w:rPr>
              <w:t>本部门员工考核权、考核结果审定权、本部门</w:t>
            </w:r>
            <w:r>
              <w:rPr>
                <w:sz w:val="24"/>
              </w:rPr>
              <w:t>KPI</w:t>
            </w:r>
            <w:r>
              <w:rPr>
                <w:sz w:val="24"/>
              </w:rPr>
              <w:t>解释权。</w:t>
            </w:r>
          </w:p>
          <w:p>
            <w:pPr>
              <w:pStyle w:val="Normal"/>
              <w:spacing w:lineRule="exact" w:line="460"/>
              <w:ind w:firstLine="480"/>
              <w:rPr>
                <w:sz w:val="24"/>
              </w:rPr>
            </w:pPr>
            <w:r>
              <w:rPr>
                <w:sz w:val="24"/>
              </w:rPr>
            </w:r>
          </w:p>
          <w:p>
            <w:pPr>
              <w:pStyle w:val="Normal"/>
              <w:spacing w:lineRule="exact" w:line="460"/>
              <w:ind w:firstLine="480"/>
              <w:rPr>
                <w:sz w:val="24"/>
              </w:rPr>
            </w:pPr>
            <w:r>
              <w:rPr>
                <w:sz w:val="24"/>
              </w:rPr>
              <w:t xml:space="preserve">7.4 </w:t>
            </w:r>
            <w:r>
              <w:rPr>
                <w:sz w:val="24"/>
              </w:rPr>
              <w:t>员工（被考核者）</w:t>
            </w:r>
          </w:p>
          <w:p>
            <w:pPr>
              <w:pStyle w:val="Style16"/>
              <w:numPr>
                <w:ilvl w:val="0"/>
                <w:numId w:val="2"/>
              </w:numPr>
              <w:spacing w:lineRule="exact" w:line="460"/>
              <w:rPr>
                <w:sz w:val="24"/>
              </w:rPr>
            </w:pPr>
            <w:r>
              <w:rPr>
                <w:sz w:val="24"/>
              </w:rPr>
              <w:t>职责：</w:t>
            </w:r>
          </w:p>
          <w:p>
            <w:pPr>
              <w:pStyle w:val="Normal"/>
              <w:spacing w:lineRule="exact" w:line="460"/>
              <w:ind w:firstLine="480"/>
              <w:rPr>
                <w:sz w:val="24"/>
              </w:rPr>
            </w:pPr>
            <w:r>
              <w:rPr>
                <w:sz w:val="24"/>
              </w:rPr>
              <w:t>参与</w:t>
            </w:r>
            <w:r>
              <w:rPr>
                <w:sz w:val="24"/>
              </w:rPr>
              <w:t>KPI</w:t>
            </w:r>
            <w:r>
              <w:rPr>
                <w:sz w:val="24"/>
              </w:rPr>
              <w:t>绩效考核，定期检查个人目标达成情况并提出改进方案。</w:t>
            </w:r>
          </w:p>
          <w:p>
            <w:pPr>
              <w:pStyle w:val="Style16"/>
              <w:numPr>
                <w:ilvl w:val="0"/>
                <w:numId w:val="2"/>
              </w:numPr>
              <w:spacing w:lineRule="exact" w:line="460"/>
              <w:rPr>
                <w:sz w:val="24"/>
              </w:rPr>
            </w:pPr>
            <w:r>
              <w:rPr>
                <w:sz w:val="24"/>
              </w:rPr>
              <w:t>权限：</w:t>
            </w:r>
          </w:p>
          <w:p>
            <w:pPr>
              <w:pStyle w:val="Normal"/>
              <w:spacing w:lineRule="exact" w:line="460"/>
              <w:ind w:firstLine="480"/>
              <w:rPr>
                <w:sz w:val="24"/>
              </w:rPr>
            </w:pPr>
            <w:r>
              <w:rPr>
                <w:sz w:val="24"/>
              </w:rPr>
              <w:t>针对考核问题的申诉权。</w:t>
            </w:r>
          </w:p>
        </w:tc>
      </w:tr>
      <w:tr>
        <w:trPr>
          <w:trHeight w:val="3933"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9" w:name="__RefHeading___Toc404009630"/>
            <w:bookmarkEnd w:id="9"/>
            <w:r>
              <w:rPr/>
              <w:t>十、考核周期及时间</w:t>
            </w:r>
          </w:p>
        </w:tc>
        <w:tc>
          <w:tcPr>
            <w:tcW w:w="7822"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460"/>
              <w:rPr>
                <w:sz w:val="24"/>
              </w:rPr>
            </w:pPr>
            <w:r>
              <w:rPr>
                <w:sz w:val="24"/>
              </w:rPr>
            </w:r>
          </w:p>
          <w:p>
            <w:pPr>
              <w:pStyle w:val="Normal"/>
              <w:spacing w:lineRule="exact" w:line="460"/>
              <w:rPr>
                <w:sz w:val="24"/>
              </w:rPr>
            </w:pPr>
            <w:r>
              <w:rPr>
                <w:sz w:val="24"/>
              </w:rPr>
              <w:t xml:space="preserve">10.1 </w:t>
            </w:r>
            <w:r>
              <w:rPr>
                <w:sz w:val="24"/>
              </w:rPr>
              <w:t>月度考核：对各部门及个人每月</w:t>
            </w:r>
            <w:r>
              <w:rPr>
                <w:sz w:val="24"/>
              </w:rPr>
              <w:t>5</w:t>
            </w:r>
            <w:r>
              <w:rPr>
                <w:sz w:val="24"/>
              </w:rPr>
              <w:t>日前进行一次考核，并要求举行各个部门内部举行检讨会议、公司部门经理级别的检讨会议，及时发现问题并提出改进方案；</w:t>
            </w:r>
          </w:p>
          <w:p>
            <w:pPr>
              <w:pStyle w:val="Normal"/>
              <w:spacing w:lineRule="exact" w:line="460"/>
              <w:rPr>
                <w:sz w:val="24"/>
              </w:rPr>
            </w:pPr>
            <w:r>
              <w:rPr>
                <w:sz w:val="24"/>
              </w:rPr>
              <w:t xml:space="preserve">10.2 </w:t>
            </w:r>
            <w:r>
              <w:rPr>
                <w:sz w:val="24"/>
              </w:rPr>
              <w:t>季度考核：对各部门每个季度进行一次考核，并要求举行公司部门经理级别的检讨会议，及时发现问题并提出改进方案；</w:t>
            </w:r>
          </w:p>
          <w:p>
            <w:pPr>
              <w:pStyle w:val="Normal"/>
              <w:spacing w:lineRule="exact" w:line="460"/>
              <w:rPr>
                <w:sz w:val="24"/>
              </w:rPr>
            </w:pPr>
            <w:r>
              <w:rPr>
                <w:sz w:val="24"/>
              </w:rPr>
              <w:t xml:space="preserve">10.3 </w:t>
            </w:r>
            <w:r>
              <w:rPr>
                <w:sz w:val="24"/>
              </w:rPr>
              <w:t>年度考核：对各部门及个人每年度进行一次考核，并要求举行各个部门内部举行检讨会议、公司部门经理级别的检讨会议，及时发现问题并提出改进方案。</w:t>
            </w:r>
          </w:p>
          <w:p>
            <w:pPr>
              <w:pStyle w:val="Normal"/>
              <w:spacing w:lineRule="exact" w:line="460"/>
              <w:rPr>
                <w:sz w:val="24"/>
              </w:rPr>
            </w:pPr>
            <w:r>
              <w:rPr>
                <w:sz w:val="24"/>
              </w:rPr>
            </w:r>
          </w:p>
        </w:tc>
      </w:tr>
      <w:tr>
        <w:trPr>
          <w:trHeight w:val="1498"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10" w:name="__RefHeading___Toc404009631"/>
            <w:bookmarkEnd w:id="10"/>
            <w:r>
              <w:rPr/>
              <w:t>十一、考核方法</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rPr>
                <w:sz w:val="24"/>
              </w:rPr>
            </w:pPr>
            <w:r>
              <w:rPr>
                <w:sz w:val="24"/>
              </w:rPr>
              <w:t xml:space="preserve">11.1 </w:t>
            </w:r>
            <w:r>
              <w:rPr>
                <w:sz w:val="24"/>
              </w:rPr>
              <w:t>定量法与定性法结合。定量是指采用可量化的或者具体行为化的</w:t>
            </w:r>
            <w:r>
              <w:rPr>
                <w:sz w:val="24"/>
              </w:rPr>
              <w:t>KPI</w:t>
            </w:r>
            <w:r>
              <w:rPr>
                <w:sz w:val="24"/>
              </w:rPr>
              <w:t>指标进行考核，主要通过数据化的形式进行评估；定性法主要指有些评价项，没有明确的量化指标，需要考核者借助观察、访谈、座谈、问卷调查等手段，予以评估，例如员工的职业道德素质、员工的服务态度等。</w:t>
            </w:r>
          </w:p>
          <w:p>
            <w:pPr>
              <w:pStyle w:val="Normal"/>
              <w:spacing w:lineRule="exact" w:line="460"/>
              <w:rPr>
                <w:sz w:val="24"/>
              </w:rPr>
            </w:pPr>
            <w:r>
              <w:rPr>
                <w:sz w:val="24"/>
              </w:rPr>
              <w:t xml:space="preserve">11.2 </w:t>
            </w:r>
            <w:r>
              <w:rPr>
                <w:sz w:val="24"/>
              </w:rPr>
              <w:t>自评、他评相结合。自评是指考核过程中的自我评估；他评是指考核者实施的评估考核，通常分为同事考核、部门领导考核、总经理考核三个层级的他评方式。具体依据不同职位层级、不同岗位性质予以区别对待，例如部门经理的他评只有上级领导总经理来考核。</w:t>
            </w:r>
          </w:p>
          <w:p>
            <w:pPr>
              <w:pStyle w:val="Normal"/>
              <w:spacing w:lineRule="exact" w:line="460"/>
              <w:rPr>
                <w:szCs w:val="21"/>
              </w:rPr>
            </w:pPr>
            <w:r>
              <w:rPr>
                <w:szCs w:val="21"/>
              </w:rPr>
              <w:t>（说明：具体的考核方式，企业根据自己的需求拟定即可，例如大部分企业在创业初期，无需复杂的同事评价考核、三级考核等方式，只需要由部门负责人予以考核评估即可）</w:t>
            </w:r>
          </w:p>
          <w:p>
            <w:pPr>
              <w:pStyle w:val="Normal"/>
              <w:spacing w:lineRule="exact" w:line="460"/>
              <w:rPr>
                <w:szCs w:val="21"/>
              </w:rPr>
            </w:pPr>
            <w:r>
              <w:rPr>
                <w:szCs w:val="21"/>
              </w:rPr>
            </w:r>
          </w:p>
        </w:tc>
      </w:tr>
      <w:tr>
        <w:trPr>
          <w:trHeight w:val="1498"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jc w:val="both"/>
              <w:rPr/>
            </w:pPr>
            <w:bookmarkStart w:id="11" w:name="__RefHeading___Toc404009632"/>
            <w:bookmarkEnd w:id="11"/>
            <w:r>
              <mc:AlternateContent>
                <mc:Choice Requires="wps">
                  <w:drawing>
                    <wp:anchor behindDoc="0" distT="3175" distB="3175" distL="118110" distR="118110" simplePos="0" locked="0" layoutInCell="0" allowOverlap="1" relativeHeight="22">
                      <wp:simplePos x="0" y="0"/>
                      <wp:positionH relativeFrom="margin">
                        <wp:posOffset>1002665</wp:posOffset>
                      </wp:positionH>
                      <wp:positionV relativeFrom="paragraph">
                        <wp:posOffset>1656080</wp:posOffset>
                      </wp:positionV>
                      <wp:extent cx="307340" cy="635"/>
                      <wp:effectExtent l="0" t="0" r="0" b="0"/>
                      <wp:wrapNone/>
                      <wp:docPr id="10" name="直线 297"/>
                      <a:graphic xmlns:a="http://schemas.openxmlformats.org/drawingml/2006/main">
                        <a:graphicData uri="http://schemas.microsoft.com/office/word/2010/wordprocessingShape">
                          <wps:wsp>
                            <wps:cNvSpPr/>
                            <wps:spPr>
                              <a:xfrm>
                                <a:off x="0" y="0"/>
                                <a:ext cx="306720" cy="0"/>
                              </a:xfrm>
                              <a:prstGeom prst="line">
                                <a:avLst/>
                              </a:prstGeom>
                              <a:ln w="6480">
                                <a:solidFill>
                                  <a:srgbClr val="000000"/>
                                </a:solidFill>
                                <a:miter/>
                                <a:tailEnd len="med" type="triangle" w="med"/>
                              </a:ln>
                            </wps:spPr>
                            <wps:style>
                              <a:lnRef idx="0"/>
                              <a:fillRef idx="0"/>
                              <a:effectRef idx="0"/>
                              <a:fontRef idx="minor"/>
                            </wps:style>
                            <wps:bodyPr/>
                          </wps:wsp>
                        </a:graphicData>
                      </a:graphic>
                    </wp:anchor>
                  </w:drawing>
                </mc:Choice>
                <mc:Fallback>
                  <w:pict>
                    <v:line id="shape_0" from="78.95pt,130.4pt" to="103.05pt,130.4pt" ID="直线 297" stroked="t" style="position:absolute;mso-position-horizontal-relative:margin">
                      <v:stroke color="black" weight="6480" endarrow="block" endarrowwidth="medium" endarrowlength="medium" joinstyle="miter" endcap="flat"/>
                      <v:fill o:detectmouseclick="t" on="false"/>
                      <w10:wrap type="none"/>
                    </v:line>
                  </w:pict>
                </mc:Fallback>
              </mc:AlternateContent>
              <mc:AlternateContent>
                <mc:Choice Requires="wps">
                  <w:drawing>
                    <wp:anchor behindDoc="0" distT="3175" distB="3175" distL="118110" distR="118110" simplePos="0" locked="0" layoutInCell="0" allowOverlap="1" relativeHeight="23">
                      <wp:simplePos x="0" y="0"/>
                      <wp:positionH relativeFrom="margin">
                        <wp:posOffset>2119630</wp:posOffset>
                      </wp:positionH>
                      <wp:positionV relativeFrom="paragraph">
                        <wp:posOffset>1656080</wp:posOffset>
                      </wp:positionV>
                      <wp:extent cx="307340" cy="635"/>
                      <wp:effectExtent l="0" t="0" r="0" b="0"/>
                      <wp:wrapNone/>
                      <wp:docPr id="11" name="直线 298"/>
                      <a:graphic xmlns:a="http://schemas.openxmlformats.org/drawingml/2006/main">
                        <a:graphicData uri="http://schemas.microsoft.com/office/word/2010/wordprocessingShape">
                          <wps:wsp>
                            <wps:cNvSpPr/>
                            <wps:spPr>
                              <a:xfrm>
                                <a:off x="0" y="0"/>
                                <a:ext cx="306720" cy="0"/>
                              </a:xfrm>
                              <a:prstGeom prst="line">
                                <a:avLst/>
                              </a:prstGeom>
                              <a:ln w="6480">
                                <a:solidFill>
                                  <a:srgbClr val="000000"/>
                                </a:solidFill>
                                <a:miter/>
                                <a:tailEnd len="med" type="triangle" w="med"/>
                              </a:ln>
                            </wps:spPr>
                            <wps:style>
                              <a:lnRef idx="0"/>
                              <a:fillRef idx="0"/>
                              <a:effectRef idx="0"/>
                              <a:fontRef idx="minor"/>
                            </wps:style>
                            <wps:bodyPr/>
                          </wps:wsp>
                        </a:graphicData>
                      </a:graphic>
                    </wp:anchor>
                  </w:drawing>
                </mc:Choice>
                <mc:Fallback>
                  <w:pict>
                    <v:line id="shape_0" from="166.9pt,130.4pt" to="191pt,130.4pt" ID="直线 298" stroked="t" style="position:absolute;mso-position-horizontal-relative:margin">
                      <v:stroke color="black" weight="6480" endarrow="block" endarrowwidth="medium" endarrowlength="medium" joinstyle="miter" endcap="flat"/>
                      <v:fill o:detectmouseclick="t" on="false"/>
                      <w10:wrap type="none"/>
                    </v:line>
                  </w:pict>
                </mc:Fallback>
              </mc:AlternateContent>
              <mc:AlternateContent>
                <mc:Choice Requires="wps">
                  <w:drawing>
                    <wp:anchor behindDoc="0" distT="3175" distB="3175" distL="118110" distR="118110" simplePos="0" locked="0" layoutInCell="0" allowOverlap="1" relativeHeight="24">
                      <wp:simplePos x="0" y="0"/>
                      <wp:positionH relativeFrom="margin">
                        <wp:posOffset>3187065</wp:posOffset>
                      </wp:positionH>
                      <wp:positionV relativeFrom="paragraph">
                        <wp:posOffset>1656080</wp:posOffset>
                      </wp:positionV>
                      <wp:extent cx="307340" cy="635"/>
                      <wp:effectExtent l="0" t="0" r="0" b="0"/>
                      <wp:wrapNone/>
                      <wp:docPr id="12" name="直线 299"/>
                      <a:graphic xmlns:a="http://schemas.openxmlformats.org/drawingml/2006/main">
                        <a:graphicData uri="http://schemas.microsoft.com/office/word/2010/wordprocessingShape">
                          <wps:wsp>
                            <wps:cNvSpPr/>
                            <wps:spPr>
                              <a:xfrm>
                                <a:off x="0" y="0"/>
                                <a:ext cx="306720" cy="0"/>
                              </a:xfrm>
                              <a:prstGeom prst="line">
                                <a:avLst/>
                              </a:prstGeom>
                              <a:ln w="6480">
                                <a:solidFill>
                                  <a:srgbClr val="000000"/>
                                </a:solidFill>
                                <a:miter/>
                                <a:tailEnd len="med" type="triangle" w="med"/>
                              </a:ln>
                            </wps:spPr>
                            <wps:style>
                              <a:lnRef idx="0"/>
                              <a:fillRef idx="0"/>
                              <a:effectRef idx="0"/>
                              <a:fontRef idx="minor"/>
                            </wps:style>
                            <wps:bodyPr/>
                          </wps:wsp>
                        </a:graphicData>
                      </a:graphic>
                    </wp:anchor>
                  </w:drawing>
                </mc:Choice>
                <mc:Fallback>
                  <w:pict>
                    <v:line id="shape_0" from="250.95pt,130.4pt" to="275.05pt,130.4pt" ID="直线 299" stroked="t" style="position:absolute;mso-position-horizontal-relative:margin">
                      <v:stroke color="black" weight="6480" endarrow="block" endarrowwidth="medium" endarrowlength="medium" joinstyle="miter" endcap="flat"/>
                      <v:fill o:detectmouseclick="t" on="false"/>
                      <w10:wrap type="none"/>
                    </v:line>
                  </w:pict>
                </mc:Fallback>
              </mc:AlternateContent>
              <mc:AlternateContent>
                <mc:Choice Requires="wps">
                  <w:drawing>
                    <wp:anchor behindDoc="0" distT="3175" distB="3175" distL="118110" distR="118110" simplePos="0" locked="0" layoutInCell="0" allowOverlap="1" relativeHeight="25">
                      <wp:simplePos x="0" y="0"/>
                      <wp:positionH relativeFrom="margin">
                        <wp:posOffset>4556760</wp:posOffset>
                      </wp:positionH>
                      <wp:positionV relativeFrom="paragraph">
                        <wp:posOffset>1656080</wp:posOffset>
                      </wp:positionV>
                      <wp:extent cx="205105" cy="635"/>
                      <wp:effectExtent l="0" t="0" r="0" b="0"/>
                      <wp:wrapNone/>
                      <wp:docPr id="13" name="直线 300"/>
                      <a:graphic xmlns:a="http://schemas.openxmlformats.org/drawingml/2006/main">
                        <a:graphicData uri="http://schemas.microsoft.com/office/word/2010/wordprocessingShape">
                          <wps:wsp>
                            <wps:cNvSpPr/>
                            <wps:spPr>
                              <a:xfrm>
                                <a:off x="0" y="0"/>
                                <a:ext cx="204480" cy="0"/>
                              </a:xfrm>
                              <a:prstGeom prst="line">
                                <a:avLst/>
                              </a:prstGeom>
                              <a:ln w="6480">
                                <a:solidFill>
                                  <a:srgbClr val="000000"/>
                                </a:solidFill>
                                <a:miter/>
                                <a:tailEnd len="med" type="triangle" w="med"/>
                              </a:ln>
                            </wps:spPr>
                            <wps:style>
                              <a:lnRef idx="0"/>
                              <a:fillRef idx="0"/>
                              <a:effectRef idx="0"/>
                              <a:fontRef idx="minor"/>
                            </wps:style>
                            <wps:bodyPr/>
                          </wps:wsp>
                        </a:graphicData>
                      </a:graphic>
                    </wp:anchor>
                  </w:drawing>
                </mc:Choice>
                <mc:Fallback>
                  <w:pict>
                    <v:line id="shape_0" from="358.8pt,130.4pt" to="374.85pt,130.4pt" ID="直线 300" stroked="t" style="position:absolute;mso-position-horizontal-relative:margin">
                      <v:stroke color="black" weight="6480" endarrow="block" endarrowwidth="medium" endarrowlength="medium" joinstyle="miter" endcap="flat"/>
                      <v:fill o:detectmouseclick="t" on="false"/>
                      <w10:wrap type="none"/>
                    </v:line>
                  </w:pict>
                </mc:Fallback>
              </mc:AlternateContent>
              <mc:AlternateContent>
                <mc:Choice Requires="wps">
                  <w:drawing>
                    <wp:anchor behindDoc="0" distT="3175" distB="3175" distL="118110" distR="118110" simplePos="0" locked="0" layoutInCell="0" allowOverlap="1" relativeHeight="26">
                      <wp:simplePos x="0" y="0"/>
                      <wp:positionH relativeFrom="margin">
                        <wp:posOffset>2616200</wp:posOffset>
                      </wp:positionH>
                      <wp:positionV relativeFrom="paragraph">
                        <wp:posOffset>798830</wp:posOffset>
                      </wp:positionV>
                      <wp:extent cx="393700" cy="635"/>
                      <wp:effectExtent l="0" t="0" r="0" b="0"/>
                      <wp:wrapNone/>
                      <wp:docPr id="14" name="直线 301"/>
                      <a:graphic xmlns:a="http://schemas.openxmlformats.org/drawingml/2006/main">
                        <a:graphicData uri="http://schemas.microsoft.com/office/word/2010/wordprocessingShape">
                          <wps:wsp>
                            <wps:cNvSpPr/>
                            <wps:spPr>
                              <a:xfrm>
                                <a:off x="0" y="0"/>
                                <a:ext cx="393120" cy="0"/>
                              </a:xfrm>
                              <a:prstGeom prst="line">
                                <a:avLst/>
                              </a:prstGeom>
                              <a:ln w="6480">
                                <a:solidFill>
                                  <a:srgbClr val="000000"/>
                                </a:solidFill>
                                <a:miter/>
                                <a:tailEnd len="med" type="triangle" w="med"/>
                              </a:ln>
                            </wps:spPr>
                            <wps:style>
                              <a:lnRef idx="0"/>
                              <a:fillRef idx="0"/>
                              <a:effectRef idx="0"/>
                              <a:fontRef idx="minor"/>
                            </wps:style>
                            <wps:bodyPr/>
                          </wps:wsp>
                        </a:graphicData>
                      </a:graphic>
                    </wp:anchor>
                  </w:drawing>
                </mc:Choice>
                <mc:Fallback>
                  <w:pict>
                    <v:line id="shape_0" from="206pt,62.9pt" to="236.9pt,62.9pt" ID="直线 301" stroked="t" style="position:absolute;mso-position-horizontal-relative:margin">
                      <v:stroke color="black" weight="6480" endarrow="block" endarrowwidth="medium" endarrowlength="medium" joinstyle="miter" endcap="flat"/>
                      <v:fill o:detectmouseclick="t" on="false"/>
                      <w10:wrap type="none"/>
                    </v:line>
                  </w:pict>
                </mc:Fallback>
              </mc:AlternateContent>
              <mc:AlternateContent>
                <mc:Choice Requires="wps">
                  <w:drawing>
                    <wp:anchor behindDoc="0" distT="3175" distB="3175" distL="118110" distR="118110" simplePos="0" locked="0" layoutInCell="0" allowOverlap="1" relativeHeight="27">
                      <wp:simplePos x="0" y="0"/>
                      <wp:positionH relativeFrom="margin">
                        <wp:posOffset>4223385</wp:posOffset>
                      </wp:positionH>
                      <wp:positionV relativeFrom="paragraph">
                        <wp:posOffset>798830</wp:posOffset>
                      </wp:positionV>
                      <wp:extent cx="307340" cy="635"/>
                      <wp:effectExtent l="0" t="0" r="0" b="0"/>
                      <wp:wrapNone/>
                      <wp:docPr id="15" name="直线 302"/>
                      <a:graphic xmlns:a="http://schemas.openxmlformats.org/drawingml/2006/main">
                        <a:graphicData uri="http://schemas.microsoft.com/office/word/2010/wordprocessingShape">
                          <wps:wsp>
                            <wps:cNvSpPr/>
                            <wps:spPr>
                              <a:xfrm>
                                <a:off x="0" y="0"/>
                                <a:ext cx="306720" cy="0"/>
                              </a:xfrm>
                              <a:prstGeom prst="line">
                                <a:avLst/>
                              </a:prstGeom>
                              <a:ln w="6480">
                                <a:solidFill>
                                  <a:srgbClr val="000000"/>
                                </a:solidFill>
                                <a:miter/>
                                <a:tailEnd len="med" type="triangle" w="med"/>
                              </a:ln>
                            </wps:spPr>
                            <wps:style>
                              <a:lnRef idx="0"/>
                              <a:fillRef idx="0"/>
                              <a:effectRef idx="0"/>
                              <a:fontRef idx="minor"/>
                            </wps:style>
                            <wps:bodyPr/>
                          </wps:wsp>
                        </a:graphicData>
                      </a:graphic>
                    </wp:anchor>
                  </w:drawing>
                </mc:Choice>
                <mc:Fallback>
                  <w:pict>
                    <v:line id="shape_0" from="332.55pt,62.9pt" to="356.65pt,62.9pt" ID="直线 302" stroked="t" style="position:absolute;mso-position-horizontal-relative:margin">
                      <v:stroke color="black" weight="6480" endarrow="block" endarrowwidth="medium" endarrowlength="medium" joinstyle="miter" endcap="flat"/>
                      <v:fill o:detectmouseclick="t" on="false"/>
                      <w10:wrap type="none"/>
                    </v:line>
                  </w:pict>
                </mc:Fallback>
              </mc:AlternateContent>
            </w:r>
            <w:r>
              <w:rPr/>
              <w:t>十二、考核流程与说明</w:t>
            </w:r>
            <w:r>
              <mc:AlternateContent>
                <mc:Choice Requires="wps">
                  <w:drawing>
                    <wp:anchor behindDoc="0" distT="0" distB="0" distL="114935" distR="114935" simplePos="0" locked="0" layoutInCell="0" allowOverlap="1" relativeHeight="15">
                      <wp:simplePos x="0" y="0"/>
                      <wp:positionH relativeFrom="margin">
                        <wp:posOffset>907415</wp:posOffset>
                      </wp:positionH>
                      <wp:positionV relativeFrom="paragraph">
                        <wp:posOffset>514350</wp:posOffset>
                      </wp:positionV>
                      <wp:extent cx="1711325" cy="630555"/>
                      <wp:effectExtent l="0" t="0" r="0" b="0"/>
                      <wp:wrapNone/>
                      <wp:docPr id="16" name="Frame8"/>
                      <a:graphic xmlns:a="http://schemas.openxmlformats.org/drawingml/2006/main">
                        <a:graphicData uri="http://schemas.microsoft.com/office/word/2010/wordprocessingShape">
                          <wps:wsp>
                            <wps:cNvSpPr txBox="1"/>
                            <wps:spPr>
                              <a:xfrm>
                                <a:off x="0" y="0"/>
                                <a:ext cx="1711325" cy="630555"/>
                              </a:xfrm>
                              <a:prstGeom prst="rect"/>
                              <a:solidFill>
                                <a:srgbClr val="FFFFFF"/>
                              </a:solidFill>
                              <a:ln w="6350">
                                <a:solidFill>
                                  <a:srgbClr val="000000"/>
                                </a:solidFill>
                              </a:ln>
                            </wps:spPr>
                            <wps:txbx>
                              <w:txbxContent>
                                <w:p>
                                  <w:pPr>
                                    <w:pStyle w:val="TextBody"/>
                                    <w:rPr>
                                      <w:sz w:val="21"/>
                                      <w:szCs w:val="21"/>
                                    </w:rPr>
                                  </w:pPr>
                                  <w:r>
                                    <w:rPr>
                                      <w:sz w:val="21"/>
                                      <w:szCs w:val="21"/>
                                    </w:rPr>
                                    <w:t>1.</w:t>
                                  </w:r>
                                  <w:r>
                                    <w:rPr>
                                      <w:sz w:val="21"/>
                                      <w:szCs w:val="21"/>
                                    </w:rPr>
                                    <w:t>确定周期（月度、季度或年度）工作计划（考核表）</w:t>
                                  </w:r>
                                </w:p>
                              </w:txbxContent>
                            </wps:txbx>
                            <wps:bodyPr anchor="t" lIns="91440" tIns="45720" rIns="91440" bIns="45720">
                              <a:noAutofit/>
                            </wps:bodyPr>
                          </wps:wsp>
                        </a:graphicData>
                      </a:graphic>
                    </wp:anchor>
                  </w:drawing>
                </mc:Choice>
                <mc:Fallback>
                  <w:pict>
                    <v:rect fillcolor="#FFFFFF" strokecolor="#000000" strokeweight="0pt" style="position:absolute;rotation:0;width:134.75pt;height:49.65pt;mso-wrap-distance-left:9.05pt;mso-wrap-distance-right:9.05pt;mso-wrap-distance-top:0pt;mso-wrap-distance-bottom:0pt;margin-top:40.5pt;mso-position-vertical-relative:text;margin-left:71.45pt;mso-position-horizontal-relative:margin">
                      <v:textbox>
                        <w:txbxContent>
                          <w:p>
                            <w:pPr>
                              <w:pStyle w:val="TextBody"/>
                              <w:rPr>
                                <w:sz w:val="21"/>
                                <w:szCs w:val="21"/>
                              </w:rPr>
                            </w:pPr>
                            <w:r>
                              <w:rPr>
                                <w:sz w:val="21"/>
                                <w:szCs w:val="21"/>
                              </w:rPr>
                              <w:t>1.</w:t>
                            </w:r>
                            <w:r>
                              <w:rPr>
                                <w:sz w:val="21"/>
                                <w:szCs w:val="21"/>
                              </w:rPr>
                              <w:t>确定周期（月度、季度或年度）工作计划（考核表）</w:t>
                            </w:r>
                          </w:p>
                        </w:txbxContent>
                      </v:textbox>
                      <w10:wrap type="none"/>
                    </v:rect>
                  </w:pict>
                </mc:Fallback>
              </mc:AlternateContent>
            </w:r>
            <w:r>
              <mc:AlternateContent>
                <mc:Choice Requires="wps">
                  <w:drawing>
                    <wp:anchor behindDoc="0" distT="0" distB="0" distL="114935" distR="114935" simplePos="0" locked="0" layoutInCell="0" allowOverlap="1" relativeHeight="16">
                      <wp:simplePos x="0" y="0"/>
                      <wp:positionH relativeFrom="margin">
                        <wp:posOffset>3006090</wp:posOffset>
                      </wp:positionH>
                      <wp:positionV relativeFrom="paragraph">
                        <wp:posOffset>514350</wp:posOffset>
                      </wp:positionV>
                      <wp:extent cx="1220470" cy="630555"/>
                      <wp:effectExtent l="0" t="0" r="0" b="0"/>
                      <wp:wrapNone/>
                      <wp:docPr id="17" name="Frame7"/>
                      <a:graphic xmlns:a="http://schemas.openxmlformats.org/drawingml/2006/main">
                        <a:graphicData uri="http://schemas.microsoft.com/office/word/2010/wordprocessingShape">
                          <wps:wsp>
                            <wps:cNvSpPr txBox="1"/>
                            <wps:spPr>
                              <a:xfrm>
                                <a:off x="0" y="0"/>
                                <a:ext cx="1220470" cy="630555"/>
                              </a:xfrm>
                              <a:prstGeom prst="rect"/>
                              <a:solidFill>
                                <a:srgbClr val="FFFFFF"/>
                              </a:solidFill>
                              <a:ln w="6350">
                                <a:solidFill>
                                  <a:srgbClr val="000000"/>
                                </a:solidFill>
                              </a:ln>
                            </wps:spPr>
                            <wps:txbx>
                              <w:txbxContent>
                                <w:p>
                                  <w:pPr>
                                    <w:pStyle w:val="2"/>
                                    <w:spacing w:lineRule="exact" w:line="340" w:before="0" w:after="120"/>
                                    <w:rPr>
                                      <w:szCs w:val="21"/>
                                    </w:rPr>
                                  </w:pPr>
                                  <w:r>
                                    <w:rPr>
                                      <w:szCs w:val="21"/>
                                    </w:rPr>
                                    <w:t>2.</w:t>
                                  </w:r>
                                  <w:r>
                                    <w:rPr>
                                      <w:szCs w:val="21"/>
                                    </w:rPr>
                                    <w:t>员工自评及述职报告</w:t>
                                  </w:r>
                                </w:p>
                              </w:txbxContent>
                            </wps:txbx>
                            <wps:bodyPr anchor="t" lIns="91440" tIns="45720" rIns="91440" bIns="45720">
                              <a:noAutofit/>
                            </wps:bodyPr>
                          </wps:wsp>
                        </a:graphicData>
                      </a:graphic>
                    </wp:anchor>
                  </w:drawing>
                </mc:Choice>
                <mc:Fallback>
                  <w:pict>
                    <v:rect fillcolor="#FFFFFF" strokecolor="#000000" strokeweight="0pt" style="position:absolute;rotation:0;width:96.1pt;height:49.65pt;mso-wrap-distance-left:9.05pt;mso-wrap-distance-right:9.05pt;mso-wrap-distance-top:0pt;mso-wrap-distance-bottom:0pt;margin-top:40.5pt;mso-position-vertical-relative:text;margin-left:236.7pt;mso-position-horizontal-relative:margin">
                      <v:textbox>
                        <w:txbxContent>
                          <w:p>
                            <w:pPr>
                              <w:pStyle w:val="2"/>
                              <w:spacing w:lineRule="exact" w:line="340" w:before="0" w:after="120"/>
                              <w:rPr>
                                <w:szCs w:val="21"/>
                              </w:rPr>
                            </w:pPr>
                            <w:r>
                              <w:rPr>
                                <w:szCs w:val="21"/>
                              </w:rPr>
                              <w:t>2.</w:t>
                            </w:r>
                            <w:r>
                              <w:rPr>
                                <w:szCs w:val="21"/>
                              </w:rPr>
                              <w:t>员工自评及述职报告</w:t>
                            </w:r>
                          </w:p>
                        </w:txbxContent>
                      </v:textbox>
                      <w10:wrap type="none"/>
                    </v:rect>
                  </w:pict>
                </mc:Fallback>
              </mc:AlternateContent>
            </w:r>
            <w:r>
              <mc:AlternateContent>
                <mc:Choice Requires="wps">
                  <w:drawing>
                    <wp:anchor behindDoc="0" distT="0" distB="0" distL="114935" distR="114935" simplePos="0" locked="0" layoutInCell="0" allowOverlap="1" relativeHeight="17">
                      <wp:simplePos x="0" y="0"/>
                      <wp:positionH relativeFrom="margin">
                        <wp:posOffset>4553585</wp:posOffset>
                      </wp:positionH>
                      <wp:positionV relativeFrom="paragraph">
                        <wp:posOffset>514350</wp:posOffset>
                      </wp:positionV>
                      <wp:extent cx="996315" cy="630555"/>
                      <wp:effectExtent l="0" t="0" r="0" b="0"/>
                      <wp:wrapNone/>
                      <wp:docPr id="18" name="Frame6"/>
                      <a:graphic xmlns:a="http://schemas.openxmlformats.org/drawingml/2006/main">
                        <a:graphicData uri="http://schemas.microsoft.com/office/word/2010/wordprocessingShape">
                          <wps:wsp>
                            <wps:cNvSpPr txBox="1"/>
                            <wps:spPr>
                              <a:xfrm>
                                <a:off x="0" y="0"/>
                                <a:ext cx="996315" cy="630555"/>
                              </a:xfrm>
                              <a:prstGeom prst="rect"/>
                              <a:solidFill>
                                <a:srgbClr val="FFFFFF"/>
                              </a:solidFill>
                              <a:ln w="6350">
                                <a:solidFill>
                                  <a:srgbClr val="000000"/>
                                </a:solidFill>
                              </a:ln>
                            </wps:spPr>
                            <wps:txbx>
                              <w:txbxContent>
                                <w:p>
                                  <w:pPr>
                                    <w:pStyle w:val="Normal"/>
                                    <w:rPr>
                                      <w:szCs w:val="21"/>
                                    </w:rPr>
                                  </w:pPr>
                                  <w:r>
                                    <w:rPr>
                                      <w:szCs w:val="21"/>
                                    </w:rPr>
                                    <w:t>3.</w:t>
                                  </w:r>
                                  <w:r>
                                    <w:rPr>
                                      <w:szCs w:val="21"/>
                                    </w:rPr>
                                    <w:t>上级领导考核评估</w:t>
                                  </w:r>
                                </w:p>
                              </w:txbxContent>
                            </wps:txbx>
                            <wps:bodyPr anchor="t" lIns="91440" tIns="45720" rIns="91440" bIns="45720">
                              <a:noAutofit/>
                            </wps:bodyPr>
                          </wps:wsp>
                        </a:graphicData>
                      </a:graphic>
                    </wp:anchor>
                  </w:drawing>
                </mc:Choice>
                <mc:Fallback>
                  <w:pict>
                    <v:rect fillcolor="#FFFFFF" strokecolor="#000000" strokeweight="0pt" style="position:absolute;rotation:0;width:78.45pt;height:49.65pt;mso-wrap-distance-left:9.05pt;mso-wrap-distance-right:9.05pt;mso-wrap-distance-top:0pt;mso-wrap-distance-bottom:0pt;margin-top:40.5pt;mso-position-vertical-relative:text;margin-left:358.55pt;mso-position-horizontal-relative:margin">
                      <v:textbox>
                        <w:txbxContent>
                          <w:p>
                            <w:pPr>
                              <w:pStyle w:val="Normal"/>
                              <w:rPr>
                                <w:szCs w:val="21"/>
                              </w:rPr>
                            </w:pPr>
                            <w:r>
                              <w:rPr>
                                <w:szCs w:val="21"/>
                              </w:rPr>
                              <w:t>3.</w:t>
                            </w:r>
                            <w:r>
                              <w:rPr>
                                <w:szCs w:val="21"/>
                              </w:rPr>
                              <w:t>上级领导考核评估</w:t>
                            </w:r>
                          </w:p>
                        </w:txbxContent>
                      </v:textbox>
                      <w10:wrap type="none"/>
                    </v:rect>
                  </w:pict>
                </mc:Fallback>
              </mc:AlternateContent>
            </w:r>
            <w:r>
              <mc:AlternateContent>
                <mc:Choice Requires="wps">
                  <w:drawing>
                    <wp:anchor behindDoc="0" distT="0" distB="0" distL="114935" distR="114935" simplePos="0" locked="0" layoutInCell="0" allowOverlap="1" relativeHeight="18">
                      <wp:simplePos x="0" y="0"/>
                      <wp:positionH relativeFrom="margin">
                        <wp:posOffset>2423160</wp:posOffset>
                      </wp:positionH>
                      <wp:positionV relativeFrom="paragraph">
                        <wp:posOffset>1395730</wp:posOffset>
                      </wp:positionV>
                      <wp:extent cx="767080" cy="530225"/>
                      <wp:effectExtent l="0" t="0" r="0" b="0"/>
                      <wp:wrapNone/>
                      <wp:docPr id="19" name="Frame10"/>
                      <a:graphic xmlns:a="http://schemas.openxmlformats.org/drawingml/2006/main">
                        <a:graphicData uri="http://schemas.microsoft.com/office/word/2010/wordprocessingShape">
                          <wps:wsp>
                            <wps:cNvSpPr txBox="1"/>
                            <wps:spPr>
                              <a:xfrm>
                                <a:off x="0" y="0"/>
                                <a:ext cx="767080" cy="530225"/>
                              </a:xfrm>
                              <a:prstGeom prst="rect"/>
                              <a:solidFill>
                                <a:srgbClr val="FFFFFF"/>
                              </a:solidFill>
                              <a:ln w="6350">
                                <a:solidFill>
                                  <a:srgbClr val="000000"/>
                                </a:solidFill>
                              </a:ln>
                            </wps:spPr>
                            <wps:txbx>
                              <w:txbxContent>
                                <w:p>
                                  <w:pPr>
                                    <w:pStyle w:val="Normal"/>
                                    <w:rPr>
                                      <w:szCs w:val="21"/>
                                    </w:rPr>
                                  </w:pPr>
                                  <w:r>
                                    <w:rPr>
                                      <w:szCs w:val="21"/>
                                    </w:rPr>
                                    <w:t>5.</w:t>
                                  </w:r>
                                  <w:r>
                                    <w:rPr>
                                      <w:szCs w:val="21"/>
                                    </w:rPr>
                                    <w:t>审核、调整与申诉</w:t>
                                  </w:r>
                                </w:p>
                              </w:txbxContent>
                            </wps:txbx>
                            <wps:bodyPr anchor="t" lIns="91440" tIns="45720" rIns="91440" bIns="45720">
                              <a:noAutofit/>
                            </wps:bodyPr>
                          </wps:wsp>
                        </a:graphicData>
                      </a:graphic>
                    </wp:anchor>
                  </w:drawing>
                </mc:Choice>
                <mc:Fallback>
                  <w:pict>
                    <v:rect fillcolor="#FFFFFF" strokecolor="#000000" strokeweight="0pt" style="position:absolute;rotation:0;width:60.4pt;height:41.75pt;mso-wrap-distance-left:9.05pt;mso-wrap-distance-right:9.05pt;mso-wrap-distance-top:0pt;mso-wrap-distance-bottom:0pt;margin-top:109.9pt;mso-position-vertical-relative:text;margin-left:190.8pt;mso-position-horizontal-relative:margin">
                      <v:textbox>
                        <w:txbxContent>
                          <w:p>
                            <w:pPr>
                              <w:pStyle w:val="Normal"/>
                              <w:rPr>
                                <w:szCs w:val="21"/>
                              </w:rPr>
                            </w:pPr>
                            <w:r>
                              <w:rPr>
                                <w:szCs w:val="21"/>
                              </w:rPr>
                              <w:t>5.</w:t>
                            </w:r>
                            <w:r>
                              <w:rPr>
                                <w:szCs w:val="21"/>
                              </w:rPr>
                              <w:t>审核、调整与申诉</w:t>
                            </w:r>
                          </w:p>
                        </w:txbxContent>
                      </v:textbox>
                      <w10:wrap type="none"/>
                    </v:rect>
                  </w:pict>
                </mc:Fallback>
              </mc:AlternateContent>
            </w:r>
            <w:r>
              <mc:AlternateContent>
                <mc:Choice Requires="wps">
                  <w:drawing>
                    <wp:anchor behindDoc="0" distT="0" distB="0" distL="114935" distR="114935" simplePos="0" locked="0" layoutInCell="0" allowOverlap="1" relativeHeight="19">
                      <wp:simplePos x="0" y="0"/>
                      <wp:positionH relativeFrom="margin">
                        <wp:posOffset>1306195</wp:posOffset>
                      </wp:positionH>
                      <wp:positionV relativeFrom="paragraph">
                        <wp:posOffset>1395730</wp:posOffset>
                      </wp:positionV>
                      <wp:extent cx="747395" cy="530225"/>
                      <wp:effectExtent l="0" t="0" r="0" b="0"/>
                      <wp:wrapNone/>
                      <wp:docPr id="20" name="Frame9"/>
                      <a:graphic xmlns:a="http://schemas.openxmlformats.org/drawingml/2006/main">
                        <a:graphicData uri="http://schemas.microsoft.com/office/word/2010/wordprocessingShape">
                          <wps:wsp>
                            <wps:cNvSpPr txBox="1"/>
                            <wps:spPr>
                              <a:xfrm>
                                <a:off x="0" y="0"/>
                                <a:ext cx="747395" cy="530225"/>
                              </a:xfrm>
                              <a:prstGeom prst="rect"/>
                              <a:solidFill>
                                <a:srgbClr val="FFFFFF"/>
                              </a:solidFill>
                              <a:ln w="6350">
                                <a:solidFill>
                                  <a:srgbClr val="000000"/>
                                </a:solidFill>
                              </a:ln>
                            </wps:spPr>
                            <wps:txbx>
                              <w:txbxContent>
                                <w:p>
                                  <w:pPr>
                                    <w:pStyle w:val="Normal"/>
                                    <w:rPr>
                                      <w:szCs w:val="21"/>
                                    </w:rPr>
                                  </w:pPr>
                                  <w:r>
                                    <w:rPr>
                                      <w:szCs w:val="21"/>
                                    </w:rPr>
                                    <w:t>4.</w:t>
                                  </w:r>
                                  <w:r>
                                    <w:rPr>
                                      <w:szCs w:val="21"/>
                                    </w:rPr>
                                    <w:t>绩效面谈</w:t>
                                  </w:r>
                                </w:p>
                              </w:txbxContent>
                            </wps:txbx>
                            <wps:bodyPr anchor="t" lIns="91440" tIns="45720" rIns="91440" bIns="45720">
                              <a:noAutofit/>
                            </wps:bodyPr>
                          </wps:wsp>
                        </a:graphicData>
                      </a:graphic>
                    </wp:anchor>
                  </w:drawing>
                </mc:Choice>
                <mc:Fallback>
                  <w:pict>
                    <v:rect fillcolor="#FFFFFF" strokecolor="#000000" strokeweight="0pt" style="position:absolute;rotation:0;width:58.85pt;height:41.75pt;mso-wrap-distance-left:9.05pt;mso-wrap-distance-right:9.05pt;mso-wrap-distance-top:0pt;mso-wrap-distance-bottom:0pt;margin-top:109.9pt;mso-position-vertical-relative:text;margin-left:102.85pt;mso-position-horizontal-relative:margin">
                      <v:textbox>
                        <w:txbxContent>
                          <w:p>
                            <w:pPr>
                              <w:pStyle w:val="Normal"/>
                              <w:rPr>
                                <w:szCs w:val="21"/>
                              </w:rPr>
                            </w:pPr>
                            <w:r>
                              <w:rPr>
                                <w:szCs w:val="21"/>
                              </w:rPr>
                              <w:t>4.</w:t>
                            </w:r>
                            <w:r>
                              <w:rPr>
                                <w:szCs w:val="21"/>
                              </w:rPr>
                              <w:t>绩效面谈</w:t>
                            </w:r>
                          </w:p>
                        </w:txbxContent>
                      </v:textbox>
                      <w10:wrap type="none"/>
                    </v:rect>
                  </w:pict>
                </mc:Fallback>
              </mc:AlternateContent>
            </w:r>
            <w:r>
              <mc:AlternateContent>
                <mc:Choice Requires="wps">
                  <w:drawing>
                    <wp:anchor behindDoc="0" distT="0" distB="0" distL="114935" distR="114935" simplePos="0" locked="0" layoutInCell="0" allowOverlap="1" relativeHeight="20">
                      <wp:simplePos x="0" y="0"/>
                      <wp:positionH relativeFrom="margin">
                        <wp:posOffset>3535045</wp:posOffset>
                      </wp:positionH>
                      <wp:positionV relativeFrom="paragraph">
                        <wp:posOffset>1395730</wp:posOffset>
                      </wp:positionV>
                      <wp:extent cx="1024890" cy="530225"/>
                      <wp:effectExtent l="0" t="0" r="0" b="0"/>
                      <wp:wrapNone/>
                      <wp:docPr id="21" name="Frame5"/>
                      <a:graphic xmlns:a="http://schemas.openxmlformats.org/drawingml/2006/main">
                        <a:graphicData uri="http://schemas.microsoft.com/office/word/2010/wordprocessingShape">
                          <wps:wsp>
                            <wps:cNvSpPr txBox="1"/>
                            <wps:spPr>
                              <a:xfrm>
                                <a:off x="0" y="0"/>
                                <a:ext cx="1024890" cy="530225"/>
                              </a:xfrm>
                              <a:prstGeom prst="rect"/>
                              <a:solidFill>
                                <a:srgbClr val="FFFFFF"/>
                              </a:solidFill>
                              <a:ln w="6350">
                                <a:solidFill>
                                  <a:srgbClr val="000000"/>
                                </a:solidFill>
                              </a:ln>
                            </wps:spPr>
                            <wps:txbx>
                              <w:txbxContent>
                                <w:p>
                                  <w:pPr>
                                    <w:pStyle w:val="Normal"/>
                                    <w:rPr>
                                      <w:szCs w:val="21"/>
                                    </w:rPr>
                                  </w:pPr>
                                  <w:r>
                                    <w:rPr>
                                      <w:szCs w:val="21"/>
                                    </w:rPr>
                                    <w:t>6.</w:t>
                                  </w:r>
                                  <w:r>
                                    <w:rPr>
                                      <w:szCs w:val="21"/>
                                    </w:rPr>
                                    <w:t>考核结果汇总及数据整理</w:t>
                                  </w:r>
                                </w:p>
                              </w:txbxContent>
                            </wps:txbx>
                            <wps:bodyPr anchor="t" lIns="91440" tIns="45720" rIns="91440" bIns="45720">
                              <a:noAutofit/>
                            </wps:bodyPr>
                          </wps:wsp>
                        </a:graphicData>
                      </a:graphic>
                    </wp:anchor>
                  </w:drawing>
                </mc:Choice>
                <mc:Fallback>
                  <w:pict>
                    <v:rect fillcolor="#FFFFFF" strokecolor="#000000" strokeweight="0pt" style="position:absolute;rotation:0;width:80.7pt;height:41.75pt;mso-wrap-distance-left:9.05pt;mso-wrap-distance-right:9.05pt;mso-wrap-distance-top:0pt;mso-wrap-distance-bottom:0pt;margin-top:109.9pt;mso-position-vertical-relative:text;margin-left:278.35pt;mso-position-horizontal-relative:margin">
                      <v:textbox>
                        <w:txbxContent>
                          <w:p>
                            <w:pPr>
                              <w:pStyle w:val="Normal"/>
                              <w:rPr>
                                <w:szCs w:val="21"/>
                              </w:rPr>
                            </w:pPr>
                            <w:r>
                              <w:rPr>
                                <w:szCs w:val="21"/>
                              </w:rPr>
                              <w:t>6.</w:t>
                            </w:r>
                            <w:r>
                              <w:rPr>
                                <w:szCs w:val="21"/>
                              </w:rPr>
                              <w:t>考核结果汇总及数据整理</w:t>
                            </w:r>
                          </w:p>
                        </w:txbxContent>
                      </v:textbox>
                      <w10:wrap type="none"/>
                    </v:rect>
                  </w:pict>
                </mc:Fallback>
              </mc:AlternateContent>
            </w:r>
            <w:r>
              <mc:AlternateContent>
                <mc:Choice Requires="wps">
                  <w:drawing>
                    <wp:anchor behindDoc="0" distT="0" distB="0" distL="114935" distR="114935" simplePos="0" locked="0" layoutInCell="0" allowOverlap="1" relativeHeight="21">
                      <wp:simplePos x="0" y="0"/>
                      <wp:positionH relativeFrom="margin">
                        <wp:posOffset>4754880</wp:posOffset>
                      </wp:positionH>
                      <wp:positionV relativeFrom="paragraph">
                        <wp:posOffset>1392555</wp:posOffset>
                      </wp:positionV>
                      <wp:extent cx="905510" cy="536575"/>
                      <wp:effectExtent l="0" t="0" r="0" b="0"/>
                      <wp:wrapNone/>
                      <wp:docPr id="22" name="Frame4"/>
                      <a:graphic xmlns:a="http://schemas.openxmlformats.org/drawingml/2006/main">
                        <a:graphicData uri="http://schemas.microsoft.com/office/word/2010/wordprocessingShape">
                          <wps:wsp>
                            <wps:cNvSpPr txBox="1"/>
                            <wps:spPr>
                              <a:xfrm>
                                <a:off x="0" y="0"/>
                                <a:ext cx="905510" cy="536575"/>
                              </a:xfrm>
                              <a:prstGeom prst="rect"/>
                              <a:solidFill>
                                <a:srgbClr val="FFFFFF"/>
                              </a:solidFill>
                              <a:ln w="6350">
                                <a:solidFill>
                                  <a:srgbClr val="000000"/>
                                </a:solidFill>
                              </a:ln>
                            </wps:spPr>
                            <wps:txbx>
                              <w:txbxContent>
                                <w:p>
                                  <w:pPr>
                                    <w:pStyle w:val="TextBody"/>
                                    <w:spacing w:lineRule="exact" w:line="260"/>
                                    <w:rPr>
                                      <w:sz w:val="21"/>
                                      <w:szCs w:val="21"/>
                                    </w:rPr>
                                  </w:pPr>
                                  <w:r>
                                    <w:rPr>
                                      <w:sz w:val="21"/>
                                      <w:szCs w:val="21"/>
                                    </w:rPr>
                                    <w:t>7.</w:t>
                                  </w:r>
                                  <w:r>
                                    <w:rPr>
                                      <w:sz w:val="21"/>
                                      <w:szCs w:val="21"/>
                                    </w:rPr>
                                    <w:t>考核结果应用</w:t>
                                  </w:r>
                                </w:p>
                              </w:txbxContent>
                            </wps:txbx>
                            <wps:bodyPr anchor="t" lIns="91440" tIns="45720" rIns="91440" bIns="45720">
                              <a:noAutofit/>
                            </wps:bodyPr>
                          </wps:wsp>
                        </a:graphicData>
                      </a:graphic>
                    </wp:anchor>
                  </w:drawing>
                </mc:Choice>
                <mc:Fallback>
                  <w:pict>
                    <v:rect fillcolor="#FFFFFF" strokecolor="#000000" strokeweight="0pt" style="position:absolute;rotation:0;width:71.3pt;height:42.25pt;mso-wrap-distance-left:9.05pt;mso-wrap-distance-right:9.05pt;mso-wrap-distance-top:0pt;mso-wrap-distance-bottom:0pt;margin-top:109.65pt;mso-position-vertical-relative:text;margin-left:374.4pt;mso-position-horizontal-relative:margin">
                      <v:textbox>
                        <w:txbxContent>
                          <w:p>
                            <w:pPr>
                              <w:pStyle w:val="TextBody"/>
                              <w:spacing w:lineRule="exact" w:line="260"/>
                              <w:rPr>
                                <w:sz w:val="21"/>
                                <w:szCs w:val="21"/>
                              </w:rPr>
                            </w:pPr>
                            <w:r>
                              <w:rPr>
                                <w:sz w:val="21"/>
                                <w:szCs w:val="21"/>
                              </w:rPr>
                              <w:t>7.</w:t>
                            </w:r>
                            <w:r>
                              <w:rPr>
                                <w:sz w:val="21"/>
                                <w:szCs w:val="21"/>
                              </w:rPr>
                              <w:t>考核结果应用</w:t>
                            </w:r>
                          </w:p>
                        </w:txbxContent>
                      </v:textbox>
                      <w10:wrap type="none"/>
                    </v:rect>
                  </w:pict>
                </mc:Fallback>
              </mc:AlternateContent>
            </w:r>
          </w:p>
        </w:tc>
        <w:tc>
          <w:tcPr>
            <w:tcW w:w="7822"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00"/>
              <w:rPr>
                <w:rFonts w:ascii="宋体" w:hAnsi="宋体"/>
                <w:sz w:val="24"/>
              </w:rPr>
            </w:pPr>
            <w:r>
              <w:rPr>
                <w:rFonts w:ascii="宋体" w:hAnsi="宋体"/>
                <w:sz w:val="24"/>
              </w:rPr>
            </w:r>
          </w:p>
          <w:p>
            <w:pPr>
              <w:pStyle w:val="Normal"/>
              <w:spacing w:lineRule="exact" w:line="600"/>
              <w:rPr>
                <w:rFonts w:ascii="宋体" w:hAnsi="宋体"/>
                <w:sz w:val="24"/>
              </w:rPr>
            </w:pPr>
            <w:r>
              <w:rPr>
                <w:rFonts w:cs="宋体" w:ascii="宋体" w:hAnsi="宋体"/>
                <w:b/>
                <w:sz w:val="24"/>
              </w:rPr>
              <w:t xml:space="preserve">  </w:t>
            </w:r>
          </w:p>
          <w:p>
            <w:pPr>
              <w:pStyle w:val="Normal"/>
              <w:spacing w:lineRule="exact" w:line="320"/>
              <w:rPr>
                <w:rFonts w:ascii="宋体" w:hAnsi="宋体"/>
                <w:sz w:val="24"/>
              </w:rPr>
            </w:pPr>
            <w:r>
              <w:rPr>
                <w:rFonts w:ascii="宋体" w:hAnsi="宋体"/>
                <w:sz w:val="24"/>
              </w:rPr>
            </w:r>
          </w:p>
          <w:p>
            <w:pPr>
              <w:pStyle w:val="Normal"/>
              <w:numPr>
                <w:ilvl w:val="0"/>
                <w:numId w:val="0"/>
              </w:numPr>
              <w:spacing w:lineRule="exact" w:line="600"/>
              <w:ind w:start="704" w:hanging="0"/>
              <w:outlineLvl w:val="0"/>
              <w:rPr>
                <w:rFonts w:ascii="宋体" w:hAnsi="宋体"/>
                <w:b/>
                <w:b/>
                <w:sz w:val="24"/>
              </w:rPr>
            </w:pPr>
            <w:r>
              <w:rPr>
                <w:rFonts w:ascii="宋体" w:hAnsi="宋体"/>
                <w:b/>
                <w:sz w:val="24"/>
              </w:rPr>
            </w:r>
          </w:p>
          <w:p>
            <w:pPr>
              <w:pStyle w:val="Normal"/>
              <w:numPr>
                <w:ilvl w:val="0"/>
                <w:numId w:val="0"/>
              </w:numPr>
              <w:spacing w:lineRule="exact" w:line="600"/>
              <w:ind w:start="704" w:hanging="0"/>
              <w:outlineLvl w:val="0"/>
              <w:rPr>
                <w:rFonts w:ascii="宋体" w:hAnsi="宋体"/>
                <w:b/>
                <w:b/>
                <w:sz w:val="24"/>
              </w:rPr>
            </w:pPr>
            <w:r>
              <w:rPr>
                <w:rFonts w:ascii="宋体" w:hAnsi="宋体"/>
                <w:b/>
                <w:sz w:val="24"/>
              </w:rPr>
            </w:r>
          </w:p>
          <w:p>
            <w:pPr>
              <w:pStyle w:val="Normal"/>
              <w:numPr>
                <w:ilvl w:val="0"/>
                <w:numId w:val="0"/>
              </w:numPr>
              <w:spacing w:lineRule="exact" w:line="600"/>
              <w:ind w:start="704" w:hanging="0"/>
              <w:outlineLvl w:val="0"/>
              <w:rPr>
                <w:rFonts w:ascii="宋体" w:hAnsi="宋体"/>
                <w:b/>
                <w:b/>
                <w:sz w:val="24"/>
              </w:rPr>
            </w:pPr>
            <w:r>
              <w:rPr>
                <w:rFonts w:ascii="宋体" w:hAnsi="宋体"/>
                <w:b/>
                <w:sz w:val="24"/>
              </w:rPr>
            </w:r>
          </w:p>
          <w:p>
            <w:pPr>
              <w:pStyle w:val="Normal"/>
              <w:spacing w:lineRule="exact" w:line="460"/>
              <w:rPr>
                <w:rFonts w:ascii="宋体" w:hAnsi="宋体"/>
                <w:b/>
                <w:b/>
                <w:sz w:val="24"/>
              </w:rPr>
            </w:pPr>
            <w:r>
              <w:rPr>
                <w:rFonts w:ascii="宋体" w:hAnsi="宋体"/>
                <w:b/>
                <w:sz w:val="24"/>
              </w:rPr>
            </w:r>
          </w:p>
          <w:p>
            <w:pPr>
              <w:pStyle w:val="Normal"/>
              <w:spacing w:lineRule="exact" w:line="460"/>
              <w:rPr>
                <w:b/>
                <w:b/>
                <w:sz w:val="24"/>
              </w:rPr>
            </w:pPr>
            <w:r>
              <w:rPr>
                <w:b/>
                <w:sz w:val="24"/>
              </w:rPr>
              <w:t xml:space="preserve">12.1 </w:t>
            </w:r>
            <w:r>
              <w:rPr>
                <w:b/>
                <w:sz w:val="24"/>
              </w:rPr>
              <w:t>周期</w:t>
            </w:r>
            <w:r>
              <w:rPr>
                <w:rStyle w:val="FootnoteCharacters"/>
                <w:rStyle w:val="FootnoteAnchor"/>
                <w:b/>
                <w:sz w:val="24"/>
              </w:rPr>
              <w:footnoteReference w:id="5"/>
            </w:r>
            <w:r>
              <w:rPr>
                <w:b/>
                <w:sz w:val="24"/>
              </w:rPr>
              <w:t>目标计划（考核表）确定</w:t>
            </w:r>
          </w:p>
          <w:p>
            <w:pPr>
              <w:pStyle w:val="Normal"/>
              <w:spacing w:lineRule="exact" w:line="460"/>
              <w:rPr>
                <w:i/>
                <w:i/>
                <w:sz w:val="24"/>
              </w:rPr>
            </w:pPr>
            <w:r>
              <w:rPr>
                <w:sz w:val="24"/>
              </w:rPr>
              <w:t xml:space="preserve">12.1.1 </w:t>
            </w:r>
            <w:r>
              <w:rPr>
                <w:sz w:val="24"/>
              </w:rPr>
              <w:t>所有员工每个周期首月</w:t>
            </w:r>
            <w:r>
              <w:rPr>
                <w:sz w:val="24"/>
              </w:rPr>
              <w:t>5</w:t>
            </w:r>
            <w:r>
              <w:rPr>
                <w:sz w:val="24"/>
              </w:rPr>
              <w:t>日前，制定本岗位《工作计划》并确认考核表；同时递交上个周期的《述职报告</w:t>
            </w:r>
            <w:r>
              <w:rPr>
                <w:sz w:val="24"/>
              </w:rPr>
              <w:t>/</w:t>
            </w:r>
            <w:r>
              <w:rPr>
                <w:sz w:val="24"/>
              </w:rPr>
              <w:t>考核表》，一起报直接上级；每年度末月</w:t>
            </w:r>
            <w:r>
              <w:rPr>
                <w:sz w:val="24"/>
              </w:rPr>
              <w:t>25</w:t>
            </w:r>
            <w:r>
              <w:rPr>
                <w:sz w:val="24"/>
              </w:rPr>
              <w:t>日前，根据部门年度规划和《岗位责任书》制定本岗位《年度工作计划书》以及年度考核表；</w:t>
            </w:r>
            <w:r>
              <w:rPr>
                <w:i/>
                <w:sz w:val="24"/>
              </w:rPr>
              <w:t>（说明：这里所指的考核表，是指在人力资源部</w:t>
            </w:r>
            <w:r>
              <w:rPr>
                <w:i/>
                <w:sz w:val="24"/>
              </w:rPr>
              <w:t>/ KPI</w:t>
            </w:r>
            <w:r>
              <w:rPr>
                <w:i/>
                <w:sz w:val="24"/>
              </w:rPr>
              <w:t>绩效考核管理机构统一拟定的前提下，由各部门及岗位员工确认的考核表）</w:t>
            </w:r>
          </w:p>
          <w:p>
            <w:pPr>
              <w:pStyle w:val="Normal"/>
              <w:spacing w:lineRule="exact" w:line="460"/>
              <w:rPr>
                <w:sz w:val="24"/>
              </w:rPr>
            </w:pPr>
            <w:r>
              <w:rPr>
                <w:sz w:val="24"/>
              </w:rPr>
              <w:t>12.1.2</w:t>
            </w:r>
            <w:r>
              <w:rPr>
                <w:sz w:val="24"/>
              </w:rPr>
              <w:t>直接上级对周期内主要工作任务、考核标准、权重、资源支持承诺、和参与评价者等项内容进行审批；</w:t>
            </w:r>
          </w:p>
          <w:p>
            <w:pPr>
              <w:pStyle w:val="Normal"/>
              <w:spacing w:lineRule="exact" w:line="460"/>
              <w:rPr>
                <w:sz w:val="24"/>
              </w:rPr>
            </w:pPr>
            <w:r>
              <w:rPr>
                <w:sz w:val="24"/>
              </w:rPr>
              <w:t>12.1.3</w:t>
            </w:r>
            <w:r>
              <w:rPr>
                <w:sz w:val="24"/>
              </w:rPr>
              <w:t>直接上级在进行季度或者年度绩效面谈时，反馈审批后的《工作计划</w:t>
            </w:r>
            <w:r>
              <w:rPr>
                <w:sz w:val="24"/>
              </w:rPr>
              <w:t>/</w:t>
            </w:r>
            <w:r>
              <w:rPr>
                <w:sz w:val="24"/>
              </w:rPr>
              <w:t>考核表》，双方并各备案一份。</w:t>
            </w:r>
          </w:p>
          <w:p>
            <w:pPr>
              <w:pStyle w:val="Normal"/>
              <w:spacing w:lineRule="exact" w:line="460"/>
              <w:rPr>
                <w:sz w:val="24"/>
              </w:rPr>
            </w:pPr>
            <w:r>
              <w:rPr>
                <w:sz w:val="24"/>
              </w:rPr>
            </w:r>
          </w:p>
          <w:p>
            <w:pPr>
              <w:pStyle w:val="Normal"/>
              <w:spacing w:lineRule="exact" w:line="460"/>
              <w:rPr>
                <w:b/>
                <w:b/>
                <w:sz w:val="24"/>
              </w:rPr>
            </w:pPr>
            <w:r>
              <w:rPr>
                <w:b/>
                <w:sz w:val="24"/>
              </w:rPr>
              <w:t>12.2</w:t>
            </w:r>
            <w:r>
              <w:rPr>
                <w:b/>
                <w:sz w:val="24"/>
              </w:rPr>
              <w:t>员工自评及述职报告</w:t>
            </w:r>
          </w:p>
          <w:p>
            <w:pPr>
              <w:pStyle w:val="Normal"/>
              <w:spacing w:lineRule="exact" w:line="460"/>
              <w:rPr>
                <w:sz w:val="24"/>
              </w:rPr>
            </w:pPr>
            <w:r>
              <w:rPr>
                <w:sz w:val="24"/>
              </w:rPr>
              <w:t>12.2.1</w:t>
            </w:r>
            <w:r>
              <w:rPr>
                <w:sz w:val="24"/>
              </w:rPr>
              <w:t>每个周期结束后，所有员工对照《岗位责任书》、《工作计划书》，先自我评价实际业绩完成情况、工作表现和能力等方面，将该周期内工作完成情况向直接上级、部门主管领导或</w:t>
            </w:r>
            <w:r>
              <w:rPr>
                <w:sz w:val="24"/>
              </w:rPr>
              <w:t>KPI</w:t>
            </w:r>
            <w:r>
              <w:rPr>
                <w:sz w:val="24"/>
              </w:rPr>
              <w:t>绩效考评小组成员进行述职并提交自评结果表以及书面述职报告；</w:t>
            </w:r>
          </w:p>
          <w:p>
            <w:pPr>
              <w:pStyle w:val="Normal"/>
              <w:spacing w:lineRule="exact" w:line="460"/>
              <w:rPr>
                <w:sz w:val="24"/>
              </w:rPr>
            </w:pPr>
            <w:r>
              <w:rPr>
                <w:sz w:val="24"/>
              </w:rPr>
              <w:t>12.2.2</w:t>
            </w:r>
            <w:r>
              <w:rPr>
                <w:sz w:val="24"/>
              </w:rPr>
              <w:t>各部门的述职工作要有计划，提前安排，保证质量；</w:t>
            </w:r>
          </w:p>
          <w:p>
            <w:pPr>
              <w:pStyle w:val="Normal"/>
              <w:spacing w:lineRule="exact" w:line="460"/>
              <w:rPr>
                <w:sz w:val="24"/>
              </w:rPr>
            </w:pPr>
            <w:r>
              <w:rPr>
                <w:sz w:val="24"/>
              </w:rPr>
            </w:r>
          </w:p>
          <w:p>
            <w:pPr>
              <w:pStyle w:val="Normal"/>
              <w:spacing w:lineRule="exact" w:line="460"/>
              <w:rPr>
                <w:b/>
                <w:b/>
                <w:sz w:val="24"/>
              </w:rPr>
            </w:pPr>
            <w:r>
              <w:rPr>
                <w:b/>
                <w:sz w:val="24"/>
              </w:rPr>
              <w:t>12.3</w:t>
            </w:r>
            <w:r>
              <w:rPr>
                <w:b/>
                <w:sz w:val="24"/>
              </w:rPr>
              <w:t>上级领导考核评估</w:t>
            </w:r>
          </w:p>
          <w:p>
            <w:pPr>
              <w:pStyle w:val="Normal"/>
              <w:spacing w:lineRule="exact" w:line="460"/>
              <w:rPr>
                <w:sz w:val="24"/>
              </w:rPr>
            </w:pPr>
            <w:r>
              <w:rPr>
                <w:sz w:val="24"/>
              </w:rPr>
              <w:t xml:space="preserve">12.3.1 </w:t>
            </w:r>
            <w:r>
              <w:rPr>
                <w:sz w:val="24"/>
              </w:rPr>
              <w:t>绩效考核的主要考核依据为被考核人的《岗位责任书》、《周期工作计划书》和该员工的实际业绩、工作表现和工作能力；</w:t>
            </w:r>
          </w:p>
          <w:p>
            <w:pPr>
              <w:pStyle w:val="Normal"/>
              <w:spacing w:lineRule="exact" w:line="460"/>
              <w:rPr>
                <w:sz w:val="24"/>
              </w:rPr>
            </w:pPr>
            <w:r>
              <w:rPr>
                <w:sz w:val="24"/>
              </w:rPr>
              <w:t>12.3.2</w:t>
            </w:r>
            <w:r>
              <w:rPr>
                <w:sz w:val="24"/>
              </w:rPr>
              <w:t>由直接上级、部门主管领导或</w:t>
            </w:r>
            <w:r>
              <w:rPr>
                <w:sz w:val="24"/>
              </w:rPr>
              <w:t>KPI</w:t>
            </w:r>
            <w:r>
              <w:rPr>
                <w:sz w:val="24"/>
              </w:rPr>
              <w:t>考评小组成员依据以上考核依据，按照《周期内</w:t>
            </w:r>
            <w:r>
              <w:rPr>
                <w:sz w:val="24"/>
              </w:rPr>
              <w:t>KPI</w:t>
            </w:r>
            <w:r>
              <w:rPr>
                <w:sz w:val="24"/>
              </w:rPr>
              <w:t>绩效考核表》进行评估、打分、评定；</w:t>
            </w:r>
          </w:p>
          <w:p>
            <w:pPr>
              <w:pStyle w:val="Normal"/>
              <w:spacing w:lineRule="exact" w:line="460"/>
              <w:rPr>
                <w:sz w:val="24"/>
              </w:rPr>
            </w:pPr>
            <w:r>
              <w:rPr>
                <w:sz w:val="24"/>
              </w:rPr>
              <w:t>12.3.3</w:t>
            </w:r>
            <w:r>
              <w:rPr>
                <w:sz w:val="24"/>
              </w:rPr>
              <w:t>各部门在保证《</w:t>
            </w:r>
            <w:r>
              <w:rPr>
                <w:sz w:val="24"/>
              </w:rPr>
              <w:t>KPI</w:t>
            </w:r>
            <w:r>
              <w:rPr>
                <w:sz w:val="24"/>
              </w:rPr>
              <w:t>绩效考核表》中基本考核项目及分值的情况下，可根据本部门考核的需要，经部门总经理审批和人力资源部备案后，增减考核项目；</w:t>
            </w:r>
          </w:p>
          <w:p>
            <w:pPr>
              <w:pStyle w:val="Normal"/>
              <w:spacing w:lineRule="exact" w:line="460"/>
              <w:rPr>
                <w:sz w:val="24"/>
              </w:rPr>
            </w:pPr>
            <w:r>
              <w:rPr>
                <w:sz w:val="24"/>
              </w:rPr>
              <w:t>12.3.4</w:t>
            </w:r>
            <w:r>
              <w:rPr>
                <w:sz w:val="24"/>
              </w:rPr>
              <w:t>直接上级在被考核人自评的基础上，对被考核人进行考核评分；</w:t>
            </w:r>
          </w:p>
          <w:p>
            <w:pPr>
              <w:pStyle w:val="Normal"/>
              <w:spacing w:lineRule="exact" w:line="460"/>
              <w:rPr>
                <w:sz w:val="24"/>
              </w:rPr>
            </w:pPr>
            <w:r>
              <w:rPr>
                <w:sz w:val="24"/>
              </w:rPr>
              <w:t>12.3.5</w:t>
            </w:r>
            <w:r>
              <w:rPr>
                <w:sz w:val="24"/>
              </w:rPr>
              <w:t>在业绩考核项目中，考核内容、标准严格按《岗位责任书》、《周期内工作计划书》、</w:t>
            </w:r>
            <w:r>
              <w:rPr>
                <w:sz w:val="24"/>
              </w:rPr>
              <w:t>KPI</w:t>
            </w:r>
            <w:r>
              <w:rPr>
                <w:sz w:val="24"/>
              </w:rPr>
              <w:t>指标要求执行；</w:t>
            </w:r>
          </w:p>
          <w:p>
            <w:pPr>
              <w:pStyle w:val="Normal"/>
              <w:spacing w:lineRule="exact" w:line="460"/>
              <w:rPr>
                <w:sz w:val="24"/>
              </w:rPr>
            </w:pPr>
            <w:r>
              <w:rPr>
                <w:sz w:val="24"/>
              </w:rPr>
              <w:t>12.3.6</w:t>
            </w:r>
            <w:r>
              <w:rPr>
                <w:sz w:val="24"/>
              </w:rPr>
              <w:t>部门各级人员的月度考核工作要求下一月</w:t>
            </w:r>
            <w:r>
              <w:rPr>
                <w:sz w:val="24"/>
              </w:rPr>
              <w:t>5</w:t>
            </w:r>
            <w:r>
              <w:rPr>
                <w:sz w:val="24"/>
              </w:rPr>
              <w:t>日前完成并汇总到部门经理处，并由部分经理提交人力资源部；季度考核工作要求于下一季度首月</w:t>
            </w:r>
            <w:r>
              <w:rPr>
                <w:sz w:val="24"/>
              </w:rPr>
              <w:t>10</w:t>
            </w:r>
            <w:r>
              <w:rPr>
                <w:sz w:val="24"/>
              </w:rPr>
              <w:t>日前完成，并汇总到部门经理处，并由部分经理提交人力资源部；年度考核评定要求于下一年度</w:t>
            </w:r>
            <w:r>
              <w:rPr>
                <w:sz w:val="24"/>
              </w:rPr>
              <w:t>1</w:t>
            </w:r>
            <w:r>
              <w:rPr>
                <w:sz w:val="24"/>
              </w:rPr>
              <w:t>月</w:t>
            </w:r>
            <w:r>
              <w:rPr>
                <w:sz w:val="24"/>
              </w:rPr>
              <w:t>30</w:t>
            </w:r>
            <w:r>
              <w:rPr>
                <w:sz w:val="24"/>
              </w:rPr>
              <w:t>日之前完成并汇总到</w:t>
            </w:r>
            <w:r>
              <w:rPr>
                <w:sz w:val="24"/>
              </w:rPr>
              <w:t>KPI</w:t>
            </w:r>
            <w:r>
              <w:rPr>
                <w:sz w:val="24"/>
              </w:rPr>
              <w:t>考评小组或人力资源部；</w:t>
            </w:r>
          </w:p>
          <w:p>
            <w:pPr>
              <w:pStyle w:val="Normal"/>
              <w:spacing w:lineRule="exact" w:line="460"/>
              <w:rPr>
                <w:sz w:val="24"/>
              </w:rPr>
            </w:pPr>
            <w:r>
              <w:rPr>
                <w:sz w:val="24"/>
              </w:rPr>
            </w:r>
          </w:p>
          <w:p>
            <w:pPr>
              <w:pStyle w:val="Normal"/>
              <w:spacing w:lineRule="exact" w:line="460"/>
              <w:rPr>
                <w:b/>
                <w:b/>
                <w:sz w:val="24"/>
              </w:rPr>
            </w:pPr>
            <w:r>
              <w:rPr>
                <w:b/>
                <w:sz w:val="24"/>
              </w:rPr>
              <w:t>12.4</w:t>
            </w:r>
            <w:r>
              <w:rPr>
                <w:b/>
                <w:sz w:val="24"/>
              </w:rPr>
              <w:t>绩效面谈</w:t>
            </w:r>
          </w:p>
          <w:p>
            <w:pPr>
              <w:pStyle w:val="Normal"/>
              <w:spacing w:lineRule="exact" w:line="460"/>
              <w:rPr>
                <w:sz w:val="24"/>
              </w:rPr>
            </w:pPr>
            <w:r>
              <w:rPr>
                <w:sz w:val="24"/>
              </w:rPr>
              <w:t>12.4.1</w:t>
            </w:r>
            <w:r>
              <w:rPr>
                <w:sz w:val="24"/>
              </w:rPr>
              <w:t>直接上级领导须在考核过程的有效时间内组织与每一位被考核员工进行绩效面谈，有虚线领导的要综合虚线领导的意见；</w:t>
            </w:r>
          </w:p>
          <w:p>
            <w:pPr>
              <w:pStyle w:val="Normal"/>
              <w:spacing w:lineRule="exact" w:line="460"/>
              <w:rPr>
                <w:sz w:val="24"/>
              </w:rPr>
            </w:pPr>
            <w:r>
              <w:rPr>
                <w:sz w:val="24"/>
              </w:rPr>
              <w:t>12.4.2</w:t>
            </w:r>
            <w:r>
              <w:rPr>
                <w:sz w:val="24"/>
              </w:rPr>
              <w:t>绩效面谈要对照《岗位责任书》、《工作计划书》和《</w:t>
            </w:r>
            <w:r>
              <w:rPr>
                <w:sz w:val="24"/>
              </w:rPr>
              <w:t>KPI</w:t>
            </w:r>
            <w:r>
              <w:rPr>
                <w:sz w:val="24"/>
              </w:rPr>
              <w:t>绩效考核表》进行，主要为肯定成绩，指出不足、提出改进意见，帮助员工制定改进措施并反馈下一周期的《工作计划书》和《</w:t>
            </w:r>
            <w:r>
              <w:rPr>
                <w:sz w:val="24"/>
              </w:rPr>
              <w:t>KPI</w:t>
            </w:r>
            <w:r>
              <w:rPr>
                <w:sz w:val="24"/>
              </w:rPr>
              <w:t>绩效考核表》等；</w:t>
            </w:r>
          </w:p>
          <w:p>
            <w:pPr>
              <w:pStyle w:val="Normal"/>
              <w:spacing w:lineRule="exact" w:line="460"/>
              <w:rPr>
                <w:sz w:val="24"/>
              </w:rPr>
            </w:pPr>
            <w:r>
              <w:rPr>
                <w:sz w:val="24"/>
              </w:rPr>
              <w:t>12.4.3</w:t>
            </w:r>
            <w:r>
              <w:rPr>
                <w:sz w:val="24"/>
              </w:rPr>
              <w:t>对考核结果为等级</w:t>
            </w:r>
            <w:r>
              <w:rPr>
                <w:sz w:val="24"/>
              </w:rPr>
              <w:t>D</w:t>
            </w:r>
            <w:r>
              <w:rPr>
                <w:sz w:val="24"/>
              </w:rPr>
              <w:t>以下（包括</w:t>
            </w:r>
            <w:r>
              <w:rPr>
                <w:sz w:val="24"/>
              </w:rPr>
              <w:t>D</w:t>
            </w:r>
            <w:r>
              <w:rPr>
                <w:sz w:val="24"/>
              </w:rPr>
              <w:t>）的员工，必须在绩效面谈时如实通知其考核结果、说明原因及处理意见，对上述内容必须保留书面记录，并由员工本人签字确认；</w:t>
            </w:r>
          </w:p>
          <w:p>
            <w:pPr>
              <w:pStyle w:val="Normal"/>
              <w:spacing w:lineRule="exact" w:line="460"/>
              <w:rPr>
                <w:sz w:val="24"/>
              </w:rPr>
            </w:pPr>
            <w:r>
              <w:rPr>
                <w:sz w:val="24"/>
              </w:rPr>
              <w:t xml:space="preserve">12.4.4 </w:t>
            </w:r>
            <w:r>
              <w:rPr>
                <w:sz w:val="24"/>
              </w:rPr>
              <w:t>人力资源部对绩效面谈的执行情况不定期进行抽样检查，对没有按规定执行绩效面谈的部门或人员，视情况给予通报批评和考核成绩降级的处理；</w:t>
            </w:r>
          </w:p>
          <w:p>
            <w:pPr>
              <w:pStyle w:val="Normal"/>
              <w:spacing w:lineRule="exact" w:line="460"/>
              <w:rPr>
                <w:sz w:val="24"/>
              </w:rPr>
            </w:pPr>
            <w:r>
              <w:rPr>
                <w:sz w:val="24"/>
              </w:rPr>
            </w:r>
          </w:p>
          <w:p>
            <w:pPr>
              <w:pStyle w:val="Normal"/>
              <w:spacing w:lineRule="exact" w:line="460"/>
              <w:rPr>
                <w:b/>
                <w:b/>
                <w:sz w:val="24"/>
              </w:rPr>
            </w:pPr>
            <w:r>
              <w:rPr>
                <w:b/>
                <w:sz w:val="24"/>
              </w:rPr>
              <w:t>12.5</w:t>
            </w:r>
            <w:r>
              <w:rPr>
                <w:b/>
                <w:sz w:val="24"/>
              </w:rPr>
              <w:t>审核、调整与申诉</w:t>
            </w:r>
          </w:p>
          <w:p>
            <w:pPr>
              <w:pStyle w:val="Normal"/>
              <w:spacing w:lineRule="exact" w:line="460"/>
              <w:rPr>
                <w:sz w:val="24"/>
              </w:rPr>
            </w:pPr>
            <w:r>
              <w:rPr>
                <w:sz w:val="24"/>
              </w:rPr>
              <w:t>12.5.1</w:t>
            </w:r>
            <w:r>
              <w:rPr>
                <w:sz w:val="24"/>
              </w:rPr>
              <w:t>部门经理或</w:t>
            </w:r>
            <w:r>
              <w:rPr>
                <w:sz w:val="24"/>
              </w:rPr>
              <w:t>KPI</w:t>
            </w:r>
            <w:r>
              <w:rPr>
                <w:sz w:val="24"/>
              </w:rPr>
              <w:t>考评小组成员要根据部门整体工作、各部门职责及工作完成情况，以及对所属员工的了解情况，对部门内所属员工考核等级进行季度或年度审核，适当调整员工绩效考核等级；</w:t>
            </w:r>
          </w:p>
          <w:p>
            <w:pPr>
              <w:pStyle w:val="Normal"/>
              <w:spacing w:lineRule="exact" w:line="460"/>
              <w:rPr>
                <w:sz w:val="24"/>
              </w:rPr>
            </w:pPr>
            <w:r>
              <w:rPr>
                <w:sz w:val="24"/>
              </w:rPr>
              <w:t>12.5.2</w:t>
            </w:r>
            <w:r>
              <w:rPr>
                <w:sz w:val="24"/>
              </w:rPr>
              <w:t>审核调整应尊重直接上级的考核结果；考核等级调整要在与被考核人直接领导充分交流后进行；</w:t>
            </w:r>
          </w:p>
          <w:p>
            <w:pPr>
              <w:pStyle w:val="Normal"/>
              <w:spacing w:lineRule="exact" w:line="460"/>
              <w:rPr>
                <w:sz w:val="24"/>
              </w:rPr>
            </w:pPr>
            <w:r>
              <w:rPr>
                <w:sz w:val="24"/>
              </w:rPr>
              <w:t>12.5.3</w:t>
            </w:r>
            <w:r>
              <w:rPr>
                <w:sz w:val="24"/>
              </w:rPr>
              <w:t>部门整体考核结果要求符合整体公司考核的比例分配要求；</w:t>
            </w:r>
          </w:p>
          <w:p>
            <w:pPr>
              <w:pStyle w:val="Normal"/>
              <w:spacing w:lineRule="exact" w:line="460"/>
              <w:rPr>
                <w:sz w:val="24"/>
              </w:rPr>
            </w:pPr>
            <w:r>
              <w:rPr>
                <w:sz w:val="24"/>
              </w:rPr>
              <w:t>12.5.5</w:t>
            </w:r>
            <w:r>
              <w:rPr>
                <w:sz w:val="24"/>
              </w:rPr>
              <w:t>对绩效考核中被评为等级</w:t>
            </w:r>
            <w:r>
              <w:rPr>
                <w:sz w:val="24"/>
              </w:rPr>
              <w:t>A</w:t>
            </w:r>
            <w:r>
              <w:rPr>
                <w:sz w:val="24"/>
              </w:rPr>
              <w:t>的员工，部门必须有详细的书面说明，经该部门经理审核后，统一送人力资源部或者</w:t>
            </w:r>
            <w:r>
              <w:rPr>
                <w:sz w:val="24"/>
              </w:rPr>
              <w:t>KPI</w:t>
            </w:r>
            <w:r>
              <w:rPr>
                <w:sz w:val="24"/>
              </w:rPr>
              <w:t>绩效管理机构审批；</w:t>
            </w:r>
          </w:p>
          <w:p>
            <w:pPr>
              <w:pStyle w:val="Normal"/>
              <w:spacing w:lineRule="exact" w:line="460"/>
              <w:rPr>
                <w:sz w:val="24"/>
              </w:rPr>
            </w:pPr>
            <w:r>
              <w:rPr>
                <w:b/>
                <w:sz w:val="24"/>
              </w:rPr>
              <w:t>12.5.6</w:t>
            </w:r>
            <w:r>
              <w:rPr>
                <w:b/>
                <w:sz w:val="24"/>
              </w:rPr>
              <w:t>申诉：</w:t>
            </w:r>
            <w:r>
              <w:rPr>
                <w:sz w:val="24"/>
              </w:rPr>
              <w:t>被考评人如对考核工作或者考核结果有重大疑义，可以向部门经理或人力资源部、</w:t>
            </w:r>
            <w:r>
              <w:rPr>
                <w:sz w:val="24"/>
              </w:rPr>
              <w:t>KPI</w:t>
            </w:r>
            <w:r>
              <w:rPr>
                <w:sz w:val="24"/>
              </w:rPr>
              <w:t>绩效管理机构提出申诉。</w:t>
            </w:r>
          </w:p>
          <w:p>
            <w:pPr>
              <w:pStyle w:val="Normal"/>
              <w:spacing w:lineRule="exact" w:line="460"/>
              <w:rPr>
                <w:sz w:val="24"/>
              </w:rPr>
            </w:pPr>
            <w:r>
              <w:rPr>
                <w:sz w:val="24"/>
              </w:rPr>
            </w:r>
          </w:p>
          <w:p>
            <w:pPr>
              <w:pStyle w:val="Normal"/>
              <w:spacing w:lineRule="exact" w:line="460"/>
              <w:rPr>
                <w:b/>
                <w:b/>
                <w:sz w:val="24"/>
              </w:rPr>
            </w:pPr>
            <w:r>
              <w:rPr>
                <w:b/>
                <w:sz w:val="24"/>
              </w:rPr>
              <w:t>12.6</w:t>
            </w:r>
            <w:r>
              <w:rPr>
                <w:b/>
                <w:sz w:val="24"/>
              </w:rPr>
              <w:t>考核结果汇总及数据收集整理</w:t>
            </w:r>
          </w:p>
          <w:p>
            <w:pPr>
              <w:pStyle w:val="Normal"/>
              <w:spacing w:lineRule="exact" w:line="460"/>
              <w:rPr>
                <w:sz w:val="24"/>
              </w:rPr>
            </w:pPr>
            <w:r>
              <w:rPr>
                <w:sz w:val="24"/>
              </w:rPr>
              <w:t>12.6.1</w:t>
            </w:r>
            <w:r>
              <w:rPr>
                <w:sz w:val="24"/>
              </w:rPr>
              <w:t>各部门对上一周期的绩效考核结果须于下一周期规定日期前汇总到人力资源部或者</w:t>
            </w:r>
            <w:r>
              <w:rPr>
                <w:sz w:val="24"/>
              </w:rPr>
              <w:t>KPI</w:t>
            </w:r>
            <w:r>
              <w:rPr>
                <w:sz w:val="24"/>
              </w:rPr>
              <w:t>绩效管理机构。</w:t>
            </w:r>
          </w:p>
          <w:p>
            <w:pPr>
              <w:pStyle w:val="Normal"/>
              <w:spacing w:lineRule="exact" w:line="460"/>
              <w:rPr>
                <w:sz w:val="24"/>
              </w:rPr>
            </w:pPr>
            <w:r>
              <w:rPr>
                <w:sz w:val="24"/>
              </w:rPr>
              <w:t>12.6.2 KPI</w:t>
            </w:r>
            <w:r>
              <w:rPr>
                <w:sz w:val="24"/>
              </w:rPr>
              <w:t>数据的收集者为</w:t>
            </w:r>
            <w:r>
              <w:rPr>
                <w:sz w:val="24"/>
              </w:rPr>
              <w:t>KPI</w:t>
            </w:r>
            <w:r>
              <w:rPr>
                <w:sz w:val="24"/>
              </w:rPr>
              <w:t>管理团队，具体负责部门为绩效管理委员会执行机构以及所指定的部门，各指标收集频率根据《各部门</w:t>
            </w:r>
            <w:r>
              <w:rPr>
                <w:sz w:val="24"/>
              </w:rPr>
              <w:t>KPI</w:t>
            </w:r>
            <w:r>
              <w:rPr>
                <w:sz w:val="24"/>
              </w:rPr>
              <w:t>管理表》而定。</w:t>
            </w:r>
          </w:p>
          <w:p>
            <w:pPr>
              <w:pStyle w:val="Normal"/>
              <w:spacing w:lineRule="exact" w:line="460"/>
              <w:rPr>
                <w:sz w:val="24"/>
              </w:rPr>
            </w:pPr>
            <w:r>
              <w:rPr>
                <w:sz w:val="24"/>
              </w:rPr>
              <w:t>12.6.3</w:t>
            </w:r>
            <w:r>
              <w:rPr>
                <w:sz w:val="24"/>
              </w:rPr>
              <w:t>公司每季度、每半年应编写《企业关键绩效指标分析报告》。</w:t>
            </w:r>
          </w:p>
          <w:p>
            <w:pPr>
              <w:pStyle w:val="Normal"/>
              <w:spacing w:lineRule="exact" w:line="460"/>
              <w:rPr>
                <w:sz w:val="24"/>
              </w:rPr>
            </w:pPr>
            <w:r>
              <w:rPr>
                <w:sz w:val="24"/>
              </w:rPr>
              <w:t>12.6.4 KPI</w:t>
            </w:r>
            <w:r>
              <w:rPr>
                <w:sz w:val="24"/>
              </w:rPr>
              <w:t>数据库，每月归纳、统计并汇总。</w:t>
            </w:r>
          </w:p>
          <w:p>
            <w:pPr>
              <w:pStyle w:val="Normal"/>
              <w:spacing w:lineRule="exact" w:line="460"/>
              <w:rPr>
                <w:sz w:val="24"/>
              </w:rPr>
            </w:pPr>
            <w:r>
              <w:rPr>
                <w:sz w:val="24"/>
              </w:rPr>
              <w:t>12.6.5</w:t>
            </w:r>
            <w:r>
              <w:rPr>
                <w:sz w:val="24"/>
              </w:rPr>
              <w:t>各部门每月（或每季度、每年度）应编写《</w:t>
            </w:r>
            <w:r>
              <w:rPr>
                <w:sz w:val="24"/>
              </w:rPr>
              <w:t>KPI</w:t>
            </w:r>
            <w:r>
              <w:rPr>
                <w:sz w:val="24"/>
              </w:rPr>
              <w:t>系统运行记录》</w:t>
            </w:r>
          </w:p>
          <w:p>
            <w:pPr>
              <w:pStyle w:val="Normal"/>
              <w:spacing w:lineRule="exact" w:line="460"/>
              <w:rPr>
                <w:sz w:val="24"/>
              </w:rPr>
            </w:pPr>
            <w:r>
              <w:rPr>
                <w:sz w:val="24"/>
              </w:rPr>
            </w:r>
          </w:p>
          <w:p>
            <w:pPr>
              <w:pStyle w:val="Normal"/>
              <w:spacing w:lineRule="exact" w:line="460"/>
              <w:rPr>
                <w:b/>
                <w:b/>
                <w:sz w:val="24"/>
              </w:rPr>
            </w:pPr>
            <w:r>
              <w:rPr>
                <w:b/>
                <w:sz w:val="24"/>
              </w:rPr>
              <w:t xml:space="preserve">12.7 </w:t>
            </w:r>
            <w:r>
              <w:rPr>
                <w:b/>
                <w:sz w:val="24"/>
              </w:rPr>
              <w:t>考核结果应用</w:t>
            </w:r>
          </w:p>
          <w:p>
            <w:pPr>
              <w:pStyle w:val="Normal"/>
              <w:spacing w:lineRule="exact" w:line="460"/>
              <w:ind w:firstLine="480"/>
              <w:rPr>
                <w:sz w:val="24"/>
              </w:rPr>
            </w:pPr>
            <w:r>
              <w:rPr>
                <w:sz w:val="24"/>
              </w:rPr>
              <w:t>详见十三、考核结果应用</w:t>
            </w:r>
          </w:p>
        </w:tc>
      </w:tr>
      <w:tr>
        <w:trPr>
          <w:trHeight w:val="1498"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rPr>
                <w:lang w:val="en-US" w:eastAsia="en-US"/>
              </w:rPr>
            </w:pPr>
            <w:bookmarkStart w:id="12" w:name="__RefHeading___Toc404009633"/>
            <w:bookmarkEnd w:id="12"/>
            <w:r>
              <w:rPr>
                <w:lang w:val="en-US" w:eastAsia="en-US"/>
              </w:rPr>
              <w:t>十三、考核结果应用</w:t>
            </w:r>
          </w:p>
        </w:tc>
        <w:tc>
          <w:tcPr>
            <w:tcW w:w="7822" w:type="dxa"/>
            <w:tcBorders>
              <w:top w:val="single" w:sz="4" w:space="0" w:color="000000"/>
              <w:start w:val="single" w:sz="4" w:space="0" w:color="000000"/>
              <w:bottom w:val="single" w:sz="4" w:space="0" w:color="000000"/>
              <w:end w:val="single" w:sz="12" w:space="0" w:color="000000"/>
            </w:tcBorders>
          </w:tcPr>
          <w:p>
            <w:pPr>
              <w:pStyle w:val="Normal"/>
              <w:spacing w:lineRule="exact" w:line="460"/>
              <w:ind w:firstLine="480"/>
              <w:rPr>
                <w:sz w:val="24"/>
              </w:rPr>
            </w:pPr>
            <w:r>
              <w:rPr>
                <w:sz w:val="24"/>
              </w:rPr>
              <w:t>人力资源部为每位员工建立考核档案，</w:t>
            </w:r>
            <w:r>
              <w:rPr>
                <w:sz w:val="24"/>
              </w:rPr>
              <w:t>KPI</w:t>
            </w:r>
            <w:r>
              <w:rPr>
                <w:sz w:val="24"/>
              </w:rPr>
              <w:t>绩效考核结果将作为</w:t>
            </w:r>
            <w:r>
              <w:rPr>
                <w:b/>
                <w:sz w:val="24"/>
              </w:rPr>
              <w:t>薪酬分配、评先评优、薪酬等级调整、职务升降、岗位调整、员工福利、考核辞退</w:t>
            </w:r>
            <w:r>
              <w:rPr>
                <w:sz w:val="24"/>
              </w:rPr>
              <w:t>等的重要依据。详细内容见《绩效管理制度》或者企业内部相应的《评先评优制度》。以下以薪酬分配和考核辞退为例进行说明：</w:t>
            </w:r>
          </w:p>
          <w:p>
            <w:pPr>
              <w:pStyle w:val="Normal"/>
              <w:spacing w:lineRule="exact" w:line="460"/>
              <w:rPr>
                <w:b/>
                <w:b/>
                <w:sz w:val="24"/>
              </w:rPr>
            </w:pPr>
            <w:r>
              <w:rPr>
                <w:rFonts w:eastAsia="Times New Roman"/>
                <w:sz w:val="24"/>
              </w:rPr>
              <w:t xml:space="preserve">  </w:t>
            </w:r>
            <w:r>
              <w:rPr>
                <w:rFonts w:eastAsia="Times New Roman"/>
                <w:b/>
                <w:sz w:val="24"/>
              </w:rPr>
              <w:t xml:space="preserve"> </w:t>
            </w:r>
            <w:r>
              <w:rPr>
                <w:b/>
                <w:sz w:val="24"/>
              </w:rPr>
              <w:t xml:space="preserve">13.1 </w:t>
            </w:r>
            <w:r>
              <w:rPr>
                <w:b/>
                <w:sz w:val="24"/>
              </w:rPr>
              <w:t>示例</w:t>
            </w:r>
            <w:r>
              <w:rPr>
                <w:b/>
                <w:sz w:val="24"/>
              </w:rPr>
              <w:t>1</w:t>
            </w:r>
            <w:r>
              <w:rPr>
                <w:b/>
                <w:sz w:val="24"/>
              </w:rPr>
              <w:t>：薪酬分配</w:t>
            </w:r>
          </w:p>
          <w:p>
            <w:pPr>
              <w:pStyle w:val="Style16"/>
              <w:numPr>
                <w:ilvl w:val="0"/>
                <w:numId w:val="2"/>
              </w:numPr>
              <w:spacing w:lineRule="exact" w:line="460"/>
              <w:rPr>
                <w:sz w:val="24"/>
              </w:rPr>
            </w:pPr>
            <w:r>
              <w:rPr>
                <w:sz w:val="24"/>
              </w:rPr>
              <w:t>职等工资制：按职等确定月度工资水平，具体参照公司岗位划分等级以及相应的工资制度；按每月考核结果分配绩效工资；各职等的升降以考核为依据</w:t>
            </w:r>
          </w:p>
          <w:p>
            <w:pPr>
              <w:pStyle w:val="Style16"/>
              <w:numPr>
                <w:ilvl w:val="0"/>
                <w:numId w:val="2"/>
              </w:numPr>
              <w:spacing w:lineRule="exact" w:line="460"/>
              <w:rPr>
                <w:sz w:val="24"/>
              </w:rPr>
            </w:pPr>
            <w:r>
              <w:rPr>
                <w:sz w:val="24"/>
              </w:rPr>
              <w:t>年终奖金：员工年终奖金以考核为依据</w:t>
            </w:r>
          </w:p>
          <w:p>
            <w:pPr>
              <w:pStyle w:val="Normal"/>
              <w:spacing w:lineRule="exact" w:line="460"/>
              <w:ind w:firstLine="465"/>
              <w:rPr>
                <w:sz w:val="24"/>
              </w:rPr>
            </w:pPr>
            <w:r>
              <w:rPr>
                <w:sz w:val="24"/>
              </w:rPr>
              <w:t>注：员工年收入</w:t>
            </w:r>
            <w:r>
              <w:rPr>
                <w:sz w:val="24"/>
              </w:rPr>
              <w:t>=</w:t>
            </w:r>
            <w:r>
              <w:rPr>
                <w:sz w:val="24"/>
              </w:rPr>
              <w:t>职等工资</w:t>
            </w:r>
            <w:r>
              <w:rPr>
                <w:sz w:val="24"/>
              </w:rPr>
              <w:t>*12</w:t>
            </w:r>
            <w:r>
              <w:rPr>
                <w:sz w:val="24"/>
              </w:rPr>
              <w:t>月</w:t>
            </w:r>
            <w:r>
              <w:rPr>
                <w:sz w:val="24"/>
              </w:rPr>
              <w:t>+12 *</w:t>
            </w:r>
            <w:r>
              <w:rPr>
                <w:sz w:val="24"/>
              </w:rPr>
              <w:t>每月绩效工资</w:t>
            </w:r>
            <w:r>
              <w:rPr>
                <w:sz w:val="24"/>
              </w:rPr>
              <w:t>+</w:t>
            </w:r>
            <w:r>
              <w:rPr>
                <w:sz w:val="24"/>
              </w:rPr>
              <w:t>年终奖金</w:t>
            </w:r>
          </w:p>
          <w:p>
            <w:pPr>
              <w:pStyle w:val="Style16"/>
              <w:numPr>
                <w:ilvl w:val="0"/>
                <w:numId w:val="4"/>
              </w:numPr>
              <w:spacing w:lineRule="exact" w:line="460"/>
              <w:rPr>
                <w:sz w:val="24"/>
              </w:rPr>
            </w:pPr>
            <w:r>
              <w:rPr>
                <w:sz w:val="24"/>
              </w:rPr>
              <w:t>具体薪酬分配机制：绩效考核与工资挂钩方案之一——根据排名结果确定绩效工资权数</w:t>
            </w:r>
          </w:p>
          <w:p>
            <w:pPr>
              <w:pStyle w:val="Normal"/>
              <w:spacing w:lineRule="exact" w:line="460"/>
              <w:rPr>
                <w:sz w:val="24"/>
              </w:rPr>
            </w:pPr>
            <w:r>
              <w:rPr>
                <w:sz w:val="24"/>
              </w:rPr>
              <w:t>1</w:t>
            </w:r>
            <w:r>
              <w:rPr>
                <w:sz w:val="24"/>
              </w:rPr>
              <w:t>、对各层级进行排名</w:t>
            </w:r>
          </w:p>
          <w:p>
            <w:pPr>
              <w:pStyle w:val="Normal"/>
              <w:spacing w:lineRule="exact" w:line="460"/>
              <w:rPr>
                <w:sz w:val="24"/>
              </w:rPr>
            </w:pPr>
            <w:r>
              <w:rPr>
                <w:sz w:val="24"/>
              </w:rPr>
              <w:t>2</w:t>
            </w:r>
            <w:r>
              <w:rPr>
                <w:sz w:val="24"/>
              </w:rPr>
              <w:t>、根据排名结果确定</w:t>
            </w:r>
            <w:r>
              <w:rPr>
                <w:sz w:val="24"/>
              </w:rPr>
              <w:t>A</w:t>
            </w:r>
            <w:r>
              <w:rPr>
                <w:sz w:val="24"/>
              </w:rPr>
              <w:t>、</w:t>
            </w:r>
            <w:r>
              <w:rPr>
                <w:sz w:val="24"/>
              </w:rPr>
              <w:t>B</w:t>
            </w:r>
            <w:r>
              <w:rPr>
                <w:sz w:val="24"/>
              </w:rPr>
              <w:t>、</w:t>
            </w:r>
            <w:r>
              <w:rPr>
                <w:sz w:val="24"/>
              </w:rPr>
              <w:t>C</w:t>
            </w:r>
            <w:r>
              <w:rPr>
                <w:sz w:val="24"/>
              </w:rPr>
              <w:t>、</w:t>
            </w:r>
            <w:r>
              <w:rPr>
                <w:sz w:val="24"/>
              </w:rPr>
              <w:t>D</w:t>
            </w:r>
            <w:r>
              <w:rPr>
                <w:sz w:val="24"/>
              </w:rPr>
              <w:t>、</w:t>
            </w:r>
            <w:r>
              <w:rPr>
                <w:sz w:val="24"/>
              </w:rPr>
              <w:t>E</w:t>
            </w:r>
            <w:r>
              <w:rPr>
                <w:sz w:val="24"/>
              </w:rPr>
              <w:t>级。</w:t>
            </w:r>
            <w:r>
              <w:rPr>
                <w:sz w:val="24"/>
              </w:rPr>
              <w:t>A</w:t>
            </w:r>
            <w:r>
              <w:rPr>
                <w:sz w:val="24"/>
              </w:rPr>
              <w:t>级点总人数的</w:t>
            </w:r>
            <w:r>
              <w:rPr>
                <w:sz w:val="24"/>
              </w:rPr>
              <w:t>10%</w:t>
            </w:r>
            <w:r>
              <w:rPr>
                <w:sz w:val="24"/>
              </w:rPr>
              <w:t>；</w:t>
            </w:r>
            <w:r>
              <w:rPr>
                <w:sz w:val="24"/>
              </w:rPr>
              <w:t>B</w:t>
            </w:r>
            <w:r>
              <w:rPr>
                <w:sz w:val="24"/>
              </w:rPr>
              <w:t>级点总人数的</w:t>
            </w:r>
            <w:r>
              <w:rPr>
                <w:sz w:val="24"/>
              </w:rPr>
              <w:t>20%</w:t>
            </w:r>
            <w:r>
              <w:rPr>
                <w:sz w:val="24"/>
              </w:rPr>
              <w:t>；</w:t>
            </w:r>
            <w:r>
              <w:rPr>
                <w:sz w:val="24"/>
              </w:rPr>
              <w:t>C</w:t>
            </w:r>
            <w:r>
              <w:rPr>
                <w:sz w:val="24"/>
              </w:rPr>
              <w:t>级点总人数的</w:t>
            </w:r>
            <w:r>
              <w:rPr>
                <w:sz w:val="24"/>
              </w:rPr>
              <w:t>40%</w:t>
            </w:r>
            <w:r>
              <w:rPr>
                <w:sz w:val="24"/>
              </w:rPr>
              <w:t>；</w:t>
            </w:r>
            <w:r>
              <w:rPr>
                <w:rFonts w:eastAsia="Times New Roman"/>
                <w:sz w:val="24"/>
              </w:rPr>
              <w:t xml:space="preserve"> </w:t>
            </w:r>
            <w:r>
              <w:rPr>
                <w:sz w:val="24"/>
              </w:rPr>
              <w:t>D</w:t>
            </w:r>
            <w:r>
              <w:rPr>
                <w:sz w:val="24"/>
              </w:rPr>
              <w:t>级点总人数的</w:t>
            </w:r>
            <w:r>
              <w:rPr>
                <w:sz w:val="24"/>
              </w:rPr>
              <w:t>20%</w:t>
            </w:r>
            <w:r>
              <w:rPr>
                <w:sz w:val="24"/>
              </w:rPr>
              <w:t>；</w:t>
            </w:r>
            <w:r>
              <w:rPr>
                <w:sz w:val="24"/>
              </w:rPr>
              <w:t>E</w:t>
            </w:r>
            <w:r>
              <w:rPr>
                <w:sz w:val="24"/>
              </w:rPr>
              <w:t>级点总人数的</w:t>
            </w:r>
            <w:r>
              <w:rPr>
                <w:sz w:val="24"/>
              </w:rPr>
              <w:t>10%</w:t>
            </w:r>
            <w:r>
              <w:rPr>
                <w:sz w:val="24"/>
              </w:rPr>
              <w:t>。</w:t>
            </w:r>
          </w:p>
          <w:p>
            <w:pPr>
              <w:pStyle w:val="Normal"/>
              <w:spacing w:lineRule="exact" w:line="460"/>
              <w:rPr>
                <w:sz w:val="24"/>
              </w:rPr>
            </w:pPr>
            <w:r>
              <w:rPr>
                <w:sz w:val="24"/>
              </w:rPr>
              <w:t>3</w:t>
            </w:r>
            <w:r>
              <w:rPr>
                <w:sz w:val="24"/>
              </w:rPr>
              <w:t>、</w:t>
            </w:r>
            <w:r>
              <w:rPr>
                <w:sz w:val="24"/>
              </w:rPr>
              <w:t>A</w:t>
            </w:r>
            <w:r>
              <w:rPr>
                <w:sz w:val="24"/>
              </w:rPr>
              <w:t>级的绩效工资权数为</w:t>
            </w:r>
            <w:r>
              <w:rPr>
                <w:sz w:val="24"/>
              </w:rPr>
              <w:t>1.5</w:t>
            </w:r>
            <w:r>
              <w:rPr>
                <w:sz w:val="24"/>
              </w:rPr>
              <w:t>；</w:t>
            </w:r>
            <w:r>
              <w:rPr>
                <w:rFonts w:eastAsia="Times New Roman"/>
                <w:sz w:val="24"/>
              </w:rPr>
              <w:t xml:space="preserve"> </w:t>
            </w:r>
            <w:r>
              <w:rPr>
                <w:sz w:val="24"/>
              </w:rPr>
              <w:t>B</w:t>
            </w:r>
            <w:r>
              <w:rPr>
                <w:sz w:val="24"/>
              </w:rPr>
              <w:t>级的绩效工资权数为</w:t>
            </w:r>
            <w:r>
              <w:rPr>
                <w:sz w:val="24"/>
              </w:rPr>
              <w:t>1.2</w:t>
            </w:r>
            <w:r>
              <w:rPr>
                <w:sz w:val="24"/>
              </w:rPr>
              <w:t>；</w:t>
            </w:r>
            <w:r>
              <w:rPr>
                <w:sz w:val="24"/>
              </w:rPr>
              <w:t>C</w:t>
            </w:r>
            <w:r>
              <w:rPr>
                <w:sz w:val="24"/>
              </w:rPr>
              <w:t>级的绩效工资权数为</w:t>
            </w:r>
            <w:r>
              <w:rPr>
                <w:sz w:val="24"/>
              </w:rPr>
              <w:t>1.0</w:t>
            </w:r>
            <w:r>
              <w:rPr>
                <w:sz w:val="24"/>
              </w:rPr>
              <w:t>；</w:t>
            </w:r>
            <w:r>
              <w:rPr>
                <w:sz w:val="24"/>
              </w:rPr>
              <w:t>D</w:t>
            </w:r>
            <w:r>
              <w:rPr>
                <w:sz w:val="24"/>
              </w:rPr>
              <w:t>级的绩效工资权数为</w:t>
            </w:r>
            <w:r>
              <w:rPr>
                <w:sz w:val="24"/>
              </w:rPr>
              <w:t>0.8</w:t>
            </w:r>
            <w:r>
              <w:rPr>
                <w:sz w:val="24"/>
              </w:rPr>
              <w:t>；</w:t>
            </w:r>
            <w:r>
              <w:rPr>
                <w:sz w:val="24"/>
              </w:rPr>
              <w:t>E</w:t>
            </w:r>
            <w:r>
              <w:rPr>
                <w:sz w:val="24"/>
              </w:rPr>
              <w:t>级的绩效工资权数为</w:t>
            </w:r>
            <w:r>
              <w:rPr>
                <w:sz w:val="24"/>
              </w:rPr>
              <w:t>0.6</w:t>
            </w:r>
          </w:p>
          <w:p>
            <w:pPr>
              <w:pStyle w:val="Normal"/>
              <w:spacing w:lineRule="exact" w:line="460"/>
              <w:rPr>
                <w:sz w:val="24"/>
              </w:rPr>
            </w:pPr>
            <w:r>
              <w:rPr>
                <w:sz w:val="24"/>
              </w:rPr>
              <w:t>4</w:t>
            </w:r>
            <w:r>
              <w:rPr>
                <w:sz w:val="24"/>
              </w:rPr>
              <w:t>、根据权数计算个人绩效工资</w:t>
            </w:r>
          </w:p>
          <w:p>
            <w:pPr>
              <w:pStyle w:val="Normal"/>
              <w:spacing w:lineRule="exact" w:line="460"/>
              <w:ind w:firstLine="360"/>
              <w:rPr>
                <w:sz w:val="24"/>
              </w:rPr>
            </w:pPr>
            <w:r>
              <w:rPr>
                <w:sz w:val="24"/>
              </w:rPr>
              <w:t>总绩效工资</w:t>
            </w:r>
            <w:r>
              <w:rPr>
                <w:sz w:val="24"/>
              </w:rPr>
              <w:t>*</w:t>
            </w:r>
            <w:r>
              <w:rPr>
                <w:sz w:val="24"/>
              </w:rPr>
              <w:t>个人权数</w:t>
            </w:r>
            <w:r>
              <w:rPr>
                <w:sz w:val="24"/>
              </w:rPr>
              <w:t>/</w:t>
            </w:r>
            <w:r>
              <w:rPr>
                <w:sz w:val="24"/>
              </w:rPr>
              <w:t>权数总值</w:t>
            </w:r>
          </w:p>
          <w:p>
            <w:pPr>
              <w:pStyle w:val="Normal"/>
              <w:spacing w:lineRule="exact" w:line="460"/>
              <w:ind w:firstLine="315"/>
              <w:jc w:val="center"/>
              <w:rPr>
                <w:szCs w:val="21"/>
              </w:rPr>
            </w:pPr>
            <w:r>
              <w:rPr>
                <w:szCs w:val="21"/>
              </w:rPr>
              <w:t>各层级</w:t>
            </w:r>
            <w:r>
              <w:rPr>
                <w:szCs w:val="21"/>
              </w:rPr>
              <w:t>KPI</w:t>
            </w:r>
            <w:r>
              <w:rPr>
                <w:szCs w:val="21"/>
              </w:rPr>
              <w:t>绩效考核结果排名对应分数及系数表示例</w:t>
            </w:r>
          </w:p>
          <w:tbl>
            <w:tblPr>
              <w:tblW w:w="7163" w:type="dxa"/>
              <w:jc w:val="center"/>
              <w:tblInd w:w="0" w:type="dxa"/>
              <w:tblLayout w:type="fixed"/>
              <w:tblCellMar>
                <w:top w:w="0" w:type="dxa"/>
                <w:start w:w="108" w:type="dxa"/>
                <w:bottom w:w="0" w:type="dxa"/>
                <w:end w:w="108" w:type="dxa"/>
              </w:tblCellMar>
            </w:tblPr>
            <w:tblGrid>
              <w:gridCol w:w="850"/>
              <w:gridCol w:w="1028"/>
              <w:gridCol w:w="1418"/>
              <w:gridCol w:w="992"/>
              <w:gridCol w:w="992"/>
              <w:gridCol w:w="993"/>
              <w:gridCol w:w="890"/>
            </w:tblGrid>
            <w:tr>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级别</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A</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B</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C</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D</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E</w:t>
                  </w:r>
                </w:p>
              </w:tc>
              <w:tc>
                <w:tcPr>
                  <w:tcW w:w="890"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sz w:val="24"/>
                    </w:rPr>
                  </w:pPr>
                  <w:r>
                    <w:rPr>
                      <w:sz w:val="24"/>
                    </w:rPr>
                    <w:t>F</w:t>
                  </w:r>
                </w:p>
              </w:tc>
            </w:tr>
            <w:tr>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分数</w:t>
                  </w:r>
                </w:p>
              </w:tc>
              <w:tc>
                <w:tcPr>
                  <w:tcW w:w="1028"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sz w:val="24"/>
                    </w:rPr>
                    <w:t>120-101</w:t>
                  </w:r>
                  <w:r>
                    <w:rPr>
                      <w:sz w:val="24"/>
                    </w:rPr>
                    <w:t>分</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sz w:val="24"/>
                    </w:rPr>
                    <w:t>100-91</w:t>
                  </w:r>
                  <w:r>
                    <w:rPr>
                      <w:sz w:val="24"/>
                    </w:rPr>
                    <w:t>分</w:t>
                  </w:r>
                </w:p>
              </w:tc>
              <w:tc>
                <w:tcPr>
                  <w:tcW w:w="992"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sz w:val="24"/>
                    </w:rPr>
                    <w:t>90-81</w:t>
                  </w:r>
                  <w:r>
                    <w:rPr>
                      <w:sz w:val="24"/>
                    </w:rPr>
                    <w:t>分</w:t>
                  </w:r>
                </w:p>
              </w:tc>
              <w:tc>
                <w:tcPr>
                  <w:tcW w:w="992"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sz w:val="24"/>
                    </w:rPr>
                    <w:t>80-71</w:t>
                  </w:r>
                  <w:r>
                    <w:rPr>
                      <w:sz w:val="24"/>
                    </w:rPr>
                    <w:t>分</w:t>
                  </w:r>
                </w:p>
              </w:tc>
              <w:tc>
                <w:tcPr>
                  <w:tcW w:w="993"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sz w:val="24"/>
                    </w:rPr>
                    <w:t>70-61</w:t>
                  </w:r>
                  <w:r>
                    <w:rPr>
                      <w:sz w:val="24"/>
                    </w:rPr>
                    <w:t>分</w:t>
                  </w:r>
                </w:p>
              </w:tc>
              <w:tc>
                <w:tcPr>
                  <w:tcW w:w="890" w:type="dxa"/>
                  <w:tcBorders>
                    <w:top w:val="single" w:sz="4" w:space="0" w:color="000000"/>
                    <w:start w:val="single" w:sz="4" w:space="0" w:color="000000"/>
                    <w:bottom w:val="single" w:sz="4" w:space="0" w:color="000000"/>
                    <w:end w:val="single" w:sz="4" w:space="0" w:color="000000"/>
                  </w:tcBorders>
                </w:tcPr>
                <w:p>
                  <w:pPr>
                    <w:pStyle w:val="Normal"/>
                    <w:spacing w:lineRule="exact" w:line="460"/>
                    <w:rPr>
                      <w:sz w:val="24"/>
                    </w:rPr>
                  </w:pPr>
                  <w:r>
                    <w:rPr>
                      <w:sz w:val="24"/>
                    </w:rPr>
                    <w:t>60</w:t>
                  </w:r>
                  <w:r>
                    <w:rPr>
                      <w:sz w:val="24"/>
                    </w:rPr>
                    <w:t>分以下</w:t>
                  </w:r>
                </w:p>
              </w:tc>
            </w:tr>
            <w:tr>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系数</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1.5</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1.2</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1.0</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0.8</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60"/>
                    <w:jc w:val="center"/>
                    <w:rPr>
                      <w:sz w:val="24"/>
                    </w:rPr>
                  </w:pPr>
                  <w:r>
                    <w:rPr>
                      <w:sz w:val="24"/>
                    </w:rPr>
                    <w:t>0.6</w:t>
                  </w:r>
                </w:p>
              </w:tc>
              <w:tc>
                <w:tcPr>
                  <w:tcW w:w="890" w:type="dxa"/>
                  <w:tcBorders>
                    <w:top w:val="single" w:sz="4" w:space="0" w:color="000000"/>
                    <w:start w:val="single" w:sz="4" w:space="0" w:color="000000"/>
                    <w:bottom w:val="single" w:sz="4" w:space="0" w:color="000000"/>
                    <w:end w:val="single" w:sz="4" w:space="0" w:color="000000"/>
                  </w:tcBorders>
                </w:tcPr>
                <w:p>
                  <w:pPr>
                    <w:pStyle w:val="Normal"/>
                    <w:spacing w:lineRule="exact" w:line="460"/>
                    <w:jc w:val="center"/>
                    <w:rPr>
                      <w:sz w:val="24"/>
                    </w:rPr>
                  </w:pPr>
                  <w:r>
                    <w:rPr>
                      <w:sz w:val="24"/>
                    </w:rPr>
                    <w:t>0</w:t>
                  </w:r>
                </w:p>
              </w:tc>
            </w:tr>
          </w:tbl>
          <w:p>
            <w:pPr>
              <w:pStyle w:val="Normal"/>
              <w:spacing w:lineRule="exact" w:line="460"/>
              <w:ind w:firstLine="360"/>
              <w:rPr>
                <w:sz w:val="24"/>
              </w:rPr>
            </w:pPr>
            <w:r>
              <w:rPr>
                <w:sz w:val="24"/>
              </w:rPr>
            </w:r>
          </w:p>
          <w:p>
            <w:pPr>
              <w:pStyle w:val="Normal"/>
              <w:spacing w:lineRule="exact" w:line="460"/>
              <w:ind w:firstLine="360"/>
              <w:rPr>
                <w:sz w:val="24"/>
              </w:rPr>
            </w:pPr>
            <w:r>
              <w:rPr>
                <w:sz w:val="24"/>
              </w:rPr>
            </w:r>
          </w:p>
          <w:p>
            <w:pPr>
              <w:pStyle w:val="Normal"/>
              <w:spacing w:lineRule="exact" w:line="460"/>
              <w:ind w:firstLine="361"/>
              <w:rPr>
                <w:sz w:val="24"/>
              </w:rPr>
            </w:pPr>
            <w:r>
              <w:rPr>
                <w:b/>
                <w:sz w:val="24"/>
              </w:rPr>
              <w:t xml:space="preserve">13.2 </w:t>
            </w:r>
            <w:r>
              <w:rPr>
                <w:b/>
                <w:sz w:val="24"/>
              </w:rPr>
              <w:t>示例</w:t>
            </w:r>
            <w:r>
              <w:rPr>
                <w:b/>
                <w:sz w:val="24"/>
              </w:rPr>
              <w:t>1</w:t>
            </w:r>
            <w:r>
              <w:rPr>
                <w:b/>
                <w:sz w:val="24"/>
              </w:rPr>
              <w:t>：考核辞退</w:t>
            </w:r>
          </w:p>
          <w:p>
            <w:pPr>
              <w:pStyle w:val="Normal"/>
              <w:spacing w:lineRule="exact" w:line="460"/>
              <w:ind w:firstLine="360"/>
              <w:rPr>
                <w:sz w:val="24"/>
              </w:rPr>
            </w:pPr>
            <w:r>
              <w:rPr>
                <w:sz w:val="24"/>
              </w:rPr>
              <w:t>通过绩效考核，被证明难以胜任本岗位工作，经过在岗培训和调动</w:t>
            </w:r>
            <w:r>
              <w:rPr>
                <w:rFonts w:eastAsia="Times New Roman"/>
                <w:sz w:val="24"/>
              </w:rPr>
              <w:t xml:space="preserve">        </w:t>
            </w:r>
            <w:r>
              <w:rPr>
                <w:sz w:val="24"/>
              </w:rPr>
              <w:t>岗位后仍难以胜任的，给予“考核辞退”处理；另如因公司无空缺岗位可供调配或者当事人不服从公司重新安排工作岗位的，亦给予“考核辞退”处理，同时解除劳动合同；对符合以下条件者，给予“考核辞退”：</w:t>
            </w:r>
          </w:p>
          <w:p>
            <w:pPr>
              <w:pStyle w:val="Normal"/>
              <w:spacing w:lineRule="exact" w:line="460"/>
              <w:rPr>
                <w:sz w:val="24"/>
              </w:rPr>
            </w:pPr>
            <w:r>
              <w:rPr>
                <w:rFonts w:eastAsia="Times New Roman"/>
                <w:sz w:val="24"/>
              </w:rPr>
              <w:t xml:space="preserve">   </w:t>
            </w:r>
            <w:r>
              <w:rPr>
                <w:sz w:val="24"/>
              </w:rPr>
              <w:t>13.2.1</w:t>
            </w:r>
            <w:r>
              <w:rPr>
                <w:sz w:val="24"/>
              </w:rPr>
              <w:t>一个考核年度内，季度或年度绩效考核中有一次被评为</w:t>
            </w:r>
            <w:r>
              <w:rPr>
                <w:sz w:val="24"/>
              </w:rPr>
              <w:t>F</w:t>
            </w:r>
            <w:r>
              <w:rPr>
                <w:sz w:val="24"/>
              </w:rPr>
              <w:t>的；</w:t>
            </w:r>
          </w:p>
          <w:p>
            <w:pPr>
              <w:pStyle w:val="Normal"/>
              <w:spacing w:lineRule="exact" w:line="460"/>
              <w:rPr>
                <w:sz w:val="24"/>
              </w:rPr>
            </w:pPr>
            <w:r>
              <w:rPr>
                <w:rFonts w:eastAsia="Times New Roman"/>
                <w:sz w:val="24"/>
              </w:rPr>
              <w:t xml:space="preserve">   </w:t>
            </w:r>
            <w:r>
              <w:rPr>
                <w:sz w:val="24"/>
              </w:rPr>
              <w:t>13.2.2</w:t>
            </w:r>
            <w:r>
              <w:rPr>
                <w:sz w:val="24"/>
              </w:rPr>
              <w:t>一个考核年度内，连续二次季度考核被评为</w:t>
            </w:r>
            <w:r>
              <w:rPr>
                <w:sz w:val="24"/>
              </w:rPr>
              <w:t>E</w:t>
            </w:r>
            <w:r>
              <w:rPr>
                <w:sz w:val="24"/>
              </w:rPr>
              <w:t>或年度绩效考核被评为</w:t>
            </w:r>
            <w:r>
              <w:rPr>
                <w:sz w:val="24"/>
              </w:rPr>
              <w:t>E</w:t>
            </w:r>
            <w:r>
              <w:rPr>
                <w:sz w:val="24"/>
              </w:rPr>
              <w:t>的，又无适合的空缺岗位可调配或不服从公司重新安排工作岗位的；</w:t>
            </w:r>
          </w:p>
          <w:p>
            <w:pPr>
              <w:pStyle w:val="Normal"/>
              <w:spacing w:lineRule="exact" w:line="460"/>
              <w:rPr>
                <w:sz w:val="24"/>
              </w:rPr>
            </w:pPr>
            <w:r>
              <w:rPr>
                <w:rFonts w:eastAsia="Times New Roman"/>
                <w:sz w:val="24"/>
              </w:rPr>
              <w:t xml:space="preserve">   </w:t>
            </w:r>
            <w:r>
              <w:rPr>
                <w:sz w:val="24"/>
              </w:rPr>
              <w:t xml:space="preserve">13.2.3 </w:t>
            </w:r>
            <w:r>
              <w:rPr>
                <w:sz w:val="24"/>
              </w:rPr>
              <w:t>一个考核年度内，季度和年度绩效考核中有三次以上（含三次）被评为</w:t>
            </w:r>
            <w:r>
              <w:rPr>
                <w:sz w:val="24"/>
              </w:rPr>
              <w:t>D</w:t>
            </w:r>
            <w:r>
              <w:rPr>
                <w:sz w:val="24"/>
              </w:rPr>
              <w:t>或</w:t>
            </w:r>
            <w:r>
              <w:rPr>
                <w:sz w:val="24"/>
              </w:rPr>
              <w:t>D</w:t>
            </w:r>
            <w:r>
              <w:rPr>
                <w:sz w:val="24"/>
              </w:rPr>
              <w:t>，经在岗培训后仍不能符合岗位要求，又无其它适合岗位可调配或拒绝公司重新安排工作岗位的；</w:t>
            </w:r>
          </w:p>
          <w:p>
            <w:pPr>
              <w:pStyle w:val="Normal"/>
              <w:spacing w:lineRule="exact" w:line="460"/>
              <w:rPr>
                <w:sz w:val="24"/>
              </w:rPr>
            </w:pPr>
            <w:r>
              <w:rPr>
                <w:rFonts w:eastAsia="Times New Roman"/>
                <w:sz w:val="24"/>
              </w:rPr>
              <w:t xml:space="preserve">   </w:t>
            </w:r>
            <w:r>
              <w:rPr>
                <w:sz w:val="24"/>
              </w:rPr>
              <w:t xml:space="preserve">13.2.4 </w:t>
            </w:r>
            <w:r>
              <w:rPr>
                <w:sz w:val="24"/>
              </w:rPr>
              <w:t>每个年度绩效考核结束后，要求各部门内部进行考核成绩排序，除上述三项产生“考核辞退”的条件外，对排序处于尾端的人员实行绩效考核的“尾端辞退”；</w:t>
            </w:r>
            <w:r>
              <w:rPr>
                <w:rFonts w:eastAsia="Times New Roman"/>
                <w:sz w:val="24"/>
              </w:rPr>
              <w:t xml:space="preserve"> </w:t>
            </w:r>
            <w:r>
              <w:rPr>
                <w:sz w:val="24"/>
              </w:rPr>
              <w:t>同时要求各部门整个年度（包括各季度）的考核辞退率（包括尾端辞退）不低于</w:t>
            </w:r>
            <w:r>
              <w:rPr>
                <w:sz w:val="24"/>
              </w:rPr>
              <w:t>3%</w:t>
            </w:r>
            <w:r>
              <w:rPr>
                <w:sz w:val="24"/>
              </w:rPr>
              <w:t>；</w:t>
            </w:r>
          </w:p>
          <w:p>
            <w:pPr>
              <w:pStyle w:val="Normal"/>
              <w:spacing w:lineRule="exact" w:line="460"/>
              <w:rPr>
                <w:sz w:val="24"/>
              </w:rPr>
            </w:pPr>
            <w:r>
              <w:rPr>
                <w:rFonts w:eastAsia="Times New Roman"/>
                <w:sz w:val="24"/>
              </w:rPr>
              <w:t xml:space="preserve">   </w:t>
            </w:r>
            <w:r>
              <w:rPr>
                <w:sz w:val="24"/>
              </w:rPr>
              <w:t xml:space="preserve">13.2.5 </w:t>
            </w:r>
            <w:r>
              <w:rPr>
                <w:sz w:val="24"/>
              </w:rPr>
              <w:t>若因特殊原因，部门整个年度的考核辞退率低于</w:t>
            </w:r>
            <w:r>
              <w:rPr>
                <w:sz w:val="24"/>
              </w:rPr>
              <w:t>3%</w:t>
            </w:r>
            <w:r>
              <w:rPr>
                <w:sz w:val="24"/>
              </w:rPr>
              <w:t>的，应报请总经理审核批准，并在人力资源部备案；</w:t>
            </w:r>
          </w:p>
          <w:p>
            <w:pPr>
              <w:pStyle w:val="Normal"/>
              <w:spacing w:lineRule="exact" w:line="460"/>
              <w:rPr>
                <w:sz w:val="24"/>
              </w:rPr>
            </w:pPr>
            <w:r>
              <w:rPr>
                <w:rFonts w:eastAsia="Times New Roman"/>
                <w:sz w:val="24"/>
              </w:rPr>
              <w:t xml:space="preserve">   </w:t>
            </w:r>
            <w:r>
              <w:rPr>
                <w:sz w:val="24"/>
              </w:rPr>
              <w:t xml:space="preserve">13.2.6 </w:t>
            </w:r>
            <w:r>
              <w:rPr>
                <w:sz w:val="24"/>
              </w:rPr>
              <w:t>考核辞退的工作流程详见附件（略）。</w:t>
            </w:r>
          </w:p>
        </w:tc>
      </w:tr>
      <w:tr>
        <w:trPr>
          <w:trHeight w:val="1498" w:hRule="atLeast"/>
        </w:trPr>
        <w:tc>
          <w:tcPr>
            <w:tcW w:w="1871" w:type="dxa"/>
            <w:tcBorders>
              <w:top w:val="single" w:sz="4" w:space="0" w:color="000000"/>
              <w:start w:val="single" w:sz="12" w:space="0" w:color="000000"/>
              <w:bottom w:val="single" w:sz="4" w:space="0" w:color="000000"/>
              <w:end w:val="single" w:sz="4" w:space="0" w:color="000000"/>
            </w:tcBorders>
            <w:shd w:fill="DAEEF3" w:val="clear"/>
            <w:vAlign w:val="center"/>
          </w:tcPr>
          <w:p>
            <w:pPr>
              <w:pStyle w:val="Heading"/>
              <w:spacing w:before="240" w:after="60"/>
              <w:rPr>
                <w:lang w:val="en-US" w:eastAsia="en-US"/>
              </w:rPr>
            </w:pPr>
            <w:bookmarkStart w:id="13" w:name="__RefHeading___Toc404009634"/>
            <w:bookmarkEnd w:id="13"/>
            <w:r>
              <w:rPr>
                <w:lang w:val="en-US" w:eastAsia="en-US"/>
              </w:rPr>
              <w:t>十四、解释权说明</w:t>
            </w:r>
          </w:p>
        </w:tc>
        <w:tc>
          <w:tcPr>
            <w:tcW w:w="7822"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460"/>
              <w:rPr>
                <w:sz w:val="24"/>
              </w:rPr>
            </w:pPr>
            <w:r>
              <w:rPr>
                <w:sz w:val="24"/>
              </w:rPr>
            </w:r>
          </w:p>
          <w:p>
            <w:pPr>
              <w:pStyle w:val="Normal"/>
              <w:spacing w:lineRule="exact" w:line="460"/>
              <w:rPr>
                <w:sz w:val="24"/>
              </w:rPr>
            </w:pPr>
            <w:r>
              <w:rPr>
                <w:sz w:val="24"/>
              </w:rPr>
              <w:t>本办法由人力资源部或者</w:t>
            </w:r>
            <w:r>
              <w:rPr>
                <w:sz w:val="24"/>
              </w:rPr>
              <w:t>KPI</w:t>
            </w:r>
            <w:r>
              <w:rPr>
                <w:sz w:val="24"/>
              </w:rPr>
              <w:t>绩效管理机构负责解释。</w:t>
            </w:r>
          </w:p>
        </w:tc>
      </w:tr>
      <w:tr>
        <w:trPr>
          <w:trHeight w:val="1498" w:hRule="atLeast"/>
        </w:trPr>
        <w:tc>
          <w:tcPr>
            <w:tcW w:w="1871" w:type="dxa"/>
            <w:tcBorders>
              <w:top w:val="single" w:sz="4" w:space="0" w:color="000000"/>
              <w:start w:val="single" w:sz="12" w:space="0" w:color="000000"/>
              <w:bottom w:val="single" w:sz="12" w:space="0" w:color="000000"/>
              <w:end w:val="single" w:sz="4" w:space="0" w:color="000000"/>
            </w:tcBorders>
            <w:shd w:fill="DAEEF3" w:val="clear"/>
            <w:vAlign w:val="center"/>
          </w:tcPr>
          <w:p>
            <w:pPr>
              <w:pStyle w:val="Heading"/>
              <w:spacing w:before="240" w:after="60"/>
              <w:rPr>
                <w:lang w:val="en-US" w:eastAsia="en-US"/>
              </w:rPr>
            </w:pPr>
            <w:bookmarkStart w:id="14" w:name="__RefHeading___Toc404009635"/>
            <w:bookmarkEnd w:id="14"/>
            <w:r>
              <w:rPr>
                <w:lang w:val="en-US" w:eastAsia="en-US"/>
              </w:rPr>
              <w:t>十五、生效日期</w:t>
            </w:r>
          </w:p>
        </w:tc>
        <w:tc>
          <w:tcPr>
            <w:tcW w:w="7822" w:type="dxa"/>
            <w:tcBorders>
              <w:top w:val="single" w:sz="4" w:space="0" w:color="000000"/>
              <w:start w:val="single" w:sz="4" w:space="0" w:color="000000"/>
              <w:bottom w:val="single" w:sz="12" w:space="0" w:color="000000"/>
              <w:end w:val="single" w:sz="12" w:space="0" w:color="000000"/>
            </w:tcBorders>
          </w:tcPr>
          <w:p>
            <w:pPr>
              <w:pStyle w:val="Normal"/>
              <w:spacing w:lineRule="exact" w:line="460"/>
              <w:rPr>
                <w:sz w:val="24"/>
              </w:rPr>
            </w:pPr>
            <w:r>
              <w:rPr>
                <w:sz w:val="24"/>
              </w:rPr>
              <w:t>本办法自发文之日起生效，试行</w:t>
            </w:r>
            <w:r>
              <w:rPr>
                <w:sz w:val="24"/>
              </w:rPr>
              <w:t>6</w:t>
            </w:r>
            <w:r>
              <w:rPr>
                <w:sz w:val="24"/>
              </w:rPr>
              <w:t>个月。</w:t>
            </w:r>
          </w:p>
          <w:p>
            <w:pPr>
              <w:pStyle w:val="Normal"/>
              <w:spacing w:lineRule="exact" w:line="460"/>
              <w:rPr>
                <w:sz w:val="24"/>
              </w:rPr>
            </w:pPr>
            <w:r>
              <w:rPr>
                <w:sz w:val="24"/>
              </w:rPr>
            </w:r>
          </w:p>
          <w:p>
            <w:pPr>
              <w:pStyle w:val="Normal"/>
              <w:spacing w:lineRule="exact" w:line="460"/>
              <w:ind w:firstLine="840"/>
              <w:rPr>
                <w:sz w:val="24"/>
              </w:rPr>
            </w:pPr>
            <w:r>
              <w:rPr>
                <w:rFonts w:eastAsia="Times New Roman"/>
                <w:sz w:val="24"/>
              </w:rPr>
              <w:t xml:space="preserve">   </w:t>
            </w:r>
            <w:r>
              <w:rPr>
                <w:sz w:val="24"/>
              </w:rPr>
              <w:t>批准（总经理）：</w:t>
            </w:r>
            <w:r>
              <w:rPr>
                <w:rFonts w:eastAsia="Times New Roman"/>
                <w:sz w:val="24"/>
              </w:rPr>
              <w:t xml:space="preserve">                    </w:t>
            </w:r>
            <w:r>
              <w:rPr>
                <w:sz w:val="24"/>
              </w:rPr>
              <w:t>日期：</w:t>
            </w:r>
          </w:p>
          <w:p>
            <w:pPr>
              <w:pStyle w:val="Normal"/>
              <w:spacing w:lineRule="exact" w:line="460"/>
              <w:rPr>
                <w:sz w:val="24"/>
              </w:rPr>
            </w:pPr>
            <w:r>
              <w:rPr>
                <w:sz w:val="24"/>
              </w:rPr>
            </w:r>
          </w:p>
        </w:tc>
      </w:tr>
    </w:tbl>
    <w:p>
      <w:pPr>
        <w:pStyle w:val="Normal"/>
        <w:snapToGrid w:val="false"/>
        <w:rPr>
          <w:rFonts w:ascii="微软雅黑" w:hAnsi="微软雅黑" w:eastAsia="微软雅黑" w:cs="微软雅黑"/>
          <w:b/>
          <w:b/>
          <w:color w:val="0070C0"/>
          <w:sz w:val="36"/>
          <w:szCs w:val="36"/>
        </w:rPr>
      </w:pPr>
      <w:r>
        <w:rPr>
          <w:rFonts w:ascii="微软雅黑" w:hAnsi="微软雅黑" w:cs="微软雅黑" w:eastAsia="微软雅黑"/>
          <w:b/>
          <w:color w:val="0070C0"/>
          <w:sz w:val="36"/>
          <w:szCs w:val="36"/>
        </w:rPr>
        <w:t>附件</w:t>
      </w:r>
      <w:r>
        <w:rPr>
          <w:rFonts w:eastAsia="微软雅黑" w:cs="微软雅黑" w:ascii="微软雅黑" w:hAnsi="微软雅黑"/>
          <w:b/>
          <w:color w:val="0070C0"/>
          <w:sz w:val="36"/>
          <w:szCs w:val="36"/>
        </w:rPr>
        <w:t>A</w:t>
      </w:r>
      <w:r>
        <w:rPr>
          <w:rFonts w:ascii="微软雅黑" w:hAnsi="微软雅黑" w:cs="微软雅黑" w:eastAsia="微软雅黑"/>
          <w:b/>
          <w:color w:val="0070C0"/>
          <w:sz w:val="36"/>
          <w:szCs w:val="36"/>
        </w:rPr>
        <w:t>：</w:t>
      </w:r>
    </w:p>
    <w:p>
      <w:pPr>
        <w:pStyle w:val="Normal"/>
        <w:snapToGrid w:val="false"/>
        <w:rPr>
          <w:rFonts w:ascii="微软雅黑" w:hAnsi="微软雅黑" w:eastAsia="微软雅黑" w:cs="微软雅黑"/>
          <w:b/>
          <w:b/>
          <w:color w:val="0070C0"/>
          <w:sz w:val="36"/>
          <w:szCs w:val="36"/>
        </w:rPr>
      </w:pPr>
      <w:r>
        <w:rPr>
          <w:rFonts w:eastAsia="微软雅黑" w:cs="微软雅黑" w:ascii="微软雅黑" w:hAnsi="微软雅黑"/>
          <w:b/>
          <w:color w:val="0070C0"/>
          <w:sz w:val="36"/>
          <w:szCs w:val="36"/>
          <w:lang w:val="en-US" w:eastAsia="en-US"/>
        </w:rPr>
        <w:drawing>
          <wp:inline distT="0" distB="0" distL="0" distR="0">
            <wp:extent cx="6144260" cy="3531870"/>
            <wp:effectExtent l="0" t="0" r="0" b="0"/>
            <wp:docPr id="23" name="图片 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9" descr="" title=""/>
                    <pic:cNvPicPr>
                      <a:picLocks noChangeAspect="1" noChangeArrowheads="1"/>
                    </pic:cNvPicPr>
                  </pic:nvPicPr>
                  <pic:blipFill>
                    <a:blip r:embed="rId3"/>
                    <a:srcRect l="-5" t="-9" r="-5" b="-9"/>
                    <a:stretch>
                      <a:fillRect/>
                    </a:stretch>
                  </pic:blipFill>
                  <pic:spPr bwMode="auto">
                    <a:xfrm>
                      <a:off x="0" y="0"/>
                      <a:ext cx="6144260" cy="3531870"/>
                    </a:xfrm>
                    <a:prstGeom prst="rect">
                      <a:avLst/>
                    </a:prstGeom>
                  </pic:spPr>
                </pic:pic>
              </a:graphicData>
            </a:graphic>
          </wp:inline>
        </w:drawing>
      </w:r>
    </w:p>
    <w:p>
      <w:pPr>
        <w:pStyle w:val="Normal"/>
        <w:snapToGrid w:val="false"/>
        <w:rPr>
          <w:rFonts w:ascii="微软雅黑" w:hAnsi="微软雅黑" w:eastAsia="微软雅黑" w:cs="微软雅黑"/>
          <w:b/>
          <w:b/>
          <w:color w:val="0070C0"/>
          <w:sz w:val="36"/>
          <w:szCs w:val="36"/>
        </w:rPr>
      </w:pPr>
      <w:r>
        <w:rPr>
          <w:rFonts w:eastAsia="微软雅黑" w:cs="微软雅黑" w:ascii="微软雅黑" w:hAnsi="微软雅黑"/>
          <w:b/>
          <w:color w:val="0070C0"/>
          <w:sz w:val="36"/>
          <w:szCs w:val="36"/>
          <w:lang w:val="en-US" w:eastAsia="en-US"/>
        </w:rPr>
        <w:drawing>
          <wp:inline distT="0" distB="0" distL="0" distR="0">
            <wp:extent cx="6149975" cy="3947795"/>
            <wp:effectExtent l="0" t="0" r="0" b="0"/>
            <wp:docPr id="24" name="图片 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6" descr="" title=""/>
                    <pic:cNvPicPr>
                      <a:picLocks noChangeAspect="1" noChangeArrowheads="1"/>
                    </pic:cNvPicPr>
                  </pic:nvPicPr>
                  <pic:blipFill>
                    <a:blip r:embed="rId4"/>
                    <a:srcRect l="-5" t="-8" r="-5" b="-8"/>
                    <a:stretch>
                      <a:fillRect/>
                    </a:stretch>
                  </pic:blipFill>
                  <pic:spPr bwMode="auto">
                    <a:xfrm>
                      <a:off x="0" y="0"/>
                      <a:ext cx="6149975" cy="3947795"/>
                    </a:xfrm>
                    <a:prstGeom prst="rect">
                      <a:avLst/>
                    </a:prstGeom>
                  </pic:spPr>
                </pic:pic>
              </a:graphicData>
            </a:graphic>
          </wp:inline>
        </w:drawing>
      </w:r>
    </w:p>
    <w:p>
      <w:pPr>
        <w:pStyle w:val="Normal"/>
        <w:spacing w:before="156" w:after="0"/>
        <w:rPr>
          <w:sz w:val="20"/>
          <w:lang w:val="en-US" w:eastAsia="en-US"/>
        </w:rPr>
      </w:pPr>
      <w:r>
        <w:rPr>
          <w:sz w:val="20"/>
          <w:lang w:val="en-US" w:eastAsia="en-US"/>
        </w:rPr>
        <mc:AlternateContent>
          <mc:Choice Requires="wpg">
            <w:drawing>
              <wp:inline distT="0" distB="0" distL="0" distR="0">
                <wp:extent cx="6024880" cy="4396740"/>
                <wp:effectExtent l="0" t="0" r="0" b="0"/>
                <wp:docPr id="25" name="画布 225"/>
                <a:graphic xmlns:a="http://schemas.openxmlformats.org/drawingml/2006/main">
                  <a:graphicData uri="http://schemas.microsoft.com/office/word/2010/wordprocessingGroup">
                    <wpg:wgp>
                      <wpg:cNvGrpSpPr/>
                      <wpg:grpSpPr>
                        <a:xfrm>
                          <a:off x="0" y="0"/>
                          <a:ext cx="6024240" cy="4395960"/>
                          <a:chOff x="0" y="0"/>
                          <a:chExt cx="6024240" cy="4395960"/>
                        </a:xfrm>
                      </wpg:grpSpPr>
                      <wps:wsp>
                        <wps:cNvSpPr/>
                        <wps:nvSpPr>
                          <wps:cNvPr id="0" name=""/>
                          <wps:cNvSpPr/>
                        </wps:nvSpPr>
                        <wps:spPr>
                          <a:xfrm>
                            <a:off x="0" y="0"/>
                            <a:ext cx="6024240" cy="4395960"/>
                          </a:xfrm>
                          <a:prstGeom prst="rect">
                            <a:avLst/>
                          </a:prstGeom>
                          <a:noFill/>
                          <a:ln w="0">
                            <a:noFill/>
                          </a:ln>
                        </wps:spPr>
                        <wps:bodyPr/>
                      </wps:wsp>
                      <wps:wsp>
                        <wps:cNvSpPr txBox="1"/>
                        <wps:spPr>
                          <a:xfrm>
                            <a:off x="289440" y="0"/>
                            <a:ext cx="1371600" cy="297360"/>
                          </a:xfrm>
                          <a:prstGeom prst="rect">
                            <a:avLst/>
                          </a:prstGeom>
                          <a:solidFill>
                            <a:srgbClr val="ffffff"/>
                          </a:solidFill>
                          <a:ln w="0">
                            <a:noFill/>
                          </a:ln>
                        </wps:spPr>
                        <wps:txbx>
                          <w:txbxContent>
                            <w:p>
                              <w:pPr>
                                <w:overflowPunct w:val="false"/>
                                <w:bidi w:val="0"/>
                                <w:jc w:val="both"/>
                                <w:rPr/>
                              </w:pPr>
                              <w:r>
                                <w:rPr>
                                  <w:sz w:val="18"/>
                                  <w:b/>
                                  <w:kern w:val="2"/>
                                  <w:szCs w:val="24"/>
                                  <w:bCs/>
                                  <w:rFonts w:ascii="Times New Roman" w:hAnsi="Times New Roman" w:eastAsia="宋体" w:cs="Times New Roman"/>
                                  <w:color w:val="auto"/>
                                  <w:lang w:val="en-US" w:eastAsia="zh-CN" w:bidi="ar-SA"/>
                                </w:rPr>
                                <w:t>KPI运行流程图（3）</w:t>
                              </w:r>
                            </w:p>
                          </w:txbxContent>
                        </wps:txbx>
                        <wps:bodyPr wrap="square">
                          <a:noAutofit/>
                        </wps:bodyPr>
                      </wps:wsp>
                      <wps:wsp>
                        <wps:cNvSpPr txBox="1"/>
                        <wps:spPr>
                          <a:xfrm>
                            <a:off x="1089000" y="296640"/>
                            <a:ext cx="3999960" cy="29664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公司愿景/使命</w:t>
                              </w:r>
                            </w:p>
                          </w:txbxContent>
                        </wps:txbx>
                        <wps:bodyPr wrap="square">
                          <a:noAutofit/>
                        </wps:bodyPr>
                      </wps:wsp>
                      <wps:wsp>
                        <wps:cNvSpPr txBox="1"/>
                        <wps:spPr>
                          <a:xfrm>
                            <a:off x="1089720" y="1188000"/>
                            <a:ext cx="9144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4"/>
                                  <w:rFonts w:ascii="Times New Roman" w:hAnsi="Times New Roman" w:eastAsia="宋体" w:cs="Times New Roman"/>
                                  <w:color w:val="auto"/>
                                  <w:lang w:val="en-US" w:eastAsia="zh-CN" w:bidi="ar-SA"/>
                                </w:rPr>
                                <w:t>财务</w:t>
                              </w:r>
                            </w:p>
                          </w:txbxContent>
                        </wps:txbx>
                        <wps:bodyPr wrap="square">
                          <a:noAutofit/>
                        </wps:bodyPr>
                      </wps:wsp>
                      <wps:wsp>
                        <wps:cNvSpPr txBox="1"/>
                        <wps:spPr>
                          <a:xfrm>
                            <a:off x="4175280" y="1188000"/>
                            <a:ext cx="913680" cy="297360"/>
                          </a:xfrm>
                          <a:prstGeom prst="rect">
                            <a:avLst/>
                          </a:prstGeom>
                          <a:solidFill>
                            <a:srgbClr val="ffffff"/>
                          </a:solidFill>
                          <a:ln w="9360">
                            <a:solidFill>
                              <a:srgbClr val="000000"/>
                            </a:solidFill>
                            <a:miter/>
                          </a:ln>
                        </wps:spPr>
                        <wps:txbx>
                          <w:txbxContent>
                            <w:p>
                              <w:pPr>
                                <w:overflowPunct w:val="false"/>
                                <w:bidi w:val="0"/>
                                <w:jc w:val="both"/>
                                <w:rPr/>
                              </w:pPr>
                              <w:r>
                                <w:rPr>
                                  <w:kern w:val="2"/>
                                  <w:sz w:val="21"/>
                                  <w:szCs w:val="24"/>
                                  <w:rFonts w:ascii="Times New Roman" w:hAnsi="Times New Roman" w:eastAsia="宋体" w:cs="Times New Roman"/>
                                  <w:color w:val="auto"/>
                                  <w:lang w:val="en-US" w:eastAsia="zh-CN" w:bidi="ar-SA"/>
                                </w:rPr>
                                <w:t>学习与成长</w:t>
                              </w:r>
                            </w:p>
                          </w:txbxContent>
                        </wps:txbx>
                        <wps:bodyPr wrap="square">
                          <a:noAutofit/>
                        </wps:bodyPr>
                      </wps:wsp>
                      <wps:wsp>
                        <wps:cNvSpPr txBox="1"/>
                        <wps:spPr>
                          <a:xfrm>
                            <a:off x="3146400" y="1188000"/>
                            <a:ext cx="9144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4"/>
                                  <w:rFonts w:ascii="Times New Roman" w:hAnsi="Times New Roman" w:eastAsia="宋体" w:cs="Times New Roman"/>
                                  <w:color w:val="auto"/>
                                  <w:lang w:val="en-US" w:eastAsia="zh-CN" w:bidi="ar-SA"/>
                                </w:rPr>
                                <w:t>客户</w:t>
                              </w:r>
                            </w:p>
                          </w:txbxContent>
                        </wps:txbx>
                        <wps:bodyPr wrap="square">
                          <a:noAutofit/>
                        </wps:bodyPr>
                      </wps:wsp>
                      <wps:wsp>
                        <wps:cNvSpPr txBox="1"/>
                        <wps:spPr>
                          <a:xfrm>
                            <a:off x="2118240" y="1188000"/>
                            <a:ext cx="91440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4"/>
                                  <w:rFonts w:ascii="Times New Roman" w:hAnsi="Times New Roman" w:eastAsia="宋体" w:cs="Times New Roman"/>
                                  <w:color w:val="auto"/>
                                  <w:lang w:val="en-US" w:eastAsia="zh-CN" w:bidi="ar-SA"/>
                                </w:rPr>
                                <w:t>内部营运</w:t>
                              </w:r>
                            </w:p>
                          </w:txbxContent>
                        </wps:txbx>
                        <wps:bodyPr wrap="square">
                          <a:noAutofit/>
                        </wps:bodyPr>
                      </wps:wsp>
                      <wps:wsp>
                        <wps:cNvSpPr txBox="1"/>
                        <wps:spPr>
                          <a:xfrm>
                            <a:off x="453240" y="1089000"/>
                            <a:ext cx="407520" cy="1089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关键结果领域</w:t>
                              </w:r>
                            </w:p>
                          </w:txbxContent>
                        </wps:txbx>
                        <wps:bodyPr wrap="square" vert="eaVert">
                          <a:noAutofit/>
                        </wps:bodyPr>
                      </wps:wsp>
                      <wps:wsp>
                        <wps:cNvSpPr/>
                        <wps:spPr>
                          <a:xfrm>
                            <a:off x="1089720" y="1585080"/>
                            <a:ext cx="3999960" cy="396360"/>
                          </a:xfrm>
                          <a:prstGeom prst="rect">
                            <a:avLst/>
                          </a:prstGeom>
                          <a:solidFill>
                            <a:srgbClr val="ffffff"/>
                          </a:solidFill>
                          <a:ln w="9360">
                            <a:solidFill>
                              <a:srgbClr val="000000"/>
                            </a:solidFill>
                            <a:miter/>
                          </a:ln>
                        </wps:spPr>
                        <wps:style>
                          <a:lnRef idx="0"/>
                          <a:fillRef idx="0"/>
                          <a:effectRef idx="0"/>
                          <a:fontRef idx="minor"/>
                        </wps:style>
                        <wps:bodyPr/>
                      </wps:wsp>
                      <wps:wsp>
                        <wps:cNvSpPr txBox="1"/>
                        <wps:spPr>
                          <a:xfrm>
                            <a:off x="453240" y="2178720"/>
                            <a:ext cx="407520" cy="1089720"/>
                          </a:xfrm>
                          <a:prstGeom prst="rect">
                            <a:avLst/>
                          </a:prstGeom>
                          <a:solidFill>
                            <a:srgbClr val="ffffff"/>
                          </a:solidFill>
                          <a:ln w="9360">
                            <a:solidFill>
                              <a:srgbClr val="000000"/>
                            </a:solidFill>
                            <a:miter/>
                          </a:ln>
                        </wps:spPr>
                        <wps:txbx>
                          <w:txbxContent>
                            <w:p>
                              <w:pPr>
                                <w:overflowPunct w:val="false"/>
                                <w:bidi w:val="0"/>
                                <w:jc w:val="center"/>
                                <w:rPr/>
                              </w:pPr>
                              <w:r>
                                <w:rPr>
                                  <w:kern w:val="2"/>
                                  <w:sz w:val="21"/>
                                  <w:szCs w:val="24"/>
                                  <w:rFonts w:ascii="Times New Roman" w:hAnsi="Times New Roman" w:eastAsia="宋体" w:cs="Times New Roman"/>
                                  <w:color w:val="auto"/>
                                  <w:lang w:val="en-US" w:eastAsia="zh-CN" w:bidi="ar-SA"/>
                                </w:rPr>
                                <w:t>部门绩效</w:t>
                              </w:r>
                            </w:p>
                          </w:txbxContent>
                        </wps:txbx>
                        <wps:bodyPr wrap="square" vert="eaVert">
                          <a:noAutofit/>
                        </wps:bodyPr>
                      </wps:wsp>
                      <wps:wsp>
                        <wps:cNvSpPr txBox="1"/>
                        <wps:spPr>
                          <a:xfrm>
                            <a:off x="453240" y="3268440"/>
                            <a:ext cx="407520" cy="792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职位绩效</w:t>
                              </w:r>
                            </w:p>
                          </w:txbxContent>
                        </wps:txbx>
                        <wps:bodyPr wrap="square" vert="eaVert">
                          <a:noAutofit/>
                        </wps:bodyPr>
                      </wps:wsp>
                      <wps:wsp>
                        <wps:cNvSpPr txBox="1"/>
                        <wps:spPr>
                          <a:xfrm>
                            <a:off x="5318280" y="1089000"/>
                            <a:ext cx="440640" cy="1089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宋体" w:hAnsi="宋体" w:eastAsia="宋体" w:cs="Times New Roman"/>
                                  <w:color w:val="auto"/>
                                  <w:lang w:val="en-US" w:eastAsia="zh-CN" w:bidi="ar-SA"/>
                                </w:rPr>
                                <w:t>战略业务单元结构</w:t>
                              </w:r>
                            </w:p>
                          </w:txbxContent>
                        </wps:txbx>
                        <wps:bodyPr wrap="square" vert="eaVert">
                          <a:noAutofit/>
                        </wps:bodyPr>
                      </wps:wsp>
                      <wps:wsp>
                        <wps:cNvSpPr txBox="1"/>
                        <wps:spPr>
                          <a:xfrm>
                            <a:off x="5318280" y="2178720"/>
                            <a:ext cx="440640" cy="108972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核心价值流程</w:t>
                              </w:r>
                            </w:p>
                          </w:txbxContent>
                        </wps:txbx>
                        <wps:bodyPr wrap="square" vert="eaVert">
                          <a:noAutofit/>
                        </wps:bodyPr>
                      </wps:wsp>
                      <wps:wsp>
                        <wps:cNvSpPr txBox="1"/>
                        <wps:spPr>
                          <a:xfrm>
                            <a:off x="5318280" y="3268440"/>
                            <a:ext cx="440640" cy="792360"/>
                          </a:xfrm>
                          <a:prstGeom prst="rect">
                            <a:avLst/>
                          </a:prstGeom>
                          <a:solidFill>
                            <a:srgbClr val="ffffff"/>
                          </a:solidFill>
                          <a:ln w="9360">
                            <a:solidFill>
                              <a:srgbClr val="000000"/>
                            </a:solidFill>
                            <a:miter/>
                          </a:ln>
                        </wps:spPr>
                        <wps:txbx>
                          <w:txbxContent>
                            <w:p>
                              <w:pPr>
                                <w:overflowPunct w:val="false"/>
                                <w:bidi w:val="0"/>
                                <w:jc w:val="both"/>
                                <w:rPr/>
                              </w:pPr>
                              <w:r>
                                <w:rPr>
                                  <w:kern w:val="2"/>
                                  <w:sz w:val="18"/>
                                  <w:szCs w:val="24"/>
                                  <w:rFonts w:ascii="Times New Roman" w:hAnsi="Times New Roman" w:eastAsia="宋体" w:cs="Times New Roman"/>
                                  <w:color w:val="auto"/>
                                  <w:lang w:val="en-US" w:eastAsia="zh-CN" w:bidi="ar-SA"/>
                                </w:rPr>
                                <w:t>部门核心流程</w:t>
                              </w:r>
                            </w:p>
                          </w:txbxContent>
                        </wps:txbx>
                        <wps:bodyPr wrap="square" vert="eaVert">
                          <a:noAutofit/>
                        </wps:bodyPr>
                      </wps:wsp>
                      <wps:wsp>
                        <wps:cNvSpPr/>
                        <wps:spPr>
                          <a:xfrm>
                            <a:off x="2689920" y="593640"/>
                            <a:ext cx="799560" cy="198720"/>
                          </a:xfrm>
                          <a:custGeom>
                            <a:avLst/>
                            <a:gdLst/>
                            <a:ahLst/>
                            <a:rect l="0" t="0" r="r" b="b"/>
                            <a:pathLst>
                              <a:path w="1261" h="315">
                                <a:moveTo>
                                  <a:pt x="315" y="0"/>
                                </a:moveTo>
                                <a:lnTo>
                                  <a:pt x="315" y="160"/>
                                </a:lnTo>
                                <a:lnTo>
                                  <a:pt x="0" y="160"/>
                                </a:lnTo>
                                <a:lnTo>
                                  <a:pt x="630" y="314"/>
                                </a:lnTo>
                                <a:lnTo>
                                  <a:pt x="1260" y="160"/>
                                </a:lnTo>
                                <a:lnTo>
                                  <a:pt x="945" y="160"/>
                                </a:lnTo>
                                <a:lnTo>
                                  <a:pt x="945" y="0"/>
                                </a:lnTo>
                                <a:lnTo>
                                  <a:pt x="315" y="0"/>
                                </a:lnTo>
                              </a:path>
                            </a:pathLst>
                          </a:custGeom>
                          <a:solidFill>
                            <a:srgbClr val="ffffff"/>
                          </a:solidFill>
                          <a:ln w="9360">
                            <a:solidFill>
                              <a:srgbClr val="000000"/>
                            </a:solidFill>
                            <a:miter/>
                          </a:ln>
                        </wps:spPr>
                        <wps:style>
                          <a:lnRef idx="0"/>
                          <a:fillRef idx="0"/>
                          <a:effectRef idx="0"/>
                          <a:fontRef idx="minor"/>
                        </wps:style>
                        <wps:bodyPr/>
                      </wps:wsp>
                      <wps:wsp>
                        <wps:cNvSpPr/>
                        <wps:spPr>
                          <a:xfrm>
                            <a:off x="1661040" y="891000"/>
                            <a:ext cx="0" cy="297360"/>
                          </a:xfrm>
                          <a:prstGeom prst="line">
                            <a:avLst/>
                          </a:prstGeom>
                          <a:ln w="9360">
                            <a:solidFill>
                              <a:srgbClr val="000000"/>
                            </a:solidFill>
                            <a:miter/>
                            <a:tailEnd len="sm" type="triangle" w="med"/>
                          </a:ln>
                        </wps:spPr>
                        <wps:style>
                          <a:lnRef idx="0"/>
                          <a:fillRef idx="0"/>
                          <a:effectRef idx="0"/>
                          <a:fontRef idx="minor"/>
                        </wps:style>
                        <wps:bodyPr/>
                      </wps:wsp>
                      <wps:wsp>
                        <wps:cNvSpPr/>
                        <wps:spPr>
                          <a:xfrm>
                            <a:off x="3604320" y="891000"/>
                            <a:ext cx="0" cy="297360"/>
                          </a:xfrm>
                          <a:prstGeom prst="line">
                            <a:avLst/>
                          </a:prstGeom>
                          <a:ln w="9360">
                            <a:solidFill>
                              <a:srgbClr val="000000"/>
                            </a:solidFill>
                            <a:miter/>
                            <a:tailEnd len="sm" type="triangle" w="med"/>
                          </a:ln>
                        </wps:spPr>
                        <wps:style>
                          <a:lnRef idx="0"/>
                          <a:fillRef idx="0"/>
                          <a:effectRef idx="0"/>
                          <a:fontRef idx="minor"/>
                        </wps:style>
                        <wps:bodyPr/>
                      </wps:wsp>
                      <wps:wsp>
                        <wps:cNvSpPr/>
                        <wps:spPr>
                          <a:xfrm>
                            <a:off x="2575440" y="891000"/>
                            <a:ext cx="0" cy="297360"/>
                          </a:xfrm>
                          <a:prstGeom prst="line">
                            <a:avLst/>
                          </a:prstGeom>
                          <a:ln w="9360">
                            <a:solidFill>
                              <a:srgbClr val="000000"/>
                            </a:solidFill>
                            <a:miter/>
                            <a:tailEnd len="sm" type="triangle" w="med"/>
                          </a:ln>
                        </wps:spPr>
                        <wps:style>
                          <a:lnRef idx="0"/>
                          <a:fillRef idx="0"/>
                          <a:effectRef idx="0"/>
                          <a:fontRef idx="minor"/>
                        </wps:style>
                        <wps:bodyPr/>
                      </wps:wsp>
                      <wps:wsp>
                        <wps:cNvSpPr/>
                        <wps:spPr>
                          <a:xfrm>
                            <a:off x="4632480" y="891000"/>
                            <a:ext cx="0" cy="297360"/>
                          </a:xfrm>
                          <a:prstGeom prst="line">
                            <a:avLst/>
                          </a:prstGeom>
                          <a:ln w="9360">
                            <a:solidFill>
                              <a:srgbClr val="000000"/>
                            </a:solidFill>
                            <a:miter/>
                            <a:tailEnd len="sm" type="triangle" w="med"/>
                          </a:ln>
                        </wps:spPr>
                        <wps:style>
                          <a:lnRef idx="0"/>
                          <a:fillRef idx="0"/>
                          <a:effectRef idx="0"/>
                          <a:fontRef idx="minor"/>
                        </wps:style>
                        <wps:bodyPr/>
                      </wps:wsp>
                      <wps:wsp>
                        <wps:cNvSpPr txBox="1"/>
                        <wps:spPr>
                          <a:xfrm>
                            <a:off x="1089000" y="792360"/>
                            <a:ext cx="3999960" cy="29736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24"/>
                                  <w:rFonts w:ascii="Times New Roman" w:hAnsi="Times New Roman" w:eastAsia="宋体" w:cs="Times New Roman"/>
                                  <w:color w:val="auto"/>
                                  <w:lang w:val="en-US" w:eastAsia="zh-CN" w:bidi="ar-SA"/>
                                </w:rPr>
                                <w:t>公司战略目标及行动策略</w:t>
                              </w:r>
                            </w:p>
                          </w:txbxContent>
                        </wps:txbx>
                        <wps:bodyPr wrap="square">
                          <a:noAutofit/>
                        </wps:bodyPr>
                      </wps:wsp>
                      <wps:wsp>
                        <wps:cNvSpPr txBox="1"/>
                        <wps:spPr>
                          <a:xfrm>
                            <a:off x="3604320" y="1684080"/>
                            <a:ext cx="1257480" cy="198000"/>
                          </a:xfrm>
                          <a:prstGeom prst="rect">
                            <a:avLst/>
                          </a:prstGeom>
                          <a:solidFill>
                            <a:srgbClr val="ffffff"/>
                          </a:solidFill>
                          <a:ln w="9360">
                            <a:solidFill>
                              <a:srgbClr val="000000"/>
                            </a:solidFill>
                            <a:miter/>
                          </a:ln>
                        </wps:spPr>
                        <wps:txbx>
                          <w:txbxContent>
                            <w:p>
                              <w:pPr>
                                <w:overflowPunct w:val="false"/>
                                <w:bidi w:val="0"/>
                                <w:jc w:val="center"/>
                                <w:rPr/>
                              </w:pPr>
                              <w:r>
                                <w:rPr>
                                  <w:sz w:val="18"/>
                                  <w:kern w:val="2"/>
                                  <w:szCs w:val="18"/>
                                  <w:rFonts w:ascii="Times New Roman" w:hAnsi="Times New Roman" w:eastAsia="宋体" w:cs="Times New Roman"/>
                                  <w:color w:val="auto"/>
                                  <w:lang w:val="en-US" w:eastAsia="zh-CN" w:bidi="ar-SA"/>
                                </w:rPr>
                                <w:t>KPI指标</w:t>
                              </w:r>
                            </w:p>
                          </w:txbxContent>
                        </wps:txbx>
                        <wps:bodyPr wrap="square" tIns="10800" bIns="10800">
                          <a:noAutofit/>
                        </wps:bodyPr>
                      </wps:wsp>
                      <wpg:grpSp>
                        <wpg:cNvGrpSpPr/>
                        <wpg:grpSpPr>
                          <a:xfrm>
                            <a:off x="1203480" y="1684080"/>
                            <a:ext cx="2171880" cy="198000"/>
                          </a:xfrm>
                        </wpg:grpSpPr>
                        <wps:wsp>
                          <wps:cNvSpPr txBox="1"/>
                          <wps:spPr>
                            <a:xfrm>
                              <a:off x="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结果</w:t>
                                </w:r>
                              </w:p>
                            </w:txbxContent>
                          </wps:txbx>
                          <wps:bodyPr wrap="square" tIns="10800" bIns="10800">
                            <a:noAutofit/>
                          </wps:bodyPr>
                        </wps:wsp>
                        <wps:wsp>
                          <wps:cNvSpPr txBox="1"/>
                          <wps:spPr>
                            <a:xfrm>
                              <a:off x="79992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过程</w:t>
                                </w:r>
                              </w:p>
                            </w:txbxContent>
                          </wps:txbx>
                          <wps:bodyPr wrap="square" tIns="10800" bIns="10800">
                            <a:noAutofit/>
                          </wps:bodyPr>
                        </wps:wsp>
                        <wps:wsp>
                          <wps:cNvSpPr txBox="1"/>
                          <wps:spPr>
                            <a:xfrm>
                              <a:off x="160020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投入</w:t>
                                </w:r>
                              </w:p>
                            </w:txbxContent>
                          </wps:txbx>
                          <wps:bodyPr wrap="square" tIns="10800" bIns="10800">
                            <a:noAutofit/>
                          </wps:bodyPr>
                        </wps:wsp>
                        <wps:wsp>
                          <wps:cNvSpPr/>
                          <wps:spPr>
                            <a:xfrm flipH="1">
                              <a:off x="1371600" y="99000"/>
                              <a:ext cx="2286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571320" y="99000"/>
                              <a:ext cx="228600" cy="0"/>
                            </a:xfrm>
                            <a:prstGeom prst="line">
                              <a:avLst/>
                            </a:prstGeom>
                            <a:ln w="9360">
                              <a:solidFill>
                                <a:srgbClr val="000000"/>
                              </a:solidFill>
                              <a:miter/>
                              <a:tailEnd len="med" type="triangle" w="med"/>
                            </a:ln>
                          </wps:spPr>
                          <wps:style>
                            <a:lnRef idx="0"/>
                            <a:fillRef idx="0"/>
                            <a:effectRef idx="0"/>
                            <a:fontRef idx="minor"/>
                          </wps:style>
                          <wps:bodyPr/>
                        </wps:wsp>
                      </wpg:grpSp>
                      <wps:wsp>
                        <wps:cNvSpPr/>
                        <wps:spPr>
                          <a:xfrm>
                            <a:off x="1089720" y="2575440"/>
                            <a:ext cx="3999960" cy="395640"/>
                          </a:xfrm>
                          <a:prstGeom prst="rect">
                            <a:avLst/>
                          </a:prstGeom>
                          <a:solidFill>
                            <a:srgbClr val="ffffff"/>
                          </a:solidFill>
                          <a:ln w="9360">
                            <a:solidFill>
                              <a:srgbClr val="000000"/>
                            </a:solidFill>
                            <a:miter/>
                          </a:ln>
                        </wps:spPr>
                        <wps:style>
                          <a:lnRef idx="0"/>
                          <a:fillRef idx="0"/>
                          <a:effectRef idx="0"/>
                          <a:fontRef idx="minor"/>
                        </wps:style>
                        <wps:bodyPr/>
                      </wps:wsp>
                      <wps:wsp>
                        <wps:cNvSpPr txBox="1"/>
                        <wps:spPr>
                          <a:xfrm>
                            <a:off x="3604320" y="2673360"/>
                            <a:ext cx="1257480" cy="198720"/>
                          </a:xfrm>
                          <a:prstGeom prst="rect">
                            <a:avLst/>
                          </a:prstGeom>
                          <a:solidFill>
                            <a:srgbClr val="ffffff"/>
                          </a:solidFill>
                          <a:ln w="9360">
                            <a:solidFill>
                              <a:srgbClr val="000000"/>
                            </a:solidFill>
                            <a:miter/>
                          </a:ln>
                        </wps:spPr>
                        <wps:txbx>
                          <w:txbxContent>
                            <w:p>
                              <w:pPr>
                                <w:overflowPunct w:val="false"/>
                                <w:bidi w:val="0"/>
                                <w:jc w:val="center"/>
                                <w:rPr/>
                              </w:pPr>
                              <w:r>
                                <w:rPr>
                                  <w:sz w:val="18"/>
                                  <w:kern w:val="2"/>
                                  <w:szCs w:val="18"/>
                                  <w:rFonts w:ascii="Times New Roman" w:hAnsi="Times New Roman" w:eastAsia="宋体" w:cs="Times New Roman"/>
                                  <w:color w:val="auto"/>
                                  <w:lang w:val="en-US" w:eastAsia="zh-CN" w:bidi="ar-SA"/>
                                </w:rPr>
                                <w:t>KPI指标</w:t>
                              </w:r>
                            </w:p>
                          </w:txbxContent>
                        </wps:txbx>
                        <wps:bodyPr wrap="square" tIns="10800" bIns="10800">
                          <a:noAutofit/>
                        </wps:bodyPr>
                      </wps:wsp>
                      <wpg:grpSp>
                        <wpg:cNvGrpSpPr/>
                        <wpg:grpSpPr>
                          <a:xfrm>
                            <a:off x="1203480" y="2674080"/>
                            <a:ext cx="2171880" cy="198000"/>
                          </a:xfrm>
                        </wpg:grpSpPr>
                        <wps:wsp>
                          <wps:cNvSpPr txBox="1"/>
                          <wps:spPr>
                            <a:xfrm>
                              <a:off x="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结果</w:t>
                                </w:r>
                              </w:p>
                            </w:txbxContent>
                          </wps:txbx>
                          <wps:bodyPr wrap="square" tIns="10800" bIns="10800">
                            <a:noAutofit/>
                          </wps:bodyPr>
                        </wps:wsp>
                        <wps:wsp>
                          <wps:cNvSpPr txBox="1"/>
                          <wps:spPr>
                            <a:xfrm>
                              <a:off x="79992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过程</w:t>
                                </w:r>
                              </w:p>
                            </w:txbxContent>
                          </wps:txbx>
                          <wps:bodyPr wrap="square" tIns="10800" bIns="10800">
                            <a:noAutofit/>
                          </wps:bodyPr>
                        </wps:wsp>
                        <wps:wsp>
                          <wps:cNvSpPr txBox="1"/>
                          <wps:spPr>
                            <a:xfrm>
                              <a:off x="160020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投入</w:t>
                                </w:r>
                              </w:p>
                            </w:txbxContent>
                          </wps:txbx>
                          <wps:bodyPr wrap="square" tIns="10800" bIns="10800">
                            <a:noAutofit/>
                          </wps:bodyPr>
                        </wps:wsp>
                        <wps:wsp>
                          <wps:cNvSpPr/>
                          <wps:spPr>
                            <a:xfrm flipH="1">
                              <a:off x="1371600" y="99000"/>
                              <a:ext cx="2286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571320" y="99000"/>
                              <a:ext cx="228600" cy="0"/>
                            </a:xfrm>
                            <a:prstGeom prst="line">
                              <a:avLst/>
                            </a:prstGeom>
                            <a:ln w="9360">
                              <a:solidFill>
                                <a:srgbClr val="000000"/>
                              </a:solidFill>
                              <a:miter/>
                              <a:tailEnd len="med" type="triangle" w="med"/>
                            </a:ln>
                          </wps:spPr>
                          <wps:style>
                            <a:lnRef idx="0"/>
                            <a:fillRef idx="0"/>
                            <a:effectRef idx="0"/>
                            <a:fontRef idx="minor"/>
                          </wps:style>
                          <wps:bodyPr/>
                        </wps:wsp>
                      </wpg:grpSp>
                      <wps:wsp>
                        <wps:cNvSpPr/>
                        <wps:spPr>
                          <a:xfrm>
                            <a:off x="1089720" y="3565440"/>
                            <a:ext cx="3999960" cy="396360"/>
                          </a:xfrm>
                          <a:prstGeom prst="rect">
                            <a:avLst/>
                          </a:prstGeom>
                          <a:solidFill>
                            <a:srgbClr val="ffffff"/>
                          </a:solidFill>
                          <a:ln w="9360">
                            <a:solidFill>
                              <a:srgbClr val="000000"/>
                            </a:solidFill>
                            <a:miter/>
                          </a:ln>
                        </wps:spPr>
                        <wps:style>
                          <a:lnRef idx="0"/>
                          <a:fillRef idx="0"/>
                          <a:effectRef idx="0"/>
                          <a:fontRef idx="minor"/>
                        </wps:style>
                        <wps:bodyPr/>
                      </wps:wsp>
                      <wps:wsp>
                        <wps:cNvSpPr txBox="1"/>
                        <wps:spPr>
                          <a:xfrm>
                            <a:off x="3604320" y="3664440"/>
                            <a:ext cx="1257480" cy="198000"/>
                          </a:xfrm>
                          <a:prstGeom prst="rect">
                            <a:avLst/>
                          </a:prstGeom>
                          <a:solidFill>
                            <a:srgbClr val="ffffff"/>
                          </a:solidFill>
                          <a:ln w="9360">
                            <a:solidFill>
                              <a:srgbClr val="000000"/>
                            </a:solidFill>
                            <a:miter/>
                          </a:ln>
                        </wps:spPr>
                        <wps:txbx>
                          <w:txbxContent>
                            <w:p>
                              <w:pPr>
                                <w:overflowPunct w:val="false"/>
                                <w:bidi w:val="0"/>
                                <w:jc w:val="center"/>
                                <w:rPr/>
                              </w:pPr>
                              <w:r>
                                <w:rPr>
                                  <w:sz w:val="18"/>
                                  <w:kern w:val="2"/>
                                  <w:szCs w:val="18"/>
                                  <w:rFonts w:ascii="Times New Roman" w:hAnsi="Times New Roman" w:eastAsia="宋体" w:cs="Times New Roman"/>
                                  <w:color w:val="auto"/>
                                  <w:lang w:val="en-US" w:eastAsia="zh-CN" w:bidi="ar-SA"/>
                                </w:rPr>
                                <w:t>KPI指标</w:t>
                              </w:r>
                            </w:p>
                          </w:txbxContent>
                        </wps:txbx>
                        <wps:bodyPr wrap="square" tIns="10800" bIns="10800">
                          <a:noAutofit/>
                        </wps:bodyPr>
                      </wps:wsp>
                      <wpg:grpSp>
                        <wpg:cNvGrpSpPr/>
                        <wpg:grpSpPr>
                          <a:xfrm>
                            <a:off x="1203480" y="3664440"/>
                            <a:ext cx="2171880" cy="198000"/>
                          </a:xfrm>
                        </wpg:grpSpPr>
                        <wps:wsp>
                          <wps:cNvSpPr txBox="1"/>
                          <wps:spPr>
                            <a:xfrm>
                              <a:off x="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结果</w:t>
                                </w:r>
                              </w:p>
                            </w:txbxContent>
                          </wps:txbx>
                          <wps:bodyPr wrap="square" tIns="10800" bIns="10800">
                            <a:noAutofit/>
                          </wps:bodyPr>
                        </wps:wsp>
                        <wps:wsp>
                          <wps:cNvSpPr txBox="1"/>
                          <wps:spPr>
                            <a:xfrm>
                              <a:off x="79992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过程</w:t>
                                </w:r>
                              </w:p>
                            </w:txbxContent>
                          </wps:txbx>
                          <wps:bodyPr wrap="square" tIns="10800" bIns="10800">
                            <a:noAutofit/>
                          </wps:bodyPr>
                        </wps:wsp>
                        <wps:wsp>
                          <wps:cNvSpPr txBox="1"/>
                          <wps:spPr>
                            <a:xfrm>
                              <a:off x="1600200" y="0"/>
                              <a:ext cx="571680" cy="198000"/>
                            </a:xfrm>
                            <a:prstGeom prst="rect">
                              <a:avLst/>
                            </a:prstGeom>
                            <a:solidFill>
                              <a:srgbClr val="ffffff"/>
                            </a:solidFill>
                            <a:ln w="9360">
                              <a:solidFill>
                                <a:srgbClr val="000000"/>
                              </a:solidFill>
                              <a:miter/>
                            </a:ln>
                          </wps:spPr>
                          <wps:txbx>
                            <w:txbxContent>
                              <w:p>
                                <w:pPr>
                                  <w:overflowPunct w:val="false"/>
                                  <w:bidi w:val="0"/>
                                  <w:jc w:val="center"/>
                                  <w:rPr/>
                                </w:pPr>
                                <w:r>
                                  <w:rPr>
                                    <w:kern w:val="2"/>
                                    <w:sz w:val="18"/>
                                    <w:szCs w:val="18"/>
                                    <w:rFonts w:ascii="Times New Roman" w:hAnsi="Times New Roman" w:eastAsia="宋体" w:cs="Times New Roman"/>
                                    <w:color w:val="auto"/>
                                    <w:lang w:val="en-US" w:eastAsia="zh-CN" w:bidi="ar-SA"/>
                                  </w:rPr>
                                  <w:t>投入</w:t>
                                </w:r>
                              </w:p>
                            </w:txbxContent>
                          </wps:txbx>
                          <wps:bodyPr wrap="square" tIns="10800" bIns="10800">
                            <a:noAutofit/>
                          </wps:bodyPr>
                        </wps:wsp>
                        <wps:wsp>
                          <wps:cNvSpPr/>
                          <wps:spPr>
                            <a:xfrm flipH="1">
                              <a:off x="1371600" y="99360"/>
                              <a:ext cx="2286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571320" y="99360"/>
                              <a:ext cx="228600" cy="0"/>
                            </a:xfrm>
                            <a:prstGeom prst="line">
                              <a:avLst/>
                            </a:prstGeom>
                            <a:ln w="9360">
                              <a:solidFill>
                                <a:srgbClr val="000000"/>
                              </a:solidFill>
                              <a:miter/>
                              <a:tailEnd len="med" type="triangle" w="med"/>
                            </a:ln>
                          </wps:spPr>
                          <wps:style>
                            <a:lnRef idx="0"/>
                            <a:fillRef idx="0"/>
                            <a:effectRef idx="0"/>
                            <a:fontRef idx="minor"/>
                          </wps:style>
                          <wps:bodyPr/>
                        </wps:wsp>
                      </wpg:grpSp>
                      <wps:wsp>
                        <wps:cNvSpPr txBox="1"/>
                        <wps:spPr>
                          <a:xfrm>
                            <a:off x="1089000" y="2079720"/>
                            <a:ext cx="3999960" cy="396360"/>
                          </a:xfrm>
                          <a:prstGeom prst="rect">
                            <a:avLst/>
                          </a:prstGeom>
                          <a:solidFill>
                            <a:srgbClr val="ffffff"/>
                          </a:solidFill>
                          <a:ln w="9360">
                            <a:solidFill>
                              <a:srgbClr val="000000"/>
                            </a:solidFill>
                            <a:miter/>
                          </a:ln>
                        </wps:spPr>
                        <wps:txb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exact" w:line="240"/>
                                <w:jc w:val="center"/>
                                <w:rPr/>
                              </w:pPr>
                              <w:r>
                                <w:rPr>
                                  <w:kern w:val="2"/>
                                  <w:sz w:val="18"/>
                                  <w:szCs w:val="24"/>
                                  <w:rFonts w:ascii="Times New Roman" w:hAnsi="Times New Roman" w:eastAsia="宋体" w:cs="Times New Roman"/>
                                  <w:color w:val="auto"/>
                                  <w:lang w:val="en-US" w:eastAsia="zh-CN" w:bidi="ar-SA"/>
                                </w:rPr>
                                <w:t>部门绩效目标</w:t>
                              </w:r>
                            </w:p>
                          </w:txbxContent>
                        </wps:txbx>
                        <wps:bodyPr wrap="square">
                          <a:noAutofit/>
                        </wps:bodyPr>
                      </wps:wsp>
                      <wps:wsp>
                        <wps:cNvSpPr txBox="1"/>
                        <wps:spPr>
                          <a:xfrm>
                            <a:off x="1089000" y="3069720"/>
                            <a:ext cx="3999960" cy="396720"/>
                          </a:xfrm>
                          <a:prstGeom prst="rect">
                            <a:avLst/>
                          </a:prstGeom>
                          <a:solidFill>
                            <a:srgbClr val="ffffff"/>
                          </a:solidFill>
                          <a:ln w="9360">
                            <a:solidFill>
                              <a:srgbClr val="000000"/>
                            </a:solidFill>
                            <a:miter/>
                          </a:ln>
                        </wps:spPr>
                        <wps:txb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exact" w:line="240"/>
                                <w:jc w:val="center"/>
                                <w:rPr/>
                              </w:pPr>
                              <w:r>
                                <w:rPr>
                                  <w:kern w:val="2"/>
                                  <w:sz w:val="18"/>
                                  <w:szCs w:val="24"/>
                                  <w:rFonts w:ascii="Times New Roman" w:hAnsi="Times New Roman" w:eastAsia="宋体" w:cs="Times New Roman"/>
                                  <w:color w:val="auto"/>
                                  <w:lang w:val="en-US" w:eastAsia="zh-CN" w:bidi="ar-SA"/>
                                </w:rPr>
                                <w:t>职位绩效目标</w:t>
                              </w:r>
                            </w:p>
                          </w:txbxContent>
                        </wps:txbx>
                        <wps:bodyPr wrap="square">
                          <a:noAutofit/>
                        </wps:bodyPr>
                      </wps:wsp>
                      <wps:wsp>
                        <wps:cNvSpPr/>
                        <wps:spPr>
                          <a:xfrm flipH="1">
                            <a:off x="860400" y="1783800"/>
                            <a:ext cx="34236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860400" y="2773080"/>
                            <a:ext cx="34236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860400" y="3763800"/>
                            <a:ext cx="34236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V="1">
                            <a:off x="633240" y="890280"/>
                            <a:ext cx="0" cy="198720"/>
                          </a:xfrm>
                          <a:prstGeom prst="line">
                            <a:avLst/>
                          </a:prstGeom>
                          <a:ln w="9360">
                            <a:solidFill>
                              <a:srgbClr val="000000"/>
                            </a:solidFill>
                            <a:miter/>
                          </a:ln>
                        </wps:spPr>
                        <wps:style>
                          <a:lnRef idx="0"/>
                          <a:fillRef idx="0"/>
                          <a:effectRef idx="0"/>
                          <a:fontRef idx="minor"/>
                        </wps:style>
                        <wps:bodyPr/>
                      </wps:wsp>
                      <wps:wsp>
                        <wps:cNvSpPr/>
                        <wps:spPr>
                          <a:xfrm>
                            <a:off x="633240" y="891000"/>
                            <a:ext cx="45648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089680" y="891000"/>
                            <a:ext cx="343440" cy="0"/>
                          </a:xfrm>
                          <a:prstGeom prst="line">
                            <a:avLst/>
                          </a:prstGeom>
                          <a:ln w="9360">
                            <a:solidFill>
                              <a:srgbClr val="000000"/>
                            </a:solidFill>
                            <a:miter/>
                          </a:ln>
                        </wps:spPr>
                        <wps:style>
                          <a:lnRef idx="0"/>
                          <a:fillRef idx="0"/>
                          <a:effectRef idx="0"/>
                          <a:fontRef idx="minor"/>
                        </wps:style>
                        <wps:bodyPr/>
                      </wps:wsp>
                      <wps:wsp>
                        <wps:cNvSpPr/>
                        <wps:spPr>
                          <a:xfrm>
                            <a:off x="5433120" y="891000"/>
                            <a:ext cx="0" cy="19872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4861080" y="1783800"/>
                            <a:ext cx="45648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4861080" y="2773080"/>
                            <a:ext cx="456480" cy="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4861080" y="3763800"/>
                            <a:ext cx="45648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5203800" y="891000"/>
                            <a:ext cx="0" cy="2383200"/>
                          </a:xfrm>
                          <a:prstGeom prst="line">
                            <a:avLst/>
                          </a:prstGeom>
                          <a:ln w="9360">
                            <a:solidFill>
                              <a:srgbClr val="000000"/>
                            </a:solidFill>
                            <a:miter/>
                            <a:headEnd len="med" type="oval" w="med"/>
                            <a:tailEnd len="med" type="triangle" w="med"/>
                          </a:ln>
                        </wps:spPr>
                        <wps:style>
                          <a:lnRef idx="0"/>
                          <a:fillRef idx="0"/>
                          <a:effectRef idx="0"/>
                          <a:fontRef idx="minor"/>
                        </wps:style>
                        <wps:bodyPr/>
                      </wps:wsp>
                      <wps:wsp>
                        <wps:cNvSpPr/>
                        <wps:spPr>
                          <a:xfrm flipH="1">
                            <a:off x="3718080" y="3306600"/>
                            <a:ext cx="1486080" cy="0"/>
                          </a:xfrm>
                          <a:prstGeom prst="line">
                            <a:avLst/>
                          </a:prstGeom>
                          <a:ln w="9360">
                            <a:solidFill>
                              <a:srgbClr val="000000"/>
                            </a:solidFill>
                            <a:miter/>
                            <a:headEnd len="med" type="oval" w="med"/>
                            <a:tailEnd len="med" type="triangle" w="med"/>
                          </a:ln>
                        </wps:spPr>
                        <wps:style>
                          <a:lnRef idx="0"/>
                          <a:fillRef idx="0"/>
                          <a:effectRef idx="0"/>
                          <a:fontRef idx="minor"/>
                        </wps:style>
                        <wps:bodyPr/>
                      </wps:wsp>
                      <wps:wsp>
                        <wps:cNvSpPr/>
                        <wps:spPr>
                          <a:xfrm flipH="1">
                            <a:off x="3718080" y="2334960"/>
                            <a:ext cx="1486080" cy="0"/>
                          </a:xfrm>
                          <a:prstGeom prst="line">
                            <a:avLst/>
                          </a:prstGeom>
                          <a:ln w="9360">
                            <a:solidFill>
                              <a:srgbClr val="000000"/>
                            </a:solidFill>
                            <a:miter/>
                            <a:headEnd len="med" type="oval" w="med"/>
                            <a:tailEnd len="med" type="triangle" w="med"/>
                          </a:ln>
                        </wps:spPr>
                        <wps:style>
                          <a:lnRef idx="0"/>
                          <a:fillRef idx="0"/>
                          <a:effectRef idx="0"/>
                          <a:fontRef idx="minor"/>
                        </wps:style>
                        <wps:bodyPr/>
                      </wps:wsp>
                      <wps:wsp>
                        <wps:cNvSpPr/>
                        <wps:spPr>
                          <a:xfrm>
                            <a:off x="2462040" y="2178720"/>
                            <a:ext cx="1256040" cy="297360"/>
                          </a:xfrm>
                          <a:prstGeom prst="rect">
                            <a:avLst/>
                          </a:prstGeom>
                          <a:noFill/>
                          <a:ln w="9360">
                            <a:solidFill>
                              <a:srgbClr val="000000"/>
                            </a:solidFill>
                            <a:miter/>
                          </a:ln>
                        </wps:spPr>
                        <wps:style>
                          <a:lnRef idx="0"/>
                          <a:fillRef idx="0"/>
                          <a:effectRef idx="0"/>
                          <a:fontRef idx="minor"/>
                        </wps:style>
                        <wps:bodyPr/>
                      </wps:wsp>
                      <wps:wsp>
                        <wps:cNvSpPr/>
                        <wps:spPr>
                          <a:xfrm>
                            <a:off x="2462040" y="3169800"/>
                            <a:ext cx="1256040" cy="297360"/>
                          </a:xfrm>
                          <a:prstGeom prst="rect">
                            <a:avLst/>
                          </a:prstGeom>
                          <a:noFill/>
                          <a:ln w="9360">
                            <a:solidFill>
                              <a:srgbClr val="000000"/>
                            </a:solidFill>
                            <a:miter/>
                          </a:ln>
                        </wps:spPr>
                        <wps:style>
                          <a:lnRef idx="0"/>
                          <a:fillRef idx="0"/>
                          <a:effectRef idx="0"/>
                          <a:fontRef idx="minor"/>
                        </wps:style>
                        <wps:bodyPr/>
                      </wps:wsp>
                      <wps:wsp>
                        <wps:cNvSpPr/>
                        <wps:spPr>
                          <a:xfrm>
                            <a:off x="975240" y="1485360"/>
                            <a:ext cx="1143000" cy="2674800"/>
                          </a:xfrm>
                          <a:custGeom>
                            <a:avLst/>
                            <a:gdLst/>
                            <a:ahLst/>
                            <a:rect l="0" t="0" r="r" b="b"/>
                            <a:pathLst>
                              <a:path w="1801" h="4214">
                                <a:moveTo>
                                  <a:pt x="330" y="0"/>
                                </a:moveTo>
                                <a:lnTo>
                                  <a:pt x="330" y="3549"/>
                                </a:lnTo>
                                <a:lnTo>
                                  <a:pt x="0" y="3549"/>
                                </a:lnTo>
                                <a:lnTo>
                                  <a:pt x="900" y="4213"/>
                                </a:lnTo>
                                <a:lnTo>
                                  <a:pt x="1800" y="3549"/>
                                </a:lnTo>
                                <a:lnTo>
                                  <a:pt x="1470" y="3549"/>
                                </a:lnTo>
                                <a:lnTo>
                                  <a:pt x="1470" y="0"/>
                                </a:lnTo>
                                <a:lnTo>
                                  <a:pt x="330" y="0"/>
                                </a:lnTo>
                              </a:path>
                            </a:pathLst>
                          </a:custGeom>
                          <a:noFill/>
                          <a:ln w="9360">
                            <a:solidFill>
                              <a:srgbClr val="000000"/>
                            </a:solidFill>
                            <a:prstDash val="sysDot"/>
                            <a:miter/>
                          </a:ln>
                        </wps:spPr>
                        <wps:style>
                          <a:lnRef idx="0"/>
                          <a:fillRef idx="0"/>
                          <a:effectRef idx="0"/>
                          <a:fontRef idx="minor"/>
                        </wps:style>
                        <wps:bodyPr/>
                      </wps:wsp>
                      <wps:wsp>
                        <wps:cNvSpPr/>
                        <wps:spPr>
                          <a:xfrm>
                            <a:off x="2004120" y="1485360"/>
                            <a:ext cx="1142280" cy="2674800"/>
                          </a:xfrm>
                          <a:custGeom>
                            <a:avLst/>
                            <a:gdLst/>
                            <a:ahLst/>
                            <a:rect l="0" t="0" r="r" b="b"/>
                            <a:pathLst>
                              <a:path w="1801" h="4214">
                                <a:moveTo>
                                  <a:pt x="330" y="0"/>
                                </a:moveTo>
                                <a:lnTo>
                                  <a:pt x="330" y="3549"/>
                                </a:lnTo>
                                <a:lnTo>
                                  <a:pt x="0" y="3549"/>
                                </a:lnTo>
                                <a:lnTo>
                                  <a:pt x="900" y="4213"/>
                                </a:lnTo>
                                <a:lnTo>
                                  <a:pt x="1800" y="3549"/>
                                </a:lnTo>
                                <a:lnTo>
                                  <a:pt x="1470" y="3549"/>
                                </a:lnTo>
                                <a:lnTo>
                                  <a:pt x="1470" y="0"/>
                                </a:lnTo>
                                <a:lnTo>
                                  <a:pt x="330" y="0"/>
                                </a:lnTo>
                              </a:path>
                            </a:pathLst>
                          </a:custGeom>
                          <a:noFill/>
                          <a:ln w="9360">
                            <a:solidFill>
                              <a:srgbClr val="000000"/>
                            </a:solidFill>
                            <a:prstDash val="sysDot"/>
                            <a:miter/>
                          </a:ln>
                        </wps:spPr>
                        <wps:style>
                          <a:lnRef idx="0"/>
                          <a:fillRef idx="0"/>
                          <a:effectRef idx="0"/>
                          <a:fontRef idx="minor"/>
                        </wps:style>
                        <wps:bodyPr/>
                      </wps:wsp>
                      <wps:wsp>
                        <wps:cNvSpPr/>
                        <wps:spPr>
                          <a:xfrm>
                            <a:off x="3032640" y="1485360"/>
                            <a:ext cx="1143000" cy="2674800"/>
                          </a:xfrm>
                          <a:custGeom>
                            <a:avLst/>
                            <a:gdLst/>
                            <a:ahLst/>
                            <a:rect l="0" t="0" r="r" b="b"/>
                            <a:pathLst>
                              <a:path w="1801" h="4214">
                                <a:moveTo>
                                  <a:pt x="330" y="0"/>
                                </a:moveTo>
                                <a:lnTo>
                                  <a:pt x="330" y="3549"/>
                                </a:lnTo>
                                <a:lnTo>
                                  <a:pt x="0" y="3549"/>
                                </a:lnTo>
                                <a:lnTo>
                                  <a:pt x="900" y="4213"/>
                                </a:lnTo>
                                <a:lnTo>
                                  <a:pt x="1800" y="3549"/>
                                </a:lnTo>
                                <a:lnTo>
                                  <a:pt x="1470" y="3549"/>
                                </a:lnTo>
                                <a:lnTo>
                                  <a:pt x="1470" y="0"/>
                                </a:lnTo>
                                <a:lnTo>
                                  <a:pt x="330" y="0"/>
                                </a:lnTo>
                              </a:path>
                            </a:pathLst>
                          </a:custGeom>
                          <a:noFill/>
                          <a:ln w="9360">
                            <a:solidFill>
                              <a:srgbClr val="000000"/>
                            </a:solidFill>
                            <a:prstDash val="sysDot"/>
                            <a:miter/>
                          </a:ln>
                        </wps:spPr>
                        <wps:style>
                          <a:lnRef idx="0"/>
                          <a:fillRef idx="0"/>
                          <a:effectRef idx="0"/>
                          <a:fontRef idx="minor"/>
                        </wps:style>
                        <wps:bodyPr/>
                      </wps:wsp>
                      <wps:wsp>
                        <wps:cNvSpPr/>
                        <wps:spPr>
                          <a:xfrm>
                            <a:off x="4060800" y="1485360"/>
                            <a:ext cx="1143000" cy="2674800"/>
                          </a:xfrm>
                          <a:custGeom>
                            <a:avLst/>
                            <a:gdLst/>
                            <a:ahLst/>
                            <a:rect l="0" t="0" r="r" b="b"/>
                            <a:pathLst>
                              <a:path w="1801" h="4214">
                                <a:moveTo>
                                  <a:pt x="330" y="0"/>
                                </a:moveTo>
                                <a:lnTo>
                                  <a:pt x="330" y="3549"/>
                                </a:lnTo>
                                <a:lnTo>
                                  <a:pt x="0" y="3549"/>
                                </a:lnTo>
                                <a:lnTo>
                                  <a:pt x="900" y="4213"/>
                                </a:lnTo>
                                <a:lnTo>
                                  <a:pt x="1800" y="3549"/>
                                </a:lnTo>
                                <a:lnTo>
                                  <a:pt x="1470" y="3549"/>
                                </a:lnTo>
                                <a:lnTo>
                                  <a:pt x="1470" y="0"/>
                                </a:lnTo>
                                <a:lnTo>
                                  <a:pt x="330" y="0"/>
                                </a:lnTo>
                              </a:path>
                            </a:pathLst>
                          </a:custGeom>
                          <a:noFill/>
                          <a:ln w="9360">
                            <a:solidFill>
                              <a:srgbClr val="000000"/>
                            </a:solidFill>
                            <a:prstDash val="sysDot"/>
                            <a:miter/>
                          </a:ln>
                        </wps:spPr>
                        <wps:style>
                          <a:lnRef idx="0"/>
                          <a:fillRef idx="0"/>
                          <a:effectRef idx="0"/>
                          <a:fontRef idx="minor"/>
                        </wps:style>
                        <wps:bodyPr/>
                      </wps:wsp>
                    </wpg:wgp>
                  </a:graphicData>
                </a:graphic>
              </wp:inline>
            </w:drawing>
          </mc:Choice>
          <mc:Fallback>
            <w:pict>
              <v:group id="shape_0" alt="画布 225" style="position:absolute;margin-left:0pt;margin-top:0pt;width:474.35pt;height:346.15pt" coordorigin="0,0" coordsize="9487,6923">
                <v:rect id="shape_0" stroked="f" style="position:absolute;left:0;top:0;width:9486;height:6922;mso-wrap-style:none;v-text-anchor:middle;mso-position-horizontal-relative:char">
                  <v:fill o:detectmouseclick="t" on="false"/>
                  <v:stroke color="#3465a4" joinstyle="round" endcap="flat"/>
                  <w10:wrap type="none"/>
                </v:rect>
                <v:shapetype id="_x0000_t202" coordsize="21600,21600" o:spt="202" path="m,l,21600l21600,21600l21600,xe">
                  <v:stroke joinstyle="miter"/>
                  <v:path gradientshapeok="t" o:connecttype="rect"/>
                </v:shapetype>
                <v:shape id="shape_0" fillcolor="white" stroked="f" style="position:absolute;left:456;top:0;width:2159;height:467;mso-wrap-style:square;v-text-anchor:top;mso-position-horizontal-relative:char" type="shapetype_202">
                  <v:textbox>
                    <w:txbxContent>
                      <w:p>
                        <w:pPr>
                          <w:overflowPunct w:val="false"/>
                          <w:bidi w:val="0"/>
                          <w:jc w:val="both"/>
                          <w:rPr/>
                        </w:pPr>
                        <w:r>
                          <w:rPr>
                            <w:sz w:val="18"/>
                            <w:b/>
                            <w:kern w:val="2"/>
                            <w:szCs w:val="24"/>
                            <w:bCs/>
                            <w:rFonts w:ascii="Times New Roman" w:hAnsi="Times New Roman" w:eastAsia="宋体" w:cs="Times New Roman"/>
                            <w:color w:val="auto"/>
                            <w:lang w:val="en-US" w:eastAsia="zh-CN" w:bidi="ar-SA"/>
                          </w:rPr>
                          <w:t>KPI运行流程图（3）</w:t>
                        </w:r>
                      </w:p>
                    </w:txbxContent>
                  </v:textbox>
                  <v:fill o:detectmouseclick="t" type="solid" color2="black"/>
                  <v:stroke color="#3465a4" joinstyle="round" endcap="flat"/>
                </v:shape>
                <v:shape id="shape_0" fillcolor="white" stroked="t" style="position:absolute;left:1715;top:467;width:6298;height:466;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公司愿景/使命</w:t>
                        </w:r>
                      </w:p>
                    </w:txbxContent>
                  </v:textbox>
                  <v:fill o:detectmouseclick="t" type="solid" color2="black"/>
                  <v:stroke color="black" weight="9360" joinstyle="miter" endcap="flat"/>
                </v:shape>
                <v:shape id="shape_0" fillcolor="white" stroked="t" style="position:absolute;left:1716;top:1871;width:1439;height:467;mso-wrap-style:square;v-text-anchor:top;mso-position-horizontal-relative:char" type="shapetype_202">
                  <v:textbox>
                    <w:txbxContent>
                      <w:p>
                        <w:pPr>
                          <w:overflowPunct w:val="false"/>
                          <w:bidi w:val="0"/>
                          <w:jc w:val="center"/>
                          <w:rPr/>
                        </w:pPr>
                        <w:r>
                          <w:rPr>
                            <w:kern w:val="2"/>
                            <w:sz w:val="21"/>
                            <w:szCs w:val="24"/>
                            <w:rFonts w:ascii="Times New Roman" w:hAnsi="Times New Roman" w:eastAsia="宋体" w:cs="Times New Roman"/>
                            <w:color w:val="auto"/>
                            <w:lang w:val="en-US" w:eastAsia="zh-CN" w:bidi="ar-SA"/>
                          </w:rPr>
                          <w:t>财务</w:t>
                        </w:r>
                      </w:p>
                    </w:txbxContent>
                  </v:textbox>
                  <v:fill o:detectmouseclick="t" type="solid" color2="black"/>
                  <v:stroke color="black" weight="9360" joinstyle="miter" endcap="flat"/>
                </v:shape>
                <v:shape id="shape_0" fillcolor="white" stroked="t" style="position:absolute;left:6575;top:1871;width:1438;height:467;mso-wrap-style:square;v-text-anchor:top;mso-position-horizontal-relative:char" type="shapetype_202">
                  <v:textbox>
                    <w:txbxContent>
                      <w:p>
                        <w:pPr>
                          <w:overflowPunct w:val="false"/>
                          <w:bidi w:val="0"/>
                          <w:jc w:val="both"/>
                          <w:rPr/>
                        </w:pPr>
                        <w:r>
                          <w:rPr>
                            <w:kern w:val="2"/>
                            <w:sz w:val="21"/>
                            <w:szCs w:val="24"/>
                            <w:rFonts w:ascii="Times New Roman" w:hAnsi="Times New Roman" w:eastAsia="宋体" w:cs="Times New Roman"/>
                            <w:color w:val="auto"/>
                            <w:lang w:val="en-US" w:eastAsia="zh-CN" w:bidi="ar-SA"/>
                          </w:rPr>
                          <w:t>学习与成长</w:t>
                        </w:r>
                      </w:p>
                    </w:txbxContent>
                  </v:textbox>
                  <v:fill o:detectmouseclick="t" type="solid" color2="black"/>
                  <v:stroke color="black" weight="9360" joinstyle="miter" endcap="flat"/>
                </v:shape>
                <v:shape id="shape_0" fillcolor="white" stroked="t" style="position:absolute;left:4955;top:1871;width:1439;height:467;mso-wrap-style:square;v-text-anchor:top;mso-position-horizontal-relative:char" type="shapetype_202">
                  <v:textbox>
                    <w:txbxContent>
                      <w:p>
                        <w:pPr>
                          <w:overflowPunct w:val="false"/>
                          <w:bidi w:val="0"/>
                          <w:jc w:val="center"/>
                          <w:rPr/>
                        </w:pPr>
                        <w:r>
                          <w:rPr>
                            <w:kern w:val="2"/>
                            <w:sz w:val="21"/>
                            <w:szCs w:val="24"/>
                            <w:rFonts w:ascii="Times New Roman" w:hAnsi="Times New Roman" w:eastAsia="宋体" w:cs="Times New Roman"/>
                            <w:color w:val="auto"/>
                            <w:lang w:val="en-US" w:eastAsia="zh-CN" w:bidi="ar-SA"/>
                          </w:rPr>
                          <w:t>客户</w:t>
                        </w:r>
                      </w:p>
                    </w:txbxContent>
                  </v:textbox>
                  <v:fill o:detectmouseclick="t" type="solid" color2="black"/>
                  <v:stroke color="black" weight="9360" joinstyle="miter" endcap="flat"/>
                </v:shape>
                <v:shape id="shape_0" fillcolor="white" stroked="t" style="position:absolute;left:3336;top:1871;width:1439;height:467;mso-wrap-style:square;v-text-anchor:top;mso-position-horizontal-relative:char" type="shapetype_202">
                  <v:textbox>
                    <w:txbxContent>
                      <w:p>
                        <w:pPr>
                          <w:overflowPunct w:val="false"/>
                          <w:bidi w:val="0"/>
                          <w:jc w:val="center"/>
                          <w:rPr/>
                        </w:pPr>
                        <w:r>
                          <w:rPr>
                            <w:kern w:val="2"/>
                            <w:sz w:val="21"/>
                            <w:szCs w:val="24"/>
                            <w:rFonts w:ascii="Times New Roman" w:hAnsi="Times New Roman" w:eastAsia="宋体" w:cs="Times New Roman"/>
                            <w:color w:val="auto"/>
                            <w:lang w:val="en-US" w:eastAsia="zh-CN" w:bidi="ar-SA"/>
                          </w:rPr>
                          <w:t>内部营运</w:t>
                        </w:r>
                      </w:p>
                    </w:txbxContent>
                  </v:textbox>
                  <v:fill o:detectmouseclick="t" type="solid" color2="black"/>
                  <v:stroke color="black" weight="9360" joinstyle="miter" endcap="flat"/>
                </v:shape>
                <v:shape id="shape_0" fillcolor="white" stroked="t" style="position:absolute;left:714;top:1715;width:641;height:1714;mso-wrap-style:square;v-text-anchor:top;mso-position-horizontal-relative:char" type="shapetype_202">
                  <v:textbox style="layout-flow:vertical">
                    <w:txbxContent>
                      <w:p>
                        <w:pPr>
                          <w:overflowPunct w:val="false"/>
                          <w:bidi w:val="0"/>
                          <w:jc w:val="center"/>
                          <w:rPr/>
                        </w:pPr>
                        <w:r>
                          <w:rPr>
                            <w:kern w:val="2"/>
                            <w:sz w:val="18"/>
                            <w:szCs w:val="24"/>
                            <w:rFonts w:ascii="Times New Roman" w:hAnsi="Times New Roman" w:eastAsia="宋体" w:cs="Times New Roman"/>
                            <w:color w:val="auto"/>
                            <w:lang w:val="en-US" w:eastAsia="zh-CN" w:bidi="ar-SA"/>
                          </w:rPr>
                          <w:t>关键结果领域</w:t>
                        </w:r>
                      </w:p>
                    </w:txbxContent>
                  </v:textbox>
                  <v:fill o:detectmouseclick="t" type="solid" color2="black"/>
                  <v:stroke color="black" weight="9360" joinstyle="miter" endcap="flat"/>
                </v:shape>
                <v:rect id="shape_0" ID="矩形 234" fillcolor="white" stroked="t" style="position:absolute;left:1716;top:2496;width:6298;height:623;mso-wrap-style:none;v-text-anchor:middle;mso-position-horizontal-relative:char">
                  <v:fill o:detectmouseclick="t" type="solid" color2="black"/>
                  <v:stroke color="black" weight="9360" joinstyle="miter" endcap="flat"/>
                </v:rect>
                <v:shape id="shape_0" fillcolor="white" stroked="t" style="position:absolute;left:714;top:3431;width:641;height:1715;mso-wrap-style:square;v-text-anchor:top;mso-position-horizontal-relative:char" type="shapetype_202">
                  <v:textbox style="layout-flow:vertical">
                    <w:txbxContent>
                      <w:p>
                        <w:pPr>
                          <w:overflowPunct w:val="false"/>
                          <w:bidi w:val="0"/>
                          <w:jc w:val="center"/>
                          <w:rPr/>
                        </w:pPr>
                        <w:r>
                          <w:rPr>
                            <w:kern w:val="2"/>
                            <w:sz w:val="21"/>
                            <w:szCs w:val="24"/>
                            <w:rFonts w:ascii="Times New Roman" w:hAnsi="Times New Roman" w:eastAsia="宋体" w:cs="Times New Roman"/>
                            <w:color w:val="auto"/>
                            <w:lang w:val="en-US" w:eastAsia="zh-CN" w:bidi="ar-SA"/>
                          </w:rPr>
                          <w:t>部门绩效</w:t>
                        </w:r>
                      </w:p>
                    </w:txbxContent>
                  </v:textbox>
                  <v:fill o:detectmouseclick="t" type="solid" color2="black"/>
                  <v:stroke color="black" weight="9360" joinstyle="miter" endcap="flat"/>
                </v:shape>
                <v:shape id="shape_0" fillcolor="white" stroked="t" style="position:absolute;left:714;top:5147;width:641;height:1247;mso-wrap-style:square;v-text-anchor:top;mso-position-horizontal-relative:char" type="shapetype_202">
                  <v:textbox style="layout-flow:vertical">
                    <w:txbxContent>
                      <w:p>
                        <w:pPr>
                          <w:overflowPunct w:val="false"/>
                          <w:bidi w:val="0"/>
                          <w:jc w:val="center"/>
                          <w:rPr/>
                        </w:pPr>
                        <w:r>
                          <w:rPr>
                            <w:kern w:val="2"/>
                            <w:sz w:val="18"/>
                            <w:szCs w:val="24"/>
                            <w:rFonts w:ascii="Times New Roman" w:hAnsi="Times New Roman" w:eastAsia="宋体" w:cs="Times New Roman"/>
                            <w:color w:val="auto"/>
                            <w:lang w:val="en-US" w:eastAsia="zh-CN" w:bidi="ar-SA"/>
                          </w:rPr>
                          <w:t>职位绩效</w:t>
                        </w:r>
                      </w:p>
                    </w:txbxContent>
                  </v:textbox>
                  <v:fill o:detectmouseclick="t" type="solid" color2="black"/>
                  <v:stroke color="black" weight="9360" joinstyle="miter" endcap="flat"/>
                </v:shape>
                <v:shape id="shape_0" fillcolor="white" stroked="t" style="position:absolute;left:8375;top:1715;width:693;height:1714;mso-wrap-style:square;v-text-anchor:top;mso-position-horizontal-relative:char" type="shapetype_202">
                  <v:textbox style="layout-flow:vertical">
                    <w:txbxContent>
                      <w:p>
                        <w:pPr>
                          <w:overflowPunct w:val="false"/>
                          <w:bidi w:val="0"/>
                          <w:jc w:val="center"/>
                          <w:rPr/>
                        </w:pPr>
                        <w:r>
                          <w:rPr>
                            <w:kern w:val="2"/>
                            <w:sz w:val="18"/>
                            <w:szCs w:val="18"/>
                            <w:rFonts w:ascii="宋体" w:hAnsi="宋体" w:eastAsia="宋体" w:cs="Times New Roman"/>
                            <w:color w:val="auto"/>
                            <w:lang w:val="en-US" w:eastAsia="zh-CN" w:bidi="ar-SA"/>
                          </w:rPr>
                          <w:t>战略业务单元结构</w:t>
                        </w:r>
                      </w:p>
                    </w:txbxContent>
                  </v:textbox>
                  <v:fill o:detectmouseclick="t" type="solid" color2="black"/>
                  <v:stroke color="black" weight="9360" joinstyle="miter" endcap="flat"/>
                </v:shape>
                <v:shape id="shape_0" fillcolor="white" stroked="t" style="position:absolute;left:8375;top:3431;width:693;height:1715;mso-wrap-style:square;v-text-anchor:top;mso-position-horizontal-relative:char" type="shapetype_202">
                  <v:textbox style="layout-flow:vertical">
                    <w:txbxContent>
                      <w:p>
                        <w:pPr>
                          <w:overflowPunct w:val="false"/>
                          <w:bidi w:val="0"/>
                          <w:jc w:val="center"/>
                          <w:rPr/>
                        </w:pPr>
                        <w:r>
                          <w:rPr>
                            <w:kern w:val="2"/>
                            <w:sz w:val="18"/>
                            <w:szCs w:val="24"/>
                            <w:rFonts w:ascii="Times New Roman" w:hAnsi="Times New Roman" w:eastAsia="宋体" w:cs="Times New Roman"/>
                            <w:color w:val="auto"/>
                            <w:lang w:val="en-US" w:eastAsia="zh-CN" w:bidi="ar-SA"/>
                          </w:rPr>
                          <w:t>核心价值流程</w:t>
                        </w:r>
                      </w:p>
                    </w:txbxContent>
                  </v:textbox>
                  <v:fill o:detectmouseclick="t" type="solid" color2="black"/>
                  <v:stroke color="black" weight="9360" joinstyle="miter" endcap="flat"/>
                </v:shape>
                <v:shape id="shape_0" fillcolor="white" stroked="t" style="position:absolute;left:8375;top:5147;width:693;height:1247;mso-wrap-style:square;v-text-anchor:top;mso-position-horizontal-relative:char" type="shapetype_202">
                  <v:textbox style="layout-flow:vertical">
                    <w:txbxContent>
                      <w:p>
                        <w:pPr>
                          <w:overflowPunct w:val="false"/>
                          <w:bidi w:val="0"/>
                          <w:jc w:val="both"/>
                          <w:rPr/>
                        </w:pPr>
                        <w:r>
                          <w:rPr>
                            <w:kern w:val="2"/>
                            <w:sz w:val="18"/>
                            <w:szCs w:val="24"/>
                            <w:rFonts w:ascii="Times New Roman" w:hAnsi="Times New Roman" w:eastAsia="宋体" w:cs="Times New Roman"/>
                            <w:color w:val="auto"/>
                            <w:lang w:val="en-US" w:eastAsia="zh-CN" w:bidi="ar-SA"/>
                          </w:rPr>
                          <w:t>部门核心流程</w:t>
                        </w:r>
                      </w:p>
                    </w:txbxContent>
                  </v:textbox>
                  <v:fill o:detectmouseclick="t" type="solid" color2="black"/>
                  <v:stroke color="black" weight="9360" joinstyle="miter" endcap="flat"/>
                </v:shape>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自选图形 240" fillcolor="white" stroked="t" style="position:absolute;left:4236;top:935;width:1258;height:312;mso-wrap-style:none;v-text-anchor:middle;mso-position-horizontal-relative:char" type="shapetype_67">
                  <v:fill o:detectmouseclick="t" type="solid" color2="black"/>
                  <v:stroke color="black" weight="9360" joinstyle="miter" endcap="flat"/>
                </v:shape>
                <v:line id="shape_0" from="2616,1403" to="2616,1870" ID="直线 241" stroked="t" style="position:absolute;mso-position-horizontal-relative:char">
                  <v:stroke color="black" weight="9360" endarrow="block" endarrowwidth="medium" endarrowlength="short" joinstyle="miter" endcap="flat"/>
                  <v:fill o:detectmouseclick="t" on="false"/>
                </v:line>
                <v:line id="shape_0" from="5676,1403" to="5676,1870" ID="直线 242" stroked="t" style="position:absolute;mso-position-horizontal-relative:char">
                  <v:stroke color="black" weight="9360" endarrow="block" endarrowwidth="medium" endarrowlength="short" joinstyle="miter" endcap="flat"/>
                  <v:fill o:detectmouseclick="t" on="false"/>
                </v:line>
                <v:line id="shape_0" from="4056,1403" to="4056,1870" ID="直线 243" stroked="t" style="position:absolute;mso-position-horizontal-relative:char">
                  <v:stroke color="black" weight="9360" endarrow="block" endarrowwidth="medium" endarrowlength="short" joinstyle="miter" endcap="flat"/>
                  <v:fill o:detectmouseclick="t" on="false"/>
                </v:line>
                <v:line id="shape_0" from="7295,1403" to="7295,1870" ID="直线 244" stroked="t" style="position:absolute;mso-position-horizontal-relative:char">
                  <v:stroke color="black" weight="9360" endarrow="block" endarrowwidth="medium" endarrowlength="short" joinstyle="miter" endcap="flat"/>
                  <v:fill o:detectmouseclick="t" on="false"/>
                </v:line>
                <v:shape id="shape_0" fillcolor="white" stroked="t" style="position:absolute;left:1715;top:1248;width:6298;height:467;mso-wrap-style:square;v-text-anchor:top;mso-position-horizontal-relative:char" type="shapetype_202">
                  <v:textbox>
                    <w:txbxContent>
                      <w:p>
                        <w:pPr>
                          <w:overflowPunct w:val="false"/>
                          <w:bidi w:val="0"/>
                          <w:jc w:val="center"/>
                          <w:rPr/>
                        </w:pPr>
                        <w:r>
                          <w:rPr>
                            <w:kern w:val="2"/>
                            <w:sz w:val="18"/>
                            <w:szCs w:val="24"/>
                            <w:rFonts w:ascii="Times New Roman" w:hAnsi="Times New Roman" w:eastAsia="宋体" w:cs="Times New Roman"/>
                            <w:color w:val="auto"/>
                            <w:lang w:val="en-US" w:eastAsia="zh-CN" w:bidi="ar-SA"/>
                          </w:rPr>
                          <w:t>公司战略目标及行动策略</w:t>
                        </w:r>
                      </w:p>
                    </w:txbxContent>
                  </v:textbox>
                  <v:fill o:detectmouseclick="t" type="solid" color2="black"/>
                  <v:stroke color="black" weight="9360" joinstyle="miter" endcap="flat"/>
                </v:shape>
                <v:shape id="shape_0" fillcolor="white" stroked="t" style="position:absolute;left:5676;top:2652;width:1979;height:311;mso-wrap-style:square;v-text-anchor:top;mso-position-horizontal-relative:char" type="shapetype_202">
                  <v:textbox>
                    <w:txbxContent>
                      <w:p>
                        <w:pPr>
                          <w:overflowPunct w:val="false"/>
                          <w:bidi w:val="0"/>
                          <w:jc w:val="center"/>
                          <w:rPr/>
                        </w:pPr>
                        <w:r>
                          <w:rPr>
                            <w:sz w:val="18"/>
                            <w:kern w:val="2"/>
                            <w:szCs w:val="18"/>
                            <w:rFonts w:ascii="Times New Roman" w:hAnsi="Times New Roman" w:eastAsia="宋体" w:cs="Times New Roman"/>
                            <w:color w:val="auto"/>
                            <w:lang w:val="en-US" w:eastAsia="zh-CN" w:bidi="ar-SA"/>
                          </w:rPr>
                          <w:t>KPI指标</w:t>
                        </w:r>
                      </w:p>
                    </w:txbxContent>
                  </v:textbox>
                  <v:fill o:detectmouseclick="t" type="solid" color2="black"/>
                  <v:stroke color="black" weight="9360" joinstyle="miter" endcap="flat"/>
                </v:shape>
                <v:group id="shape_0" alt="组合 247" style="position:absolute;left:1895;top:2652;width:3420;height:312">
                  <v:shape id="shape_0" fillcolor="white" stroked="t" style="position:absolute;left:1895;top:2652;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结果</w:t>
                          </w:r>
                        </w:p>
                      </w:txbxContent>
                    </v:textbox>
                    <v:fill o:detectmouseclick="t" type="solid" color2="black"/>
                    <v:stroke color="black" weight="9360" joinstyle="miter" endcap="flat"/>
                  </v:shape>
                  <v:shape id="shape_0" fillcolor="white" stroked="t" style="position:absolute;left:3155;top:2652;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过程</w:t>
                          </w:r>
                        </w:p>
                      </w:txbxContent>
                    </v:textbox>
                    <v:fill o:detectmouseclick="t" type="solid" color2="black"/>
                    <v:stroke color="black" weight="9360" joinstyle="miter" endcap="flat"/>
                  </v:shape>
                  <v:shape id="shape_0" fillcolor="white" stroked="t" style="position:absolute;left:4415;top:2652;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投入</w:t>
                          </w:r>
                        </w:p>
                      </w:txbxContent>
                    </v:textbox>
                    <v:fill o:detectmouseclick="t" type="solid" color2="black"/>
                    <v:stroke color="black" weight="9360" joinstyle="miter" endcap="flat"/>
                  </v:shape>
                  <v:line id="shape_0" from="4055,2808" to="4414,2808" ID="直线 251" stroked="t" style="position:absolute;flip:x;mso-position-horizontal-relative:char">
                    <v:stroke color="black" weight="9360" endarrow="block" endarrowwidth="medium" endarrowlength="medium" joinstyle="miter" endcap="flat"/>
                    <v:fill o:detectmouseclick="t" on="false"/>
                  </v:line>
                  <v:line id="shape_0" from="2795,2808" to="3154,2808" ID="直线 252" stroked="t" style="position:absolute;flip:x;mso-position-horizontal-relative:char">
                    <v:stroke color="black" weight="9360" endarrow="block" endarrowwidth="medium" endarrowlength="medium" joinstyle="miter" endcap="flat"/>
                    <v:fill o:detectmouseclick="t" on="false"/>
                  </v:line>
                </v:group>
                <v:rect id="shape_0" ID="矩形 253" fillcolor="white" stroked="t" style="position:absolute;left:1716;top:4056;width:6298;height:622;mso-wrap-style:none;v-text-anchor:middle;mso-position-horizontal-relative:char">
                  <v:fill o:detectmouseclick="t" type="solid" color2="black"/>
                  <v:stroke color="black" weight="9360" joinstyle="miter" endcap="flat"/>
                </v:rect>
                <v:shape id="shape_0" fillcolor="white" stroked="t" style="position:absolute;left:5676;top:4210;width:1979;height:312;mso-wrap-style:square;v-text-anchor:top;mso-position-horizontal-relative:char" type="shapetype_202">
                  <v:textbox>
                    <w:txbxContent>
                      <w:p>
                        <w:pPr>
                          <w:overflowPunct w:val="false"/>
                          <w:bidi w:val="0"/>
                          <w:jc w:val="center"/>
                          <w:rPr/>
                        </w:pPr>
                        <w:r>
                          <w:rPr>
                            <w:sz w:val="18"/>
                            <w:kern w:val="2"/>
                            <w:szCs w:val="18"/>
                            <w:rFonts w:ascii="Times New Roman" w:hAnsi="Times New Roman" w:eastAsia="宋体" w:cs="Times New Roman"/>
                            <w:color w:val="auto"/>
                            <w:lang w:val="en-US" w:eastAsia="zh-CN" w:bidi="ar-SA"/>
                          </w:rPr>
                          <w:t>KPI指标</w:t>
                        </w:r>
                      </w:p>
                    </w:txbxContent>
                  </v:textbox>
                  <v:fill o:detectmouseclick="t" type="solid" color2="black"/>
                  <v:stroke color="black" weight="9360" joinstyle="miter" endcap="flat"/>
                </v:shape>
                <v:group id="shape_0" alt="组合 255" style="position:absolute;left:1895;top:4211;width:3420;height:312">
                  <v:shape id="shape_0" fillcolor="white" stroked="t" style="position:absolute;left:1895;top:4211;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结果</w:t>
                          </w:r>
                        </w:p>
                      </w:txbxContent>
                    </v:textbox>
                    <v:fill o:detectmouseclick="t" type="solid" color2="black"/>
                    <v:stroke color="black" weight="9360" joinstyle="miter" endcap="flat"/>
                  </v:shape>
                  <v:shape id="shape_0" fillcolor="white" stroked="t" style="position:absolute;left:3155;top:4211;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过程</w:t>
                          </w:r>
                        </w:p>
                      </w:txbxContent>
                    </v:textbox>
                    <v:fill o:detectmouseclick="t" type="solid" color2="black"/>
                    <v:stroke color="black" weight="9360" joinstyle="miter" endcap="flat"/>
                  </v:shape>
                  <v:shape id="shape_0" fillcolor="white" stroked="t" style="position:absolute;left:4415;top:4211;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投入</w:t>
                          </w:r>
                        </w:p>
                      </w:txbxContent>
                    </v:textbox>
                    <v:fill o:detectmouseclick="t" type="solid" color2="black"/>
                    <v:stroke color="black" weight="9360" joinstyle="miter" endcap="flat"/>
                  </v:shape>
                  <v:line id="shape_0" from="4055,4367" to="4414,4367" ID="直线 259" stroked="t" style="position:absolute;flip:x;mso-position-horizontal-relative:char">
                    <v:stroke color="black" weight="9360" endarrow="block" endarrowwidth="medium" endarrowlength="medium" joinstyle="miter" endcap="flat"/>
                    <v:fill o:detectmouseclick="t" on="false"/>
                  </v:line>
                  <v:line id="shape_0" from="2795,4367" to="3154,4367" ID="直线 260" stroked="t" style="position:absolute;flip:x;mso-position-horizontal-relative:char">
                    <v:stroke color="black" weight="9360" endarrow="block" endarrowwidth="medium" endarrowlength="medium" joinstyle="miter" endcap="flat"/>
                    <v:fill o:detectmouseclick="t" on="false"/>
                  </v:line>
                </v:group>
                <v:rect id="shape_0" ID="矩形 261" fillcolor="white" stroked="t" style="position:absolute;left:1716;top:5615;width:6298;height:623;mso-wrap-style:none;v-text-anchor:middle;mso-position-horizontal-relative:char">
                  <v:fill o:detectmouseclick="t" type="solid" color2="black"/>
                  <v:stroke color="black" weight="9360" joinstyle="miter" endcap="flat"/>
                </v:rect>
                <v:shape id="shape_0" fillcolor="white" stroked="t" style="position:absolute;left:5676;top:5771;width:1979;height:311;mso-wrap-style:square;v-text-anchor:top;mso-position-horizontal-relative:char" type="shapetype_202">
                  <v:textbox>
                    <w:txbxContent>
                      <w:p>
                        <w:pPr>
                          <w:overflowPunct w:val="false"/>
                          <w:bidi w:val="0"/>
                          <w:jc w:val="center"/>
                          <w:rPr/>
                        </w:pPr>
                        <w:r>
                          <w:rPr>
                            <w:sz w:val="18"/>
                            <w:kern w:val="2"/>
                            <w:szCs w:val="18"/>
                            <w:rFonts w:ascii="Times New Roman" w:hAnsi="Times New Roman" w:eastAsia="宋体" w:cs="Times New Roman"/>
                            <w:color w:val="auto"/>
                            <w:lang w:val="en-US" w:eastAsia="zh-CN" w:bidi="ar-SA"/>
                          </w:rPr>
                          <w:t>KPI指标</w:t>
                        </w:r>
                      </w:p>
                    </w:txbxContent>
                  </v:textbox>
                  <v:fill o:detectmouseclick="t" type="solid" color2="black"/>
                  <v:stroke color="black" weight="9360" joinstyle="miter" endcap="flat"/>
                </v:shape>
                <v:group id="shape_0" alt="组合 263" style="position:absolute;left:1895;top:5771;width:3420;height:312">
                  <v:shape id="shape_0" fillcolor="white" stroked="t" style="position:absolute;left:1895;top:5771;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结果</w:t>
                          </w:r>
                        </w:p>
                      </w:txbxContent>
                    </v:textbox>
                    <v:fill o:detectmouseclick="t" type="solid" color2="black"/>
                    <v:stroke color="black" weight="9360" joinstyle="miter" endcap="flat"/>
                  </v:shape>
                  <v:shape id="shape_0" fillcolor="white" stroked="t" style="position:absolute;left:3155;top:5771;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过程</w:t>
                          </w:r>
                        </w:p>
                      </w:txbxContent>
                    </v:textbox>
                    <v:fill o:detectmouseclick="t" type="solid" color2="black"/>
                    <v:stroke color="black" weight="9360" joinstyle="miter" endcap="flat"/>
                  </v:shape>
                  <v:shape id="shape_0" fillcolor="white" stroked="t" style="position:absolute;left:4415;top:5771;width:899;height:311;mso-wrap-style:square;v-text-anchor:top;mso-position-horizontal-relative:char" type="shapetype_202">
                    <v:textbox>
                      <w:txbxContent>
                        <w:p>
                          <w:pPr>
                            <w:overflowPunct w:val="false"/>
                            <w:bidi w:val="0"/>
                            <w:jc w:val="center"/>
                            <w:rPr/>
                          </w:pPr>
                          <w:r>
                            <w:rPr>
                              <w:kern w:val="2"/>
                              <w:sz w:val="18"/>
                              <w:szCs w:val="18"/>
                              <w:rFonts w:ascii="Times New Roman" w:hAnsi="Times New Roman" w:eastAsia="宋体" w:cs="Times New Roman"/>
                              <w:color w:val="auto"/>
                              <w:lang w:val="en-US" w:eastAsia="zh-CN" w:bidi="ar-SA"/>
                            </w:rPr>
                            <w:t>投入</w:t>
                          </w:r>
                        </w:p>
                      </w:txbxContent>
                    </v:textbox>
                    <v:fill o:detectmouseclick="t" type="solid" color2="black"/>
                    <v:stroke color="black" weight="9360" joinstyle="miter" endcap="flat"/>
                  </v:shape>
                  <v:line id="shape_0" from="4055,5927" to="4414,5927" ID="直线 267" stroked="t" style="position:absolute;flip:x;mso-position-horizontal-relative:char">
                    <v:stroke color="black" weight="9360" endarrow="block" endarrowwidth="medium" endarrowlength="medium" joinstyle="miter" endcap="flat"/>
                    <v:fill o:detectmouseclick="t" on="false"/>
                  </v:line>
                  <v:line id="shape_0" from="2795,5927" to="3154,5927" ID="直线 268" stroked="t" style="position:absolute;flip:x;mso-position-horizontal-relative:char">
                    <v:stroke color="black" weight="9360" endarrow="block" endarrowwidth="medium" endarrowlength="medium" joinstyle="miter" endcap="flat"/>
                    <v:fill o:detectmouseclick="t" on="false"/>
                  </v:line>
                </v:group>
                <v:shape id="shape_0" fillcolor="white" stroked="t" style="position:absolute;left:1715;top:3275;width:6298;height:623;mso-wrap-style:square;v-text-anchor:top;mso-position-horizontal-relative:char" type="shapetype_202">
                  <v:textbo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exact" w:line="240"/>
                          <w:jc w:val="center"/>
                          <w:rPr/>
                        </w:pPr>
                        <w:r>
                          <w:rPr>
                            <w:kern w:val="2"/>
                            <w:sz w:val="18"/>
                            <w:szCs w:val="24"/>
                            <w:rFonts w:ascii="Times New Roman" w:hAnsi="Times New Roman" w:eastAsia="宋体" w:cs="Times New Roman"/>
                            <w:color w:val="auto"/>
                            <w:lang w:val="en-US" w:eastAsia="zh-CN" w:bidi="ar-SA"/>
                          </w:rPr>
                          <w:t>部门绩效目标</w:t>
                        </w:r>
                      </w:p>
                    </w:txbxContent>
                  </v:textbox>
                  <v:fill o:detectmouseclick="t" type="solid" color2="black"/>
                  <v:stroke color="black" weight="9360" joinstyle="miter" endcap="flat"/>
                </v:shape>
                <v:shape id="shape_0" fillcolor="white" stroked="t" style="position:absolute;left:1715;top:4834;width:6298;height:624;mso-wrap-style:square;v-text-anchor:top;mso-position-horizontal-relative:char" type="shapetype_202">
                  <v:textbox>
                    <w:txbxContent>
                      <w:p>
                        <w:pPr>
                          <w:overflowPunct w:val="false"/>
                          <w:bidi w:val="0"/>
                          <w:spacing w:lineRule="exact" w:line="240"/>
                          <w:jc w:val="center"/>
                          <w:rPr/>
                        </w:pPr>
                        <w:r>
                          <w:rPr>
                            <w:sz w:val="24"/>
                            <w:rFonts w:ascii="Liberation Serif" w:hAnsi="Liberation Serif" w:eastAsia="Droid Sans Fallback" w:cs="Droid Sans Devanagari"/>
                            <w:lang w:bidi="hi-IN"/>
                          </w:rPr>
                        </w:r>
                      </w:p>
                      <w:p>
                        <w:pPr>
                          <w:overflowPunct w:val="false"/>
                          <w:bidi w:val="0"/>
                          <w:spacing w:lineRule="exact" w:line="240"/>
                          <w:jc w:val="center"/>
                          <w:rPr/>
                        </w:pPr>
                        <w:r>
                          <w:rPr>
                            <w:kern w:val="2"/>
                            <w:sz w:val="18"/>
                            <w:szCs w:val="24"/>
                            <w:rFonts w:ascii="Times New Roman" w:hAnsi="Times New Roman" w:eastAsia="宋体" w:cs="Times New Roman"/>
                            <w:color w:val="auto"/>
                            <w:lang w:val="en-US" w:eastAsia="zh-CN" w:bidi="ar-SA"/>
                          </w:rPr>
                          <w:t>职位绩效目标</w:t>
                        </w:r>
                      </w:p>
                    </w:txbxContent>
                  </v:textbox>
                  <v:fill o:detectmouseclick="t" type="solid" color2="black"/>
                  <v:stroke color="black" weight="9360" joinstyle="miter" endcap="flat"/>
                </v:shape>
                <v:line id="shape_0" from="1355,2809" to="1893,2809" ID="直线 271" stroked="t" style="position:absolute;flip:x;mso-position-horizontal-relative:char">
                  <v:stroke color="black" weight="9360" endarrow="block" endarrowwidth="medium" endarrowlength="medium" joinstyle="miter" endcap="flat"/>
                  <v:fill o:detectmouseclick="t" on="false"/>
                </v:line>
                <v:line id="shape_0" from="1355,4367" to="1893,4367" ID="直线 272" stroked="t" style="position:absolute;flip:x;mso-position-horizontal-relative:char">
                  <v:stroke color="black" weight="9360" endarrow="block" endarrowwidth="medium" endarrowlength="medium" joinstyle="miter" endcap="flat"/>
                  <v:fill o:detectmouseclick="t" on="false"/>
                </v:line>
                <v:line id="shape_0" from="1355,5927" to="1893,5927" ID="直线 273" stroked="t" style="position:absolute;flip:x;mso-position-horizontal-relative:char">
                  <v:stroke color="black" weight="9360" endarrow="block" endarrowwidth="medium" endarrowlength="medium" joinstyle="miter" endcap="flat"/>
                  <v:fill o:detectmouseclick="t" on="false"/>
                </v:line>
                <v:line id="shape_0" from="997,1402" to="997,1714" ID="直线 274" stroked="t" style="position:absolute;flip:y;mso-position-horizontal-relative:char">
                  <v:stroke color="black" weight="9360" joinstyle="miter" endcap="flat"/>
                  <v:fill o:detectmouseclick="t" on="false"/>
                </v:line>
                <v:line id="shape_0" from="997,1403" to="1715,1403" ID="直线 275" stroked="t" style="position:absolute;mso-position-horizontal-relative:char">
                  <v:stroke color="black" weight="9360" endarrow="block" endarrowwidth="medium" endarrowlength="medium" joinstyle="miter" endcap="flat"/>
                  <v:fill o:detectmouseclick="t" on="false"/>
                </v:line>
                <v:line id="shape_0" from="8015,1403" to="8555,1403" ID="直线 276" stroked="t" style="position:absolute;mso-position-horizontal-relative:char">
                  <v:stroke color="black" weight="9360" joinstyle="miter" endcap="flat"/>
                  <v:fill o:detectmouseclick="t" on="false"/>
                </v:line>
                <v:line id="shape_0" from="8556,1403" to="8556,1715" ID="直线 277" stroked="t" style="position:absolute;mso-position-horizontal-relative:char">
                  <v:stroke color="black" weight="9360" endarrow="block" endarrowwidth="medium" endarrowlength="medium" joinstyle="miter" endcap="flat"/>
                  <v:fill o:detectmouseclick="t" on="false"/>
                </v:line>
                <v:line id="shape_0" from="7655,2809" to="8373,2809" ID="直线 278" stroked="t" style="position:absolute;flip:x;mso-position-horizontal-relative:char">
                  <v:stroke color="black" weight="9360" endarrow="block" endarrowwidth="medium" endarrowlength="medium" joinstyle="miter" endcap="flat"/>
                  <v:fill o:detectmouseclick="t" on="false"/>
                </v:line>
                <v:line id="shape_0" from="7655,4367" to="8373,4367" ID="直线 279" stroked="t" style="position:absolute;flip:x;mso-position-horizontal-relative:char">
                  <v:stroke color="black" weight="9360" endarrow="block" endarrowwidth="medium" endarrowlength="medium" joinstyle="miter" endcap="flat"/>
                  <v:fill o:detectmouseclick="t" on="false"/>
                </v:line>
                <v:line id="shape_0" from="7655,5927" to="8373,5927" ID="直线 280" stroked="t" style="position:absolute;flip:x;mso-position-horizontal-relative:char">
                  <v:stroke color="black" weight="9360" endarrow="block" endarrowwidth="medium" endarrowlength="medium" joinstyle="miter" endcap="flat"/>
                  <v:fill o:detectmouseclick="t" on="false"/>
                </v:line>
                <v:line id="shape_0" from="8195,1403" to="8195,5155" ID="直线 281" stroked="t" style="position:absolute;mso-position-horizontal-relative:char">
                  <v:stroke color="black" weight="9360" startarrow="oval" endarrow="block" startarrowwidth="medium" startarrowlength="medium" endarrowwidth="medium" endarrowlength="medium" joinstyle="miter" endcap="flat"/>
                  <v:fill o:detectmouseclick="t" on="false"/>
                </v:line>
                <v:line id="shape_0" from="5855,5207" to="8194,5207" ID="直线 282" stroked="t" style="position:absolute;flip:x;mso-position-horizontal-relative:char">
                  <v:stroke color="black" weight="9360" startarrow="oval" endarrow="block" startarrowwidth="medium" startarrowlength="medium" endarrowwidth="medium" endarrowlength="medium" joinstyle="miter" endcap="flat"/>
                  <v:fill o:detectmouseclick="t" on="false"/>
                </v:line>
                <v:line id="shape_0" from="5855,3677" to="8194,3677" ID="直线 283" stroked="t" style="position:absolute;flip:x;mso-position-horizontal-relative:char">
                  <v:stroke color="black" weight="9360" startarrow="oval" endarrow="block" startarrowwidth="medium" startarrowlength="medium" endarrowwidth="medium" endarrowlength="medium" joinstyle="miter" endcap="flat"/>
                  <v:fill o:detectmouseclick="t" on="false"/>
                </v:line>
                <v:rect id="shape_0" ID="矩形 284" stroked="t" style="position:absolute;left:3877;top:3431;width:1977;height:467;mso-wrap-style:none;v-text-anchor:middle;mso-position-horizontal-relative:char">
                  <v:fill o:detectmouseclick="t" on="false"/>
                  <v:stroke color="black" weight="9360" joinstyle="miter" endcap="flat"/>
                </v:rect>
                <v:rect id="shape_0" ID="矩形 285" stroked="t" style="position:absolute;left:3877;top:4992;width:1977;height:467;mso-wrap-style:none;v-text-anchor:middle;mso-position-horizontal-relative:char">
                  <v:fill o:detectmouseclick="t" on="false"/>
                  <v:stroke color="black" weight="9360" joinstyle="miter" endcap="flat"/>
                </v:rect>
                <v:shape id="shape_0" ID="自选图形 286" stroked="t" style="position:absolute;left:1536;top:2339;width:1799;height:4211;mso-wrap-style:none;v-text-anchor:middle;mso-position-horizontal-relative:char" type="shapetype_67">
                  <v:fill o:detectmouseclick="t" on="false"/>
                  <v:stroke color="black" weight="9360" dashstyle="shortdot" joinstyle="miter" endcap="flat"/>
                </v:shape>
                <v:shape id="shape_0" ID="自选图形 287" stroked="t" style="position:absolute;left:3156;top:2339;width:1798;height:4211;mso-wrap-style:none;v-text-anchor:middle;mso-position-horizontal-relative:char" type="shapetype_67">
                  <v:fill o:detectmouseclick="t" on="false"/>
                  <v:stroke color="black" weight="9360" dashstyle="shortdot" joinstyle="miter" endcap="flat"/>
                </v:shape>
                <v:shape id="shape_0" ID="自选图形 288" stroked="t" style="position:absolute;left:4776;top:2339;width:1799;height:4211;mso-wrap-style:none;v-text-anchor:middle;mso-position-horizontal-relative:char" type="shapetype_67">
                  <v:fill o:detectmouseclick="t" on="false"/>
                  <v:stroke color="black" weight="9360" dashstyle="shortdot" joinstyle="miter" endcap="flat"/>
                </v:shape>
                <v:shape id="shape_0" ID="自选图形 289" stroked="t" style="position:absolute;left:6395;top:2339;width:1799;height:4211;mso-wrap-style:none;v-text-anchor:middle;mso-position-horizontal-relative:char" type="shapetype_67">
                  <v:fill o:detectmouseclick="t" on="false"/>
                  <v:stroke color="black" weight="9360" dashstyle="shortdot" joinstyle="miter" endcap="flat"/>
                </v:shape>
              </v:group>
            </w:pict>
          </mc:Fallback>
        </mc:AlternateContent>
      </w:r>
    </w:p>
    <w:p>
      <w:pPr>
        <w:pStyle w:val="Normal"/>
        <w:spacing w:before="156" w:after="0"/>
        <w:rPr>
          <w:sz w:val="20"/>
          <w:lang w:val="en-US" w:eastAsia="en-US"/>
        </w:rPr>
      </w:pPr>
      <w:r>
        <w:rPr>
          <w:sz w:val="20"/>
          <w:lang w:val="en-US" w:eastAsia="en-US"/>
        </w:rPr>
      </w:r>
    </w:p>
    <w:p>
      <w:pPr>
        <w:pStyle w:val="Normal"/>
        <w:spacing w:before="156" w:after="0"/>
        <w:rPr>
          <w:b/>
          <w:b/>
          <w:sz w:val="28"/>
          <w:szCs w:val="28"/>
          <w:lang w:val="en-US" w:eastAsia="en-US"/>
        </w:rPr>
      </w:pPr>
      <w:r>
        <w:rPr>
          <w:b/>
          <w:sz w:val="28"/>
          <w:szCs w:val="28"/>
          <w:lang w:val="en-US" w:eastAsia="en-US"/>
        </w:rPr>
        <w:t>附件</w:t>
      </w:r>
      <w:r>
        <w:rPr>
          <w:b/>
          <w:sz w:val="28"/>
          <w:szCs w:val="28"/>
          <w:lang w:val="en-US" w:eastAsia="en-US"/>
        </w:rPr>
        <w:t>B</w:t>
      </w:r>
      <w:r>
        <w:rPr>
          <w:b/>
          <w:sz w:val="28"/>
          <w:szCs w:val="28"/>
          <w:lang w:val="en-US" w:eastAsia="en-US"/>
        </w:rPr>
        <w:t>（略）：</w:t>
      </w:r>
    </w:p>
    <w:p>
      <w:pPr>
        <w:pStyle w:val="Normal"/>
        <w:spacing w:before="156" w:after="0"/>
        <w:rPr>
          <w:sz w:val="24"/>
          <w:lang w:val="en-US" w:eastAsia="en-US"/>
        </w:rPr>
      </w:pPr>
      <w:r>
        <w:rPr>
          <w:sz w:val="24"/>
          <w:lang w:val="en-US" w:eastAsia="en-US"/>
        </w:rPr>
        <w:t>KPI</w:t>
      </w:r>
      <w:r>
        <w:rPr>
          <w:sz w:val="24"/>
          <w:lang w:val="en-US" w:eastAsia="en-US"/>
        </w:rPr>
        <w:t>绩效考核流程表</w:t>
      </w:r>
    </w:p>
    <w:p>
      <w:pPr>
        <w:pStyle w:val="Normal"/>
        <w:spacing w:before="156" w:after="0"/>
        <w:rPr>
          <w:sz w:val="24"/>
          <w:lang w:val="en-US" w:eastAsia="en-US"/>
        </w:rPr>
      </w:pPr>
      <w:r>
        <w:rPr>
          <w:sz w:val="24"/>
          <w:lang w:val="en-US" w:eastAsia="en-US"/>
        </w:rPr>
        <w:t>各岗位</w:t>
      </w:r>
      <w:r>
        <w:rPr>
          <w:sz w:val="24"/>
          <w:lang w:val="en-US" w:eastAsia="en-US"/>
        </w:rPr>
        <w:t>KPI</w:t>
      </w:r>
      <w:r>
        <w:rPr>
          <w:sz w:val="24"/>
          <w:lang w:val="en-US" w:eastAsia="en-US"/>
        </w:rPr>
        <w:t>绩效考核表</w:t>
      </w:r>
    </w:p>
    <w:p>
      <w:pPr>
        <w:pStyle w:val="Normal"/>
        <w:spacing w:before="156" w:after="0"/>
        <w:rPr>
          <w:sz w:val="24"/>
          <w:lang w:val="en-US" w:eastAsia="en-US"/>
        </w:rPr>
      </w:pPr>
      <w:r>
        <w:rPr>
          <w:sz w:val="24"/>
          <w:lang w:val="en-US" w:eastAsia="en-US"/>
        </w:rPr>
        <w:t>KPI</w:t>
      </w:r>
      <w:r>
        <w:rPr>
          <w:sz w:val="24"/>
          <w:lang w:val="en-US" w:eastAsia="en-US"/>
        </w:rPr>
        <w:t>指标库（</w:t>
      </w:r>
      <w:r>
        <w:rPr>
          <w:sz w:val="24"/>
          <w:lang w:val="en-US" w:eastAsia="en-US"/>
        </w:rPr>
        <w:t>KPI</w:t>
      </w:r>
      <w:r>
        <w:rPr>
          <w:sz w:val="24"/>
          <w:lang w:val="en-US" w:eastAsia="en-US"/>
        </w:rPr>
        <w:t>数据统计表）</w:t>
      </w:r>
    </w:p>
    <w:p>
      <w:pPr>
        <w:pStyle w:val="Normal"/>
        <w:spacing w:before="156" w:after="0"/>
        <w:rPr>
          <w:sz w:val="24"/>
          <w:lang w:val="en-US" w:eastAsia="en-US"/>
        </w:rPr>
      </w:pPr>
      <w:r>
        <w:rPr>
          <w:sz w:val="24"/>
          <w:lang w:val="en-US" w:eastAsia="en-US"/>
        </w:rPr>
        <w:t>员工绩效面谈表</w:t>
      </w:r>
    </w:p>
    <w:p>
      <w:pPr>
        <w:pStyle w:val="Normal"/>
        <w:spacing w:before="156" w:after="0"/>
        <w:rPr>
          <w:sz w:val="24"/>
          <w:lang w:val="en-US" w:eastAsia="en-US"/>
        </w:rPr>
      </w:pPr>
      <w:r>
        <w:rPr>
          <w:sz w:val="24"/>
          <w:lang w:val="en-US" w:eastAsia="en-US"/>
        </w:rPr>
        <w:t>员工绩效评估申诉表</w:t>
      </w:r>
    </w:p>
    <w:p>
      <w:pPr>
        <w:pStyle w:val="Normal"/>
        <w:spacing w:before="156" w:after="0"/>
        <w:rPr>
          <w:sz w:val="20"/>
          <w:lang w:val="en-US" w:eastAsia="en-US"/>
        </w:rPr>
      </w:pPr>
      <w:r>
        <w:rPr>
          <w:rFonts w:cs="宋体" w:ascii="宋体" w:hAnsi="宋体"/>
          <w:sz w:val="20"/>
          <w:lang w:val="en-US" w:eastAsia="en-US"/>
        </w:rPr>
        <w:t>……</w:t>
      </w:r>
    </w:p>
    <w:p>
      <w:pPr>
        <w:pStyle w:val="Normal"/>
        <w:spacing w:lineRule="exact" w:line="240"/>
        <w:ind w:firstLine="161"/>
        <w:jc w:val="center"/>
        <w:rPr>
          <w:rFonts w:ascii="黑体" w:hAnsi="黑体" w:eastAsia="黑体" w:cs="黑体"/>
          <w:b/>
          <w:b/>
          <w:bCs/>
          <w:vanish/>
          <w:color w:val="0070C0"/>
          <w:sz w:val="32"/>
          <w:szCs w:val="32"/>
          <w:lang w:val="en-US" w:eastAsia="en-US"/>
        </w:rPr>
      </w:pPr>
      <w:r>
        <w:rPr>
          <w:rFonts w:eastAsia="黑体" w:cs="黑体" w:ascii="黑体" w:hAnsi="黑体"/>
          <w:b/>
          <w:bCs/>
          <w:vanish/>
          <w:color w:val="0070C0"/>
          <w:sz w:val="32"/>
          <w:szCs w:val="32"/>
          <w:lang w:val="en-US" w:eastAsia="en-US"/>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142875" cy="142875"/>
            <wp:effectExtent l="0" t="0" r="0" b="0"/>
            <wp:wrapSquare wrapText="largest"/>
            <wp:docPr id="2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 descr="" title=""/>
                    <pic:cNvPicPr>
                      <a:picLocks noChangeAspect="1" noChangeArrowheads="1"/>
                    </pic:cNvPicPr>
                  </pic:nvPicPr>
                  <pic:blipFill>
                    <a:blip r:embed="rId5"/>
                    <a:stretch>
                      <a:fillRect/>
                    </a:stretch>
                  </pic:blipFill>
                  <pic:spPr bwMode="auto">
                    <a:xfrm>
                      <a:off x="0" y="0"/>
                      <a:ext cx="142875" cy="142875"/>
                    </a:xfrm>
                    <a:prstGeom prst="rect">
                      <a:avLst/>
                    </a:prstGeom>
                  </pic:spPr>
                </pic:pic>
              </a:graphicData>
            </a:graphic>
          </wp:anchor>
        </w:drawing>
      </w:r>
      <w:bookmarkStart w:id="15" w:name="_PictureBullets"/>
      <w:bookmarkStart w:id="16" w:name="_PictureBullets"/>
      <w:bookmarkEnd w:id="16"/>
    </w:p>
    <w:sectPr>
      <w:headerReference w:type="default" r:id="rId6"/>
      <w:headerReference w:type="first" r:id="rId7"/>
      <w:footerReference w:type="default" r:id="rId8"/>
      <w:footerReference w:type="first" r:id="rId9"/>
      <w:footnotePr>
        <w:numFmt w:val="decimal"/>
      </w:footnotePr>
      <w:type w:val="nextPage"/>
      <w:pgSz w:w="11906" w:h="16838"/>
      <w:pgMar w:left="1701" w:right="1701" w:header="567" w:top="1440" w:footer="992" w:bottom="1048"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default"/>
  </w:font>
  <w:font w:name="宋体">
    <w:charset w:val="86"/>
    <w:family w:val="auto"/>
    <w:pitch w:val="default"/>
  </w:font>
  <w:font w:name="Cambria">
    <w:charset w:val="00" w:characterSet="windows-1252"/>
    <w:family w:val="roman"/>
    <w:pitch w:val="default"/>
  </w:font>
  <w:font w:name="Times">
    <w:altName w:val="Times New Roman"/>
    <w:charset w:val="00" w:characterSet="windows-1252"/>
    <w:family w:val="roman"/>
    <w:pitch w:val="default"/>
  </w:font>
  <w:font w:name="Tahoma">
    <w:charset w:val="00" w:characterSet="windows-1252"/>
    <w:family w:val="swiss"/>
    <w:pitch w:val="default"/>
  </w:font>
  <w:font w:name="微软雅黑">
    <w:charset w:val="86"/>
    <w:family w:val="swiss"/>
    <w:pitch w:val="default"/>
  </w:font>
  <w:font w:name="黑体">
    <w:charset w:val="86"/>
    <w:family w:val="auto"/>
    <w:pitch w:val="default"/>
  </w:font>
  <w:font w:name="楷体_GB2312">
    <w:altName w:val="楷体"/>
    <w:charset w:val="86"/>
    <w:family w:val="modern"/>
    <w:pitch w:val="default"/>
  </w:font>
  <w:font w:name="Calibri">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1" w:hanging="0"/>
      <w:jc w:val="end"/>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FootnoteCharacters"/>
        </w:rPr>
        <w:footnoteRef/>
      </w:r>
      <w:r>
        <w:rPr/>
        <w:t xml:space="preserve"> </w:t>
      </w:r>
      <w:r>
        <w:rPr/>
        <w:t>本项目内容根据需要灵活安排。</w:t>
      </w:r>
    </w:p>
  </w:footnote>
  <w:footnote w:id="3">
    <w:p>
      <w:pPr>
        <w:pStyle w:val="Footnote"/>
        <w:rPr/>
      </w:pPr>
      <w:r>
        <w:rPr>
          <w:rStyle w:val="FootnoteCharacters"/>
        </w:rPr>
        <w:footnoteRef/>
      </w:r>
      <w:r>
        <w:rPr/>
        <w:t xml:space="preserve"> </w:t>
      </w:r>
      <w:r>
        <w:rPr/>
        <w:t>供应链运作参考模型。</w:t>
      </w:r>
    </w:p>
  </w:footnote>
  <w:footnote w:id="4">
    <w:p>
      <w:pPr>
        <w:pStyle w:val="Footnote"/>
        <w:rPr/>
      </w:pPr>
      <w:r>
        <w:rPr>
          <w:rStyle w:val="FootnoteCharacters"/>
        </w:rPr>
        <w:footnoteRef/>
      </w:r>
      <w:r>
        <w:rPr/>
        <w:t xml:space="preserve"> </w:t>
      </w:r>
      <w:r>
        <w:rPr>
          <w:color w:val="000000"/>
        </w:rPr>
        <w:t>远超目标</w:t>
      </w:r>
      <w:r>
        <w:rPr>
          <w:color w:val="000000"/>
        </w:rPr>
        <w:t>100-90</w:t>
      </w:r>
      <w:r>
        <w:rPr>
          <w:color w:val="000000"/>
        </w:rPr>
        <w:t>分；超过目标</w:t>
      </w:r>
      <w:r>
        <w:rPr>
          <w:color w:val="000000"/>
        </w:rPr>
        <w:t>90-70</w:t>
      </w:r>
      <w:r>
        <w:rPr>
          <w:color w:val="000000"/>
        </w:rPr>
        <w:t>分；达到目标</w:t>
      </w:r>
      <w:r>
        <w:rPr>
          <w:color w:val="000000"/>
        </w:rPr>
        <w:t>70-60</w:t>
      </w:r>
      <w:r>
        <w:rPr>
          <w:color w:val="000000"/>
        </w:rPr>
        <w:t>分；未达目标</w:t>
      </w:r>
      <w:r>
        <w:rPr>
          <w:color w:val="000000"/>
        </w:rPr>
        <w:t>60-0</w:t>
      </w:r>
      <w:r>
        <w:rPr>
          <w:color w:val="000000"/>
        </w:rPr>
        <w:t>分。</w:t>
      </w:r>
    </w:p>
  </w:footnote>
  <w:footnote w:id="5">
    <w:p>
      <w:pPr>
        <w:pStyle w:val="Footnote"/>
        <w:rPr/>
      </w:pPr>
      <w:r>
        <w:rPr>
          <w:rStyle w:val="FootnoteCharacters"/>
        </w:rPr>
        <w:footnoteRef/>
      </w:r>
      <w:r>
        <w:rPr/>
        <w:t>企业自己根据需求拟定周期，甚至针对不同岗位、不同部门拟定不同的考核周期。</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pPr>
    <w:r>
      <w:rPr>
        <w:rFonts w:ascii="黑体" w:hAnsi="黑体" w:cs="宋体" w:eastAsia="黑体"/>
        <w:bCs/>
        <w:kern w:val="0"/>
      </w:rPr>
      <w:t>人力资源管理实用工具——绩效考核——制度、规范与流程</w:t>
    </w: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900" w:hanging="420"/>
      </w:pPr>
      <w:rPr>
        <w:rFonts w:ascii="Wingdings" w:hAnsi="Wingdings" w:cs="Wingdings" w:hint="default"/>
      </w:rPr>
    </w:lvl>
    <w:lvl w:ilvl="1">
      <w:start w:val="1"/>
      <w:numFmt w:val="bullet"/>
      <w:lvlText w:val=""/>
      <w:lvlJc w:val="start"/>
      <w:pPr>
        <w:tabs>
          <w:tab w:val="num" w:pos="0"/>
        </w:tabs>
        <w:ind w:start="1320" w:hanging="420"/>
      </w:pPr>
      <w:rPr>
        <w:rFonts w:ascii="Wingdings" w:hAnsi="Wingdings" w:cs="Wingdings" w:hint="default"/>
      </w:rPr>
    </w:lvl>
    <w:lvl w:ilvl="2">
      <w:start w:val="1"/>
      <w:numFmt w:val="bullet"/>
      <w:lvlText w:val=""/>
      <w:lvlJc w:val="start"/>
      <w:pPr>
        <w:tabs>
          <w:tab w:val="num" w:pos="0"/>
        </w:tabs>
        <w:ind w:start="1740" w:hanging="420"/>
      </w:pPr>
      <w:rPr>
        <w:rFonts w:ascii="Wingdings" w:hAnsi="Wingdings" w:cs="Wingdings" w:hint="default"/>
      </w:rPr>
    </w:lvl>
    <w:lvl w:ilvl="3">
      <w:start w:val="1"/>
      <w:numFmt w:val="bullet"/>
      <w:lvlText w:val=""/>
      <w:lvlJc w:val="start"/>
      <w:pPr>
        <w:tabs>
          <w:tab w:val="num" w:pos="0"/>
        </w:tabs>
        <w:ind w:start="2160" w:hanging="420"/>
      </w:pPr>
      <w:rPr>
        <w:rFonts w:ascii="Wingdings" w:hAnsi="Wingdings" w:cs="Wingdings" w:hint="default"/>
      </w:rPr>
    </w:lvl>
    <w:lvl w:ilvl="4">
      <w:start w:val="1"/>
      <w:numFmt w:val="bullet"/>
      <w:lvlText w:val=""/>
      <w:lvlJc w:val="start"/>
      <w:pPr>
        <w:tabs>
          <w:tab w:val="num" w:pos="0"/>
        </w:tabs>
        <w:ind w:start="2580" w:hanging="420"/>
      </w:pPr>
      <w:rPr>
        <w:rFonts w:ascii="Wingdings" w:hAnsi="Wingdings" w:cs="Wingdings" w:hint="default"/>
      </w:rPr>
    </w:lvl>
    <w:lvl w:ilvl="5">
      <w:start w:val="1"/>
      <w:numFmt w:val="bullet"/>
      <w:lvlText w:val=""/>
      <w:lvlJc w:val="start"/>
      <w:pPr>
        <w:tabs>
          <w:tab w:val="num" w:pos="0"/>
        </w:tabs>
        <w:ind w:start="3000" w:hanging="420"/>
      </w:pPr>
      <w:rPr>
        <w:rFonts w:ascii="Wingdings" w:hAnsi="Wingdings" w:cs="Wingdings" w:hint="default"/>
      </w:rPr>
    </w:lvl>
    <w:lvl w:ilvl="6">
      <w:start w:val="1"/>
      <w:numFmt w:val="bullet"/>
      <w:lvlText w:val=""/>
      <w:lvlJc w:val="start"/>
      <w:pPr>
        <w:tabs>
          <w:tab w:val="num" w:pos="0"/>
        </w:tabs>
        <w:ind w:start="3420" w:hanging="420"/>
      </w:pPr>
      <w:rPr>
        <w:rFonts w:ascii="Wingdings" w:hAnsi="Wingdings" w:cs="Wingdings" w:hint="default"/>
      </w:rPr>
    </w:lvl>
    <w:lvl w:ilvl="7">
      <w:start w:val="1"/>
      <w:numFmt w:val="bullet"/>
      <w:lvlText w:val=""/>
      <w:lvlJc w:val="start"/>
      <w:pPr>
        <w:tabs>
          <w:tab w:val="num" w:pos="0"/>
        </w:tabs>
        <w:ind w:start="3840" w:hanging="420"/>
      </w:pPr>
      <w:rPr>
        <w:rFonts w:ascii="Wingdings" w:hAnsi="Wingdings" w:cs="Wingdings" w:hint="default"/>
      </w:rPr>
    </w:lvl>
    <w:lvl w:ilvl="8">
      <w:start w:val="1"/>
      <w:numFmt w:val="bullet"/>
      <w:lvlText w:val=""/>
      <w:lvlJc w:val="start"/>
      <w:pPr>
        <w:tabs>
          <w:tab w:val="num" w:pos="0"/>
        </w:tabs>
        <w:ind w:start="4260" w:hanging="420"/>
      </w:pPr>
      <w:rPr>
        <w:rFonts w:ascii="Wingdings" w:hAnsi="Wingdings" w:cs="Wingdings" w:hint="default"/>
      </w:rPr>
    </w:lvl>
  </w:abstractNum>
  <w:abstractNum w:abstractNumId="3">
    <w:lvl w:ilvl="0">
      <w:start w:val="1"/>
      <w:numFmt w:val="bullet"/>
      <w:lvlText w:val=""/>
      <w:lvlJc w:val="start"/>
      <w:pPr>
        <w:tabs>
          <w:tab w:val="num" w:pos="0"/>
        </w:tabs>
        <w:ind w:start="900" w:hanging="420"/>
      </w:pPr>
      <w:rPr>
        <w:rFonts w:ascii="Wingdings" w:hAnsi="Wingdings" w:cs="Wingdings" w:hint="default"/>
      </w:rPr>
    </w:lvl>
    <w:lvl w:ilvl="1">
      <w:start w:val="1"/>
      <w:numFmt w:val="bullet"/>
      <w:lvlText w:val=""/>
      <w:lvlJc w:val="start"/>
      <w:pPr>
        <w:tabs>
          <w:tab w:val="num" w:pos="0"/>
        </w:tabs>
        <w:ind w:start="1320" w:hanging="420"/>
      </w:pPr>
      <w:rPr>
        <w:rFonts w:ascii="Wingdings" w:hAnsi="Wingdings" w:cs="Wingdings" w:hint="default"/>
      </w:rPr>
    </w:lvl>
    <w:lvl w:ilvl="2">
      <w:start w:val="1"/>
      <w:numFmt w:val="bullet"/>
      <w:lvlText w:val=""/>
      <w:lvlJc w:val="start"/>
      <w:pPr>
        <w:tabs>
          <w:tab w:val="num" w:pos="0"/>
        </w:tabs>
        <w:ind w:start="1740" w:hanging="420"/>
      </w:pPr>
      <w:rPr>
        <w:rFonts w:ascii="Wingdings" w:hAnsi="Wingdings" w:cs="Wingdings" w:hint="default"/>
      </w:rPr>
    </w:lvl>
    <w:lvl w:ilvl="3">
      <w:start w:val="1"/>
      <w:numFmt w:val="bullet"/>
      <w:lvlText w:val=""/>
      <w:lvlJc w:val="start"/>
      <w:pPr>
        <w:tabs>
          <w:tab w:val="num" w:pos="0"/>
        </w:tabs>
        <w:ind w:start="2160" w:hanging="420"/>
      </w:pPr>
      <w:rPr>
        <w:rFonts w:ascii="Wingdings" w:hAnsi="Wingdings" w:cs="Wingdings" w:hint="default"/>
      </w:rPr>
    </w:lvl>
    <w:lvl w:ilvl="4">
      <w:start w:val="1"/>
      <w:numFmt w:val="bullet"/>
      <w:lvlText w:val=""/>
      <w:lvlJc w:val="start"/>
      <w:pPr>
        <w:tabs>
          <w:tab w:val="num" w:pos="0"/>
        </w:tabs>
        <w:ind w:start="2580" w:hanging="420"/>
      </w:pPr>
      <w:rPr>
        <w:rFonts w:ascii="Wingdings" w:hAnsi="Wingdings" w:cs="Wingdings" w:hint="default"/>
      </w:rPr>
    </w:lvl>
    <w:lvl w:ilvl="5">
      <w:start w:val="1"/>
      <w:numFmt w:val="bullet"/>
      <w:lvlText w:val=""/>
      <w:lvlJc w:val="start"/>
      <w:pPr>
        <w:tabs>
          <w:tab w:val="num" w:pos="0"/>
        </w:tabs>
        <w:ind w:start="3000" w:hanging="420"/>
      </w:pPr>
      <w:rPr>
        <w:rFonts w:ascii="Wingdings" w:hAnsi="Wingdings" w:cs="Wingdings" w:hint="default"/>
      </w:rPr>
    </w:lvl>
    <w:lvl w:ilvl="6">
      <w:start w:val="1"/>
      <w:numFmt w:val="bullet"/>
      <w:lvlText w:val=""/>
      <w:lvlJc w:val="start"/>
      <w:pPr>
        <w:tabs>
          <w:tab w:val="num" w:pos="0"/>
        </w:tabs>
        <w:ind w:start="3420" w:hanging="420"/>
      </w:pPr>
      <w:rPr>
        <w:rFonts w:ascii="Wingdings" w:hAnsi="Wingdings" w:cs="Wingdings" w:hint="default"/>
      </w:rPr>
    </w:lvl>
    <w:lvl w:ilvl="7">
      <w:start w:val="1"/>
      <w:numFmt w:val="bullet"/>
      <w:lvlText w:val=""/>
      <w:lvlJc w:val="start"/>
      <w:pPr>
        <w:tabs>
          <w:tab w:val="num" w:pos="0"/>
        </w:tabs>
        <w:ind w:start="3840" w:hanging="420"/>
      </w:pPr>
      <w:rPr>
        <w:rFonts w:ascii="Wingdings" w:hAnsi="Wingdings" w:cs="Wingdings" w:hint="default"/>
      </w:rPr>
    </w:lvl>
    <w:lvl w:ilvl="8">
      <w:start w:val="1"/>
      <w:numFmt w:val="bullet"/>
      <w:lvlText w:val=""/>
      <w:lvlJc w:val="start"/>
      <w:pPr>
        <w:tabs>
          <w:tab w:val="num" w:pos="0"/>
        </w:tabs>
        <w:ind w:start="4260" w:hanging="420"/>
      </w:pPr>
      <w:rPr>
        <w:rFonts w:ascii="Wingdings" w:hAnsi="Wingdings" w:cs="Wingdings" w:hint="default"/>
      </w:rPr>
    </w:lvl>
  </w:abstractNum>
  <w:abstractNum w:abstractNumId="4">
    <w:lvl w:ilvl="0">
      <w:start w:val="1"/>
      <w:numFmt w:val="bullet"/>
      <w:lvlText w:val=""/>
      <w:lvlJc w:val="start"/>
      <w:pPr>
        <w:tabs>
          <w:tab w:val="num" w:pos="0"/>
        </w:tabs>
        <w:ind w:start="885" w:hanging="420"/>
      </w:pPr>
      <w:rPr>
        <w:rFonts w:ascii="Wingdings" w:hAnsi="Wingdings" w:cs="Wingdings" w:hint="default"/>
      </w:rPr>
    </w:lvl>
    <w:lvl w:ilvl="1">
      <w:start w:val="1"/>
      <w:numFmt w:val="bullet"/>
      <w:lvlText w:val=""/>
      <w:lvlJc w:val="start"/>
      <w:pPr>
        <w:tabs>
          <w:tab w:val="num" w:pos="0"/>
        </w:tabs>
        <w:ind w:start="1305" w:hanging="420"/>
      </w:pPr>
      <w:rPr>
        <w:rFonts w:ascii="Wingdings" w:hAnsi="Wingdings" w:cs="Wingdings" w:hint="default"/>
      </w:rPr>
    </w:lvl>
    <w:lvl w:ilvl="2">
      <w:start w:val="1"/>
      <w:numFmt w:val="bullet"/>
      <w:lvlText w:val=""/>
      <w:lvlJc w:val="start"/>
      <w:pPr>
        <w:tabs>
          <w:tab w:val="num" w:pos="0"/>
        </w:tabs>
        <w:ind w:start="1725" w:hanging="420"/>
      </w:pPr>
      <w:rPr>
        <w:rFonts w:ascii="Wingdings" w:hAnsi="Wingdings" w:cs="Wingdings" w:hint="default"/>
      </w:rPr>
    </w:lvl>
    <w:lvl w:ilvl="3">
      <w:start w:val="1"/>
      <w:numFmt w:val="bullet"/>
      <w:lvlText w:val=""/>
      <w:lvlJc w:val="start"/>
      <w:pPr>
        <w:tabs>
          <w:tab w:val="num" w:pos="0"/>
        </w:tabs>
        <w:ind w:start="2145" w:hanging="420"/>
      </w:pPr>
      <w:rPr>
        <w:rFonts w:ascii="Wingdings" w:hAnsi="Wingdings" w:cs="Wingdings" w:hint="default"/>
      </w:rPr>
    </w:lvl>
    <w:lvl w:ilvl="4">
      <w:start w:val="1"/>
      <w:numFmt w:val="bullet"/>
      <w:lvlText w:val=""/>
      <w:lvlJc w:val="start"/>
      <w:pPr>
        <w:tabs>
          <w:tab w:val="num" w:pos="0"/>
        </w:tabs>
        <w:ind w:start="2565" w:hanging="420"/>
      </w:pPr>
      <w:rPr>
        <w:rFonts w:ascii="Wingdings" w:hAnsi="Wingdings" w:cs="Wingdings" w:hint="default"/>
      </w:rPr>
    </w:lvl>
    <w:lvl w:ilvl="5">
      <w:start w:val="1"/>
      <w:numFmt w:val="bullet"/>
      <w:lvlText w:val=""/>
      <w:lvlJc w:val="start"/>
      <w:pPr>
        <w:tabs>
          <w:tab w:val="num" w:pos="0"/>
        </w:tabs>
        <w:ind w:start="2985" w:hanging="420"/>
      </w:pPr>
      <w:rPr>
        <w:rFonts w:ascii="Wingdings" w:hAnsi="Wingdings" w:cs="Wingdings" w:hint="default"/>
      </w:rPr>
    </w:lvl>
    <w:lvl w:ilvl="6">
      <w:start w:val="1"/>
      <w:numFmt w:val="bullet"/>
      <w:lvlText w:val=""/>
      <w:lvlJc w:val="start"/>
      <w:pPr>
        <w:tabs>
          <w:tab w:val="num" w:pos="0"/>
        </w:tabs>
        <w:ind w:start="3405" w:hanging="420"/>
      </w:pPr>
      <w:rPr>
        <w:rFonts w:ascii="Wingdings" w:hAnsi="Wingdings" w:cs="Wingdings" w:hint="default"/>
      </w:rPr>
    </w:lvl>
    <w:lvl w:ilvl="7">
      <w:start w:val="1"/>
      <w:numFmt w:val="bullet"/>
      <w:lvlText w:val=""/>
      <w:lvlJc w:val="start"/>
      <w:pPr>
        <w:tabs>
          <w:tab w:val="num" w:pos="0"/>
        </w:tabs>
        <w:ind w:start="3825" w:hanging="420"/>
      </w:pPr>
      <w:rPr>
        <w:rFonts w:ascii="Wingdings" w:hAnsi="Wingdings" w:cs="Wingdings" w:hint="default"/>
      </w:rPr>
    </w:lvl>
    <w:lvl w:ilvl="8">
      <w:start w:val="1"/>
      <w:numFmt w:val="bullet"/>
      <w:lvlText w:val=""/>
      <w:lvlJc w:val="start"/>
      <w:pPr>
        <w:tabs>
          <w:tab w:val="num" w:pos="0"/>
        </w:tabs>
        <w:ind w:start="4245" w:hanging="42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0"/>
  <w:defaultTabStop w:val="709"/>
  <w:autoHyphenation w:val="true"/>
  <w:footnotePr>
    <w:numFmt w:val="decimal"/>
    <w:footnote w:id="0"/>
    <w:footnote w:id="1"/>
  </w:footnotePr>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Style13">
    <w:name w:val="默认段落字体"/>
    <w:qFormat/>
    <w:rPr/>
  </w:style>
  <w:style w:type="character" w:styleId="1Char">
    <w:name w:val="标题 1 Char"/>
    <w:qFormat/>
    <w:rPr>
      <w:b/>
      <w:bCs/>
      <w:kern w:val="2"/>
      <w:sz w:val="44"/>
      <w:szCs w:val="44"/>
    </w:rPr>
  </w:style>
  <w:style w:type="character" w:styleId="2Char">
    <w:name w:val="正文文本 2 Char"/>
    <w:qFormat/>
    <w:rPr>
      <w:kern w:val="2"/>
      <w:sz w:val="21"/>
      <w:szCs w:val="24"/>
    </w:rPr>
  </w:style>
  <w:style w:type="character" w:styleId="3Char">
    <w:name w:val="正文文本 3 Char"/>
    <w:qFormat/>
    <w:rPr>
      <w:kern w:val="2"/>
      <w:sz w:val="16"/>
      <w:szCs w:val="16"/>
    </w:rPr>
  </w:style>
  <w:style w:type="character" w:styleId="Char">
    <w:name w:val="正文文本 Char"/>
    <w:qFormat/>
    <w:rPr>
      <w:rFonts w:ascii="宋体" w:hAnsi="宋体"/>
      <w:kern w:val="2"/>
      <w:sz w:val="24"/>
    </w:rPr>
  </w:style>
  <w:style w:type="character" w:styleId="Char1">
    <w:name w:val="脚注文本 Char"/>
    <w:qFormat/>
    <w:rPr>
      <w:kern w:val="2"/>
      <w:sz w:val="18"/>
      <w:szCs w:val="18"/>
    </w:rPr>
  </w:style>
  <w:style w:type="character" w:styleId="FootnoteCharacters">
    <w:name w:val="Footnote Characters"/>
    <w:qFormat/>
    <w:rPr>
      <w:vertAlign w:val="superscript"/>
    </w:rPr>
  </w:style>
  <w:style w:type="character" w:styleId="Char2">
    <w:name w:val="标题 Char"/>
    <w:qFormat/>
    <w:rPr>
      <w:rFonts w:ascii="Cambria" w:hAnsi="Cambria" w:cs="Cambria"/>
      <w:b/>
      <w:bCs/>
      <w:kern w:val="2"/>
      <w:sz w:val="28"/>
      <w:szCs w:val="32"/>
    </w:rPr>
  </w:style>
  <w:style w:type="character" w:styleId="InternetLink">
    <w:name w:val="Hyperlink"/>
    <w:rPr>
      <w:color w:val="0000FF"/>
      <w:u w:val="single"/>
    </w:rPr>
  </w:style>
  <w:style w:type="character" w:styleId="Char3">
    <w:name w:val="结束语 Char"/>
    <w:qFormat/>
    <w:rPr>
      <w:kern w:val="2"/>
      <w:sz w:val="28"/>
      <w:szCs w:val="28"/>
    </w:rPr>
  </w:style>
  <w:style w:type="character" w:styleId="Char4">
    <w:name w:val="称呼 Char"/>
    <w:qFormat/>
    <w:rPr>
      <w:kern w:val="2"/>
      <w:sz w:val="28"/>
      <w:szCs w:val="28"/>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Normal"/>
    <w:qFormat/>
    <w:pPr>
      <w:spacing w:before="240" w:after="60"/>
      <w:jc w:val="center"/>
      <w:outlineLvl w:val="0"/>
    </w:pPr>
    <w:rPr>
      <w:rFonts w:ascii="Cambria" w:hAnsi="Cambria" w:cs="Cambria"/>
      <w:b/>
      <w:bCs/>
      <w:sz w:val="28"/>
      <w:szCs w:val="32"/>
    </w:rPr>
  </w:style>
  <w:style w:type="paragraph" w:styleId="TextBody">
    <w:name w:val="Body Text"/>
    <w:basedOn w:val="Normal"/>
    <w:pPr>
      <w:widowControl/>
      <w:jc w:val="center"/>
    </w:pPr>
    <w:rPr>
      <w:rFonts w:ascii="宋体" w:hAnsi="宋体"/>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 3"/>
    <w:basedOn w:val="Normal"/>
    <w:qFormat/>
    <w:pPr>
      <w:spacing w:before="0" w:after="120"/>
    </w:pPr>
    <w:rPr>
      <w:sz w:val="16"/>
      <w:szCs w:val="16"/>
    </w:rPr>
  </w:style>
  <w:style w:type="paragraph" w:styleId="Style14">
    <w:name w:val="结束语"/>
    <w:basedOn w:val="Normal"/>
    <w:qFormat/>
    <w:pPr>
      <w:ind w:start="100" w:hanging="0"/>
    </w:pPr>
    <w:rPr>
      <w:sz w:val="28"/>
      <w:szCs w:val="2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2">
    <w:name w:val="正文文本 2"/>
    <w:basedOn w:val="Normal"/>
    <w:qFormat/>
    <w:pPr>
      <w:spacing w:lineRule="auto" w:line="480" w:before="0" w:after="120"/>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1">
    <w:name w:val="TOC 1"/>
    <w:basedOn w:val="Normal"/>
    <w:next w:val="Normal"/>
    <w:pPr/>
    <w:rPr/>
  </w:style>
  <w:style w:type="paragraph" w:styleId="Style15">
    <w:name w:val="批注框文本"/>
    <w:basedOn w:val="Normal"/>
    <w:qFormat/>
    <w:pPr/>
    <w:rPr>
      <w:sz w:val="18"/>
      <w:szCs w:val="18"/>
    </w:rPr>
  </w:style>
  <w:style w:type="paragraph" w:styleId="Style16">
    <w:name w:val="列出段落"/>
    <w:basedOn w:val="Normal"/>
    <w:qFormat/>
    <w:pPr>
      <w:ind w:firstLine="420"/>
    </w:pPr>
    <w:rPr/>
  </w:style>
  <w:style w:type="paragraph" w:styleId="Footnote">
    <w:name w:val="Footnote Text"/>
    <w:basedOn w:val="Normal"/>
    <w:pPr>
      <w:snapToGrid w:val="false"/>
      <w:jc w:val="start"/>
    </w:pPr>
    <w:rPr>
      <w:sz w:val="18"/>
      <w:szCs w:val="18"/>
    </w:rPr>
  </w:style>
  <w:style w:type="paragraph" w:styleId="Style17">
    <w:name w:val="称呼"/>
    <w:basedOn w:val="Normal"/>
    <w:next w:val="Normal"/>
    <w:qFormat/>
    <w:pPr/>
    <w:rPr>
      <w:sz w:val="28"/>
      <w:szCs w:val="28"/>
    </w:rPr>
  </w:style>
  <w:style w:type="paragraph" w:styleId="140">
    <w:name w:val="正文140"/>
    <w:basedOn w:val="Normal"/>
    <w:qFormat/>
    <w:pPr>
      <w:widowControl/>
      <w:spacing w:before="280" w:after="280"/>
      <w:jc w:val="start"/>
    </w:pPr>
    <w:rPr>
      <w:rFonts w:ascii="宋体" w:hAnsi="宋体" w:cs="宋体"/>
      <w:kern w:val="0"/>
      <w:sz w:val="24"/>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cs="Cambria"/>
      <w:color w:val="365F91"/>
      <w:kern w:val="0"/>
      <w:sz w:val="28"/>
      <w:szCs w:val="28"/>
    </w:rPr>
  </w:style>
  <w:style w:type="paragraph" w:styleId="NormalDS">
    <w:name w:val="Normal DS"/>
    <w:basedOn w:val="Normal"/>
    <w:qFormat/>
    <w:pPr>
      <w:widowControl/>
      <w:spacing w:before="0" w:after="260"/>
      <w:jc w:val="start"/>
    </w:pPr>
    <w:rPr>
      <w:rFonts w:ascii="Times;Times New Roman" w:hAnsi="Times;Times New Roman" w:cs="Times;Times New Roman"/>
      <w:kern w:val="0"/>
      <w:sz w:val="23"/>
      <w:szCs w:val="20"/>
    </w:rPr>
  </w:style>
  <w:style w:type="paragraph" w:styleId="ParaCharCharCharCharCharCharChar">
    <w:name w:val="默认段落字体 Para Char Char Char Char Char Char Char"/>
    <w:basedOn w:val="Normal"/>
    <w:qFormat/>
    <w:pPr>
      <w:tabs>
        <w:tab w:val="clear" w:pos="420"/>
        <w:tab w:val="left" w:pos="4665" w:leader="none"/>
        <w:tab w:val="left" w:pos="8970" w:leader="none"/>
      </w:tabs>
      <w:ind w:firstLine="400"/>
    </w:pPr>
    <w:rPr>
      <w:rFonts w:ascii="Tahoma" w:hAnsi="Tahoma" w:cs="Tahoma"/>
      <w:sz w:val="24"/>
      <w:szCs w:val="20"/>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2015-10-19T16:07:00Z</dcterms:created>
  <dc:creator>何建湘</dc:creator>
  <dc:description/>
  <dc:language>en-US</dc:language>
  <cp:lastModifiedBy>李想</cp:lastModifiedBy>
  <cp:lastPrinted>2009-02-17T13:21:00Z</cp:lastPrinted>
  <dcterms:modified xsi:type="dcterms:W3CDTF">2019-11-26T22:22:39Z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631442</vt:lpwstr>
  </property>
  <property fmtid="{D5CDD505-2E9C-101B-9397-08002B2CF9AE}" pid="4" name="name">
    <vt:lpwstr>KPI绩效考核管理办法（模板）超实用.doc</vt:lpwstr>
  </property>
</Properties>
</file>