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36"/>
          <w:szCs w:val="36"/>
        </w:rPr>
      </w:pPr>
      <w:r>
        <w:rPr>
          <w:rFonts w:cs="宋体" w:ascii="宋体" w:hAnsi="宋体"/>
          <w:b/>
          <w:sz w:val="36"/>
          <w:szCs w:val="36"/>
        </w:rPr>
        <w:t>20</w:t>
      </w:r>
      <w:r>
        <w:rPr>
          <w:rFonts w:cs="宋体" w:ascii="宋体" w:hAnsi="宋体"/>
          <w:b/>
          <w:sz w:val="36"/>
          <w:szCs w:val="36"/>
          <w:lang w:val="en-US" w:eastAsia="zh-CN"/>
        </w:rPr>
        <w:t>20</w:t>
      </w:r>
      <w:r>
        <w:rPr>
          <w:rFonts w:ascii="宋体" w:hAnsi="宋体" w:cs="宋体"/>
          <w:b/>
          <w:sz w:val="36"/>
          <w:szCs w:val="36"/>
        </w:rPr>
        <w:t>年执行总经理目标责任协议书</w:t>
      </w:r>
    </w:p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</w:t>
      </w:r>
      <w:r>
        <w:rPr>
          <w:rFonts w:cs="宋体" w:ascii="宋体" w:hAnsi="宋体"/>
          <w:sz w:val="24"/>
          <w:szCs w:val="24"/>
        </w:rPr>
        <w:t xml:space="preserve"> </w:t>
      </w:r>
      <w:r>
        <w:rPr>
          <w:rFonts w:ascii="宋体" w:hAnsi="宋体" w:cs="宋体"/>
          <w:b/>
          <w:sz w:val="24"/>
          <w:szCs w:val="24"/>
        </w:rPr>
        <w:t>甲方：</w:t>
      </w:r>
      <w:r>
        <w:rPr>
          <w:rFonts w:cs="宋体" w:ascii="宋体" w:hAnsi="宋体"/>
          <w:b/>
          <w:sz w:val="24"/>
          <w:szCs w:val="24"/>
        </w:rPr>
        <w:t>XX</w:t>
      </w:r>
      <w:r>
        <w:rPr>
          <w:rFonts w:ascii="宋体" w:hAnsi="宋体" w:cs="宋体"/>
          <w:b/>
          <w:sz w:val="24"/>
          <w:szCs w:val="24"/>
        </w:rPr>
        <w:t>公司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乙方：</w:t>
      </w:r>
      <w:r>
        <w:rPr>
          <w:rFonts w:cs="宋体" w:ascii="宋体" w:hAnsi="宋体"/>
          <w:b/>
          <w:sz w:val="24"/>
          <w:szCs w:val="24"/>
        </w:rPr>
        <w:t>XXX</w:t>
      </w:r>
    </w:p>
    <w:p>
      <w:pPr>
        <w:pStyle w:val="Normal"/>
        <w:spacing w:lineRule="exact" w:line="440"/>
        <w:jc w:val="center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为加强公司人力资源管理，提高公司高管人员积极性，明确甲乙双方劳动关系，经甲乙双方友好协商，特签订本目标协议书。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ind w:firstLine="118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一、聘用岗位和时间</w:t>
      </w:r>
    </w:p>
    <w:p>
      <w:pPr>
        <w:pStyle w:val="Normal"/>
        <w:spacing w:lineRule="exact" w:line="440"/>
        <w:ind w:firstLine="360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甲方聘用乙方担任甲方</w:t>
      </w:r>
      <w:r>
        <w:rPr>
          <w:rFonts w:ascii="宋体" w:hAnsi="宋体" w:cs="宋体"/>
          <w:b/>
          <w:sz w:val="24"/>
          <w:szCs w:val="24"/>
          <w:u w:val="single"/>
        </w:rPr>
        <w:t>执行总经理</w:t>
      </w:r>
      <w:r>
        <w:rPr>
          <w:rFonts w:ascii="宋体" w:hAnsi="宋体" w:cs="宋体"/>
          <w:sz w:val="24"/>
          <w:szCs w:val="24"/>
        </w:rPr>
        <w:t>职务，全面负责公司的</w:t>
      </w:r>
      <w:r>
        <w:rPr>
          <w:rFonts w:ascii="宋体" w:hAnsi="宋体" w:cs="宋体"/>
          <w:sz w:val="24"/>
          <w:szCs w:val="24"/>
          <w:u w:val="single"/>
        </w:rPr>
        <w:t>经营管理</w:t>
      </w:r>
      <w:r>
        <w:rPr>
          <w:rFonts w:ascii="宋体" w:hAnsi="宋体" w:cs="宋体"/>
          <w:sz w:val="24"/>
          <w:szCs w:val="24"/>
        </w:rPr>
        <w:t>工作，聘任、考核时间为</w:t>
      </w:r>
      <w:r>
        <w:rPr>
          <w:rFonts w:cs="宋体" w:ascii="宋体" w:hAnsi="宋体"/>
          <w:b/>
          <w:sz w:val="24"/>
          <w:szCs w:val="24"/>
          <w:u w:val="single"/>
        </w:rPr>
        <w:t>20</w:t>
      </w:r>
      <w:r>
        <w:rPr>
          <w:rFonts w:cs="宋体" w:ascii="宋体" w:hAnsi="宋体"/>
          <w:b/>
          <w:sz w:val="24"/>
          <w:szCs w:val="24"/>
          <w:u w:val="single"/>
          <w:lang w:val="en-US" w:eastAsia="zh-CN"/>
        </w:rPr>
        <w:t>20</w:t>
      </w:r>
      <w:r>
        <w:rPr>
          <w:rFonts w:cs="宋体" w:ascii="宋体" w:hAnsi="宋体"/>
          <w:b/>
          <w:sz w:val="24"/>
          <w:szCs w:val="24"/>
          <w:u w:val="single"/>
        </w:rPr>
        <w:t xml:space="preserve"> </w:t>
      </w:r>
      <w:r>
        <w:rPr>
          <w:rFonts w:ascii="宋体" w:hAnsi="宋体" w:cs="宋体"/>
          <w:b/>
          <w:sz w:val="24"/>
          <w:szCs w:val="24"/>
        </w:rPr>
        <w:t>年</w:t>
      </w:r>
      <w:r>
        <w:rPr>
          <w:rFonts w:cs="宋体" w:ascii="宋体" w:hAnsi="宋体"/>
          <w:b/>
          <w:sz w:val="24"/>
          <w:szCs w:val="24"/>
          <w:u w:val="single"/>
        </w:rPr>
        <w:t>01</w:t>
      </w:r>
      <w:r>
        <w:rPr>
          <w:rFonts w:ascii="宋体" w:hAnsi="宋体" w:cs="宋体"/>
          <w:b/>
          <w:sz w:val="24"/>
          <w:szCs w:val="24"/>
        </w:rPr>
        <w:t xml:space="preserve">月 </w:t>
      </w:r>
      <w:r>
        <w:rPr>
          <w:rFonts w:cs="宋体" w:ascii="宋体" w:hAnsi="宋体"/>
          <w:b/>
          <w:sz w:val="24"/>
          <w:szCs w:val="24"/>
          <w:u w:val="single"/>
        </w:rPr>
        <w:t xml:space="preserve">01 </w:t>
      </w:r>
      <w:r>
        <w:rPr>
          <w:rFonts w:ascii="宋体" w:hAnsi="宋体" w:cs="宋体"/>
          <w:b/>
          <w:sz w:val="24"/>
          <w:szCs w:val="24"/>
        </w:rPr>
        <w:t>日至</w:t>
      </w:r>
      <w:r>
        <w:rPr>
          <w:rFonts w:cs="宋体" w:ascii="宋体" w:hAnsi="宋体"/>
          <w:b/>
          <w:sz w:val="24"/>
          <w:szCs w:val="24"/>
          <w:u w:val="single"/>
        </w:rPr>
        <w:t>20</w:t>
      </w:r>
      <w:r>
        <w:rPr>
          <w:rFonts w:cs="宋体" w:ascii="宋体" w:hAnsi="宋体"/>
          <w:b/>
          <w:sz w:val="24"/>
          <w:szCs w:val="24"/>
          <w:u w:val="single"/>
          <w:lang w:val="en-US" w:eastAsia="zh-CN"/>
        </w:rPr>
        <w:t>20</w:t>
      </w:r>
      <w:r>
        <w:rPr>
          <w:rFonts w:ascii="宋体" w:hAnsi="宋体" w:cs="宋体"/>
          <w:b/>
          <w:sz w:val="24"/>
          <w:szCs w:val="24"/>
        </w:rPr>
        <w:t>年</w:t>
      </w:r>
      <w:r>
        <w:rPr>
          <w:rFonts w:cs="宋体" w:ascii="宋体" w:hAnsi="宋体"/>
          <w:b/>
          <w:sz w:val="24"/>
          <w:szCs w:val="24"/>
          <w:u w:val="single"/>
        </w:rPr>
        <w:t>12</w:t>
      </w:r>
      <w:r>
        <w:rPr>
          <w:rFonts w:ascii="宋体" w:hAnsi="宋体" w:cs="宋体"/>
          <w:b/>
          <w:sz w:val="24"/>
          <w:szCs w:val="24"/>
        </w:rPr>
        <w:t>月</w:t>
      </w:r>
      <w:r>
        <w:rPr>
          <w:rFonts w:cs="宋体" w:ascii="宋体" w:hAnsi="宋体"/>
          <w:b/>
          <w:sz w:val="24"/>
          <w:szCs w:val="24"/>
          <w:u w:val="single"/>
        </w:rPr>
        <w:t xml:space="preserve">31 </w:t>
      </w:r>
      <w:r>
        <w:rPr>
          <w:rFonts w:ascii="宋体" w:hAnsi="宋体" w:cs="宋体"/>
          <w:b/>
          <w:sz w:val="24"/>
          <w:szCs w:val="24"/>
        </w:rPr>
        <w:t>日</w:t>
      </w:r>
      <w:r>
        <w:rPr>
          <w:rFonts w:ascii="宋体" w:hAnsi="宋体" w:cs="宋体"/>
          <w:sz w:val="24"/>
          <w:szCs w:val="24"/>
        </w:rPr>
        <w:t>，考核结束后，双方根据实际情况，签订下年度目标协议书。</w:t>
      </w:r>
    </w:p>
    <w:p>
      <w:pPr>
        <w:pStyle w:val="Normal"/>
        <w:spacing w:lineRule="exact" w:line="440"/>
        <w:ind w:firstLine="36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二、乙方的主要岗位职责</w:t>
      </w:r>
    </w:p>
    <w:p>
      <w:pPr>
        <w:pStyle w:val="Style15"/>
        <w:shd w:fill="FFFFFF" w:val="clear"/>
        <w:spacing w:lineRule="exact" w:line="440" w:before="0" w:after="0"/>
        <w:jc w:val="both"/>
        <w:rPr>
          <w:rFonts w:cs="Times New Roman"/>
          <w:b/>
          <w:b/>
          <w:kern w:val="2"/>
        </w:rPr>
      </w:pPr>
      <w:r>
        <w:rPr>
          <w:rFonts w:cs="Times New Roman"/>
          <w:b/>
          <w:kern w:val="2"/>
        </w:rPr>
        <w:t>1</w:t>
      </w:r>
      <w:r>
        <w:rPr>
          <w:rFonts w:cs="Times New Roman"/>
          <w:b/>
          <w:kern w:val="2"/>
        </w:rPr>
        <w:t>）战略规划</w:t>
      </w:r>
    </w:p>
    <w:p>
      <w:pPr>
        <w:pStyle w:val="Style15"/>
        <w:shd w:fill="FFFFFF" w:val="clear"/>
        <w:spacing w:lineRule="exact" w:line="440" w:before="0" w:after="0"/>
        <w:ind w:firstLine="480"/>
        <w:jc w:val="both"/>
        <w:rPr>
          <w:rFonts w:cs="Times New Roman"/>
          <w:kern w:val="2"/>
        </w:rPr>
      </w:pPr>
      <w:r>
        <w:rPr>
          <w:rFonts w:cs="Times New Roman"/>
          <w:kern w:val="2"/>
        </w:rPr>
        <w:t>对年度产品、经营、战略、人才等做规划，并布署达成</w:t>
      </w:r>
    </w:p>
    <w:p>
      <w:pPr>
        <w:pStyle w:val="Style15"/>
        <w:shd w:fill="FFFFFF" w:val="clear"/>
        <w:spacing w:lineRule="exact" w:line="440" w:before="0" w:after="0"/>
        <w:jc w:val="both"/>
        <w:rPr>
          <w:rFonts w:cs="Times New Roman"/>
          <w:kern w:val="2"/>
        </w:rPr>
      </w:pPr>
      <w:r>
        <w:rPr>
          <w:rFonts w:cs="Times New Roman"/>
          <w:b/>
          <w:bCs/>
          <w:kern w:val="2"/>
        </w:rPr>
        <w:t>2</w:t>
      </w:r>
      <w:r>
        <w:rPr>
          <w:rFonts w:cs="Times New Roman"/>
          <w:b/>
          <w:bCs/>
          <w:kern w:val="2"/>
        </w:rPr>
        <w:t>）经营管理</w:t>
      </w:r>
    </w:p>
    <w:p>
      <w:pPr>
        <w:pStyle w:val="Style15"/>
        <w:shd w:fill="FFFFFF" w:val="clear"/>
        <w:spacing w:lineRule="exact" w:line="440" w:before="0" w:after="0"/>
        <w:ind w:firstLine="465"/>
        <w:jc w:val="both"/>
        <w:rPr>
          <w:rFonts w:cs="Times New Roman"/>
          <w:kern w:val="2"/>
        </w:rPr>
      </w:pPr>
      <w:r>
        <w:rPr>
          <w:rFonts w:cs="Times New Roman"/>
          <w:kern w:val="2"/>
        </w:rPr>
        <w:t>1</w:t>
      </w:r>
      <w:r>
        <w:rPr>
          <w:rFonts w:cs="Times New Roman"/>
          <w:kern w:val="2"/>
        </w:rPr>
        <w:t>、制定全年营销规划，达成销售额、利润目标，完成新市场开发任务。</w:t>
      </w:r>
    </w:p>
    <w:p>
      <w:pPr>
        <w:pStyle w:val="Style15"/>
        <w:shd w:fill="FFFFFF" w:val="clear"/>
        <w:spacing w:lineRule="exact" w:line="440" w:before="0" w:after="0"/>
        <w:ind w:firstLine="465"/>
        <w:jc w:val="both"/>
        <w:rPr>
          <w:rFonts w:cs="Times New Roman"/>
          <w:kern w:val="2"/>
        </w:rPr>
      </w:pPr>
      <w:r>
        <w:rPr>
          <w:rFonts w:cs="Times New Roman"/>
          <w:kern w:val="2"/>
        </w:rPr>
        <w:t>2</w:t>
      </w:r>
      <w:r>
        <w:rPr>
          <w:rFonts w:cs="Times New Roman"/>
          <w:kern w:val="2"/>
        </w:rPr>
        <w:t>、形成</w:t>
      </w:r>
      <w:hyperlink r:id="rId2" w:tgtFrame="_blank">
        <w:r>
          <w:rPr>
            <w:rStyle w:val="InternetLink"/>
            <w:rFonts w:cs="Times New Roman"/>
            <w:kern w:val="2"/>
          </w:rPr>
          <w:t>客户管理</w:t>
        </w:r>
      </w:hyperlink>
      <w:r>
        <w:rPr>
          <w:rFonts w:cs="Times New Roman"/>
          <w:kern w:val="2"/>
        </w:rPr>
        <w:t>方案：老客户维护，（特别是协议客户）新客户开发目标，公司重点客户服务管理办法，每季度形成并提交董事会上一季度客户购买分析报告；</w:t>
      </w:r>
    </w:p>
    <w:p>
      <w:pPr>
        <w:pStyle w:val="Style15"/>
        <w:shd w:fill="FFFFFF" w:val="clear"/>
        <w:spacing w:lineRule="exact" w:line="440" w:before="0" w:after="0"/>
        <w:jc w:val="both"/>
        <w:rPr>
          <w:rFonts w:cs="Times New Roman"/>
          <w:kern w:val="2"/>
        </w:rPr>
      </w:pPr>
      <w:bookmarkStart w:id="0" w:name="_GoBack"/>
      <w:bookmarkEnd w:id="0"/>
      <w:r>
        <w:rPr>
          <w:rFonts w:cs="Times New Roman"/>
          <w:b/>
          <w:bCs/>
          <w:kern w:val="2"/>
        </w:rPr>
        <w:t>3</w:t>
      </w:r>
      <w:r>
        <w:rPr>
          <w:rFonts w:cs="Times New Roman"/>
          <w:b/>
          <w:bCs/>
          <w:kern w:val="2"/>
        </w:rPr>
        <w:t>）系统建设</w:t>
      </w:r>
    </w:p>
    <w:p>
      <w:pPr>
        <w:pStyle w:val="Style15"/>
        <w:shd w:fill="FFFFFF" w:val="clear"/>
        <w:spacing w:lineRule="exact" w:line="440" w:before="0" w:after="0"/>
        <w:ind w:firstLine="465"/>
        <w:jc w:val="both"/>
        <w:rPr>
          <w:rFonts w:cs="Times New Roman"/>
          <w:kern w:val="2"/>
        </w:rPr>
      </w:pPr>
      <w:r>
        <w:rPr>
          <w:rFonts w:cs="Times New Roman"/>
          <w:kern w:val="2"/>
        </w:rPr>
        <w:t>完成组织系统、生产系统、财务系统、营销系统的建设及导入工作</w:t>
      </w:r>
    </w:p>
    <w:p>
      <w:pPr>
        <w:pStyle w:val="Style15"/>
        <w:shd w:fill="FFFFFF" w:val="clear"/>
        <w:spacing w:lineRule="exact" w:line="440" w:before="0" w:after="0"/>
        <w:jc w:val="both"/>
        <w:rPr>
          <w:rFonts w:cs="Times New Roman"/>
          <w:b/>
          <w:b/>
          <w:kern w:val="2"/>
        </w:rPr>
      </w:pPr>
      <w:r>
        <w:rPr>
          <w:rFonts w:cs="Times New Roman"/>
          <w:b/>
          <w:kern w:val="2"/>
        </w:rPr>
        <w:t>4</w:t>
      </w:r>
      <w:r>
        <w:rPr>
          <w:rFonts w:cs="Times New Roman"/>
          <w:b/>
          <w:kern w:val="2"/>
        </w:rPr>
        <w:t>）人才建设</w:t>
      </w:r>
    </w:p>
    <w:p>
      <w:pPr>
        <w:pStyle w:val="Normal"/>
        <w:spacing w:lineRule="exact" w:line="440"/>
        <w:ind w:firstLine="117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 </w:t>
      </w:r>
      <w:r>
        <w:rPr>
          <w:rFonts w:ascii="宋体" w:hAnsi="宋体" w:cs="宋体"/>
          <w:sz w:val="24"/>
          <w:szCs w:val="24"/>
        </w:rPr>
        <w:t>完成集团骨干的人才搭建工作</w:t>
      </w:r>
    </w:p>
    <w:p>
      <w:pPr>
        <w:pStyle w:val="Normal"/>
        <w:spacing w:lineRule="exact" w:line="440"/>
        <w:ind w:firstLine="117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三、乙方的薪酬结构及收益说明</w:t>
      </w:r>
      <w:r>
        <w:rPr>
          <w:rFonts w:cs="宋体" w:ascii="宋体" w:hAnsi="宋体"/>
          <w:b/>
          <w:sz w:val="24"/>
          <w:szCs w:val="24"/>
        </w:rPr>
        <w:tab/>
      </w:r>
    </w:p>
    <w:p>
      <w:pPr>
        <w:pStyle w:val="Normal"/>
        <w:spacing w:lineRule="exact" w:line="440"/>
        <w:rPr/>
      </w:pPr>
      <w:r>
        <w:rPr>
          <w:rFonts w:eastAsia="Times New Roman"/>
          <w:b/>
        </w:rPr>
        <w:t xml:space="preserve"> </w:t>
      </w:r>
      <w:r>
        <w:rPr>
          <w:b/>
        </w:rPr>
        <w:t>1</w:t>
      </w:r>
      <w:r>
        <w:rPr>
          <w:b/>
        </w:rPr>
        <w:t>、</w:t>
      </w:r>
      <w:r>
        <w:rPr/>
        <w:t>乙方工资结构为“固定工资</w:t>
      </w:r>
      <w:r>
        <w:rPr/>
        <w:t>+</w:t>
      </w:r>
      <w:r>
        <w:rPr/>
        <w:t>绩效</w:t>
      </w:r>
      <w:r>
        <w:rPr/>
        <w:t>+</w:t>
      </w:r>
      <w:r>
        <w:rPr/>
        <w:t>提成</w:t>
      </w:r>
      <w:r>
        <w:rPr/>
        <w:t>+</w:t>
      </w:r>
      <w:r>
        <w:rPr/>
        <w:t>分红</w:t>
      </w:r>
      <w:r>
        <w:rPr/>
        <w:t>+</w:t>
      </w:r>
      <w:r>
        <w:rPr/>
        <w:t>年终奖金”，其中：</w:t>
      </w:r>
    </w:p>
    <w:p>
      <w:pPr>
        <w:pStyle w:val="Normal"/>
        <w:spacing w:lineRule="exact" w:line="440"/>
        <w:ind w:firstLine="480"/>
        <w:rPr>
          <w:rFonts w:ascii="宋体" w:hAnsi="宋体" w:cs="宋体"/>
          <w:color w:val="FF0000"/>
          <w:sz w:val="24"/>
          <w:szCs w:val="24"/>
        </w:rPr>
      </w:pPr>
      <w:r>
        <w:rPr>
          <w:rFonts w:ascii="宋体" w:hAnsi="宋体" w:cs="宋体"/>
          <w:color w:val="FF0000"/>
          <w:sz w:val="24"/>
          <w:szCs w:val="24"/>
        </w:rPr>
        <w:t>固定工资为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color w:val="FF0000"/>
          <w:sz w:val="24"/>
          <w:szCs w:val="24"/>
        </w:rPr>
        <w:t>；绩效工资为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color w:val="FF0000"/>
          <w:sz w:val="24"/>
          <w:szCs w:val="24"/>
        </w:rPr>
        <w:t xml:space="preserve"> ；提成：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          </w:t>
      </w:r>
      <w:r>
        <w:rPr>
          <w:rFonts w:ascii="宋体" w:hAnsi="宋体" w:cs="宋体"/>
          <w:color w:val="FF0000"/>
          <w:sz w:val="24"/>
          <w:szCs w:val="24"/>
        </w:rPr>
        <w:t>；分红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      </w:t>
      </w:r>
      <w:r>
        <w:rPr>
          <w:rFonts w:ascii="宋体" w:hAnsi="宋体" w:cs="宋体"/>
          <w:color w:val="FF0000"/>
          <w:sz w:val="24"/>
          <w:szCs w:val="24"/>
        </w:rPr>
        <w:t>；年终奖金为</w:t>
      </w:r>
      <w:r>
        <w:rPr>
          <w:rFonts w:ascii="宋体" w:hAnsi="宋体" w:cs="宋体"/>
          <w:color w:val="FF0000"/>
          <w:sz w:val="24"/>
          <w:szCs w:val="24"/>
          <w:u w:val="single"/>
        </w:rPr>
        <w:t xml:space="preserve">        </w:t>
      </w:r>
      <w:r>
        <w:rPr>
          <w:rFonts w:ascii="宋体" w:hAnsi="宋体" w:cs="宋体"/>
          <w:color w:val="FF0000"/>
          <w:sz w:val="24"/>
          <w:szCs w:val="24"/>
        </w:rPr>
        <w:t>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、收益说明：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1</w:t>
      </w:r>
      <w:r>
        <w:rPr>
          <w:rFonts w:ascii="宋体" w:hAnsi="宋体" w:cs="宋体"/>
          <w:color w:val="FF0000"/>
          <w:sz w:val="24"/>
          <w:szCs w:val="24"/>
        </w:rPr>
        <w:t>）固定工资：与日常职责履行挂钩，具体参照《岗位工作分析表》；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2</w:t>
      </w:r>
      <w:r>
        <w:rPr>
          <w:rFonts w:ascii="宋体" w:hAnsi="宋体" w:cs="宋体"/>
          <w:color w:val="FF0000"/>
          <w:sz w:val="24"/>
          <w:szCs w:val="24"/>
        </w:rPr>
        <w:t>）绩效工资</w:t>
      </w:r>
      <w:r>
        <w:rPr>
          <w:rFonts w:cs="宋体" w:ascii="宋体" w:hAnsi="宋体"/>
          <w:color w:val="FF0000"/>
          <w:sz w:val="24"/>
          <w:szCs w:val="24"/>
        </w:rPr>
        <w:t>:</w:t>
      </w:r>
      <w:r>
        <w:rPr>
          <w:rFonts w:ascii="宋体" w:hAnsi="宋体" w:cs="宋体"/>
          <w:color w:val="FF0000"/>
          <w:sz w:val="24"/>
          <w:szCs w:val="24"/>
        </w:rPr>
        <w:t>与月度绩效考核持钩，具体参照《岗位月度绩效考核表》；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3</w:t>
      </w:r>
      <w:r>
        <w:rPr>
          <w:rFonts w:ascii="宋体" w:hAnsi="宋体" w:cs="宋体"/>
          <w:color w:val="FF0000"/>
          <w:sz w:val="24"/>
          <w:szCs w:val="24"/>
        </w:rPr>
        <w:t xml:space="preserve">）提成：销售业绩的   </w:t>
      </w:r>
      <w:r>
        <w:rPr>
          <w:rFonts w:cs="宋体" w:ascii="宋体" w:hAnsi="宋体"/>
          <w:color w:val="FF0000"/>
          <w:sz w:val="24"/>
          <w:szCs w:val="24"/>
        </w:rPr>
        <w:t>%</w:t>
      </w:r>
      <w:r>
        <w:rPr>
          <w:rFonts w:ascii="宋体" w:hAnsi="宋体" w:cs="宋体"/>
          <w:color w:val="FF0000"/>
          <w:sz w:val="24"/>
          <w:szCs w:val="24"/>
        </w:rPr>
        <w:t xml:space="preserve">，超额完成销售目标，提成为  </w:t>
      </w:r>
      <w:r>
        <w:rPr>
          <w:rFonts w:cs="宋体" w:ascii="宋体" w:hAnsi="宋体"/>
          <w:color w:val="FF0000"/>
          <w:sz w:val="24"/>
          <w:szCs w:val="24"/>
        </w:rPr>
        <w:t>%</w:t>
      </w:r>
      <w:r>
        <w:rPr>
          <w:rFonts w:ascii="宋体" w:hAnsi="宋体" w:cs="宋体"/>
          <w:color w:val="FF0000"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4</w:t>
      </w:r>
      <w:r>
        <w:rPr>
          <w:rFonts w:ascii="宋体" w:hAnsi="宋体" w:cs="宋体"/>
          <w:color w:val="FF0000"/>
          <w:sz w:val="24"/>
          <w:szCs w:val="24"/>
        </w:rPr>
        <w:t xml:space="preserve">）分红：为公司利润的   </w:t>
      </w:r>
      <w:r>
        <w:rPr>
          <w:rFonts w:cs="宋体" w:ascii="宋体" w:hAnsi="宋体"/>
          <w:color w:val="FF0000"/>
          <w:sz w:val="24"/>
          <w:szCs w:val="24"/>
        </w:rPr>
        <w:t>%</w:t>
      </w:r>
      <w:r>
        <w:rPr>
          <w:rFonts w:ascii="宋体" w:hAnsi="宋体" w:cs="宋体"/>
          <w:color w:val="FF0000"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  <w:t>5</w:t>
      </w:r>
      <w:r>
        <w:rPr>
          <w:rFonts w:ascii="宋体" w:hAnsi="宋体" w:cs="宋体"/>
          <w:color w:val="FF0000"/>
          <w:sz w:val="24"/>
          <w:szCs w:val="24"/>
        </w:rPr>
        <w:t xml:space="preserve">）年终奖金：为公司超额利润部分的   </w:t>
      </w:r>
      <w:r>
        <w:rPr>
          <w:rFonts w:cs="宋体" w:ascii="宋体" w:hAnsi="宋体"/>
          <w:color w:val="FF0000"/>
          <w:sz w:val="24"/>
          <w:szCs w:val="24"/>
        </w:rPr>
        <w:t>%</w:t>
      </w:r>
      <w:r>
        <w:rPr>
          <w:rFonts w:ascii="宋体" w:hAnsi="宋体" w:cs="宋体"/>
          <w:color w:val="FF0000"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color w:val="FF0000"/>
          <w:sz w:val="24"/>
          <w:szCs w:val="24"/>
        </w:rPr>
      </w:pPr>
      <w:r>
        <w:rPr>
          <w:rFonts w:cs="宋体" w:ascii="宋体" w:hAnsi="宋体"/>
          <w:color w:val="FF0000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四、乙方全年绩效考核指标与方法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（一）乙方绩效考核表</w:t>
      </w:r>
      <w:r>
        <w:rPr>
          <w:rFonts w:ascii="宋体" w:hAnsi="宋体" w:cs="宋体"/>
          <w:b/>
          <w:color w:val="FF0000"/>
          <w:sz w:val="24"/>
          <w:szCs w:val="24"/>
        </w:rPr>
        <w:t>（本岗位本年度目标为：   ，其中将收益的   与目标挂钩，挂钩的办法是   ）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jc w:val="center"/>
        <w:outlineLvl w:val="0"/>
        <w:rPr>
          <w:rFonts w:ascii="宋体" w:hAnsi="宋体" w:cs="宋体"/>
          <w:sz w:val="24"/>
        </w:rPr>
      </w:pPr>
      <w:r>
        <w:rPr>
          <w:rFonts w:ascii="宋体" w:hAnsi="宋体" w:cs="宋体"/>
          <w:b/>
          <w:sz w:val="24"/>
        </w:rPr>
        <w:t>执行总经理考核评分表（年度）</w:t>
      </w:r>
    </w:p>
    <w:p>
      <w:pPr>
        <w:pStyle w:val="Normal"/>
        <w:jc w:val="end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考核期间：        年   月</w:t>
      </w:r>
    </w:p>
    <w:tbl>
      <w:tblPr>
        <w:tblW w:w="10375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1"/>
        <w:gridCol w:w="390"/>
        <w:gridCol w:w="121"/>
        <w:gridCol w:w="975"/>
        <w:gridCol w:w="783"/>
        <w:gridCol w:w="83"/>
        <w:gridCol w:w="582"/>
        <w:gridCol w:w="1794"/>
        <w:gridCol w:w="173"/>
        <w:gridCol w:w="1495"/>
        <w:gridCol w:w="1598"/>
        <w:gridCol w:w="437"/>
        <w:gridCol w:w="327"/>
        <w:gridCol w:w="99"/>
        <w:gridCol w:w="456"/>
        <w:gridCol w:w="36"/>
        <w:gridCol w:w="515"/>
      </w:tblGrid>
      <w:tr>
        <w:trPr>
          <w:trHeight w:val="340" w:hRule="atLeast"/>
          <w:cantSplit w:val="true"/>
        </w:trPr>
        <w:tc>
          <w:tcPr>
            <w:tcW w:w="901" w:type="dxa"/>
            <w:gridSpan w:val="2"/>
            <w:tcBorders>
              <w:top w:val="single" w:sz="12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姓名</w:t>
            </w:r>
          </w:p>
        </w:tc>
        <w:tc>
          <w:tcPr>
            <w:tcW w:w="1879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459" w:type="dxa"/>
            <w:gridSpan w:val="3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岗位</w:t>
            </w:r>
          </w:p>
        </w:tc>
        <w:tc>
          <w:tcPr>
            <w:tcW w:w="5136" w:type="dxa"/>
            <w:gridSpan w:val="9"/>
            <w:tcBorders>
              <w:top w:val="single" w:sz="12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CEO</w:t>
            </w:r>
          </w:p>
        </w:tc>
      </w:tr>
      <w:tr>
        <w:trPr>
          <w:trHeight w:val="340" w:hRule="atLeast"/>
          <w:cantSplit w:val="true"/>
        </w:trPr>
        <w:tc>
          <w:tcPr>
            <w:tcW w:w="511" w:type="dxa"/>
            <w:vMerge w:val="restart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任务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绩效</w:t>
            </w:r>
          </w:p>
        </w:tc>
        <w:tc>
          <w:tcPr>
            <w:tcW w:w="511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1758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考核项目</w:t>
            </w:r>
          </w:p>
        </w:tc>
        <w:tc>
          <w:tcPr>
            <w:tcW w:w="665" w:type="dxa"/>
            <w:gridSpan w:val="2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1967" w:type="dxa"/>
            <w:gridSpan w:val="2"/>
            <w:vMerge w:val="restart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指标要求</w:t>
            </w:r>
          </w:p>
        </w:tc>
        <w:tc>
          <w:tcPr>
            <w:tcW w:w="3530" w:type="dxa"/>
            <w:gridSpan w:val="3"/>
            <w:vMerge w:val="restart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评分等级</w:t>
            </w:r>
          </w:p>
        </w:tc>
        <w:tc>
          <w:tcPr>
            <w:tcW w:w="1433" w:type="dxa"/>
            <w:gridSpan w:val="5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得分</w:t>
            </w:r>
          </w:p>
        </w:tc>
      </w:tr>
      <w:tr>
        <w:trPr>
          <w:trHeight w:val="340" w:hRule="atLeast"/>
          <w:cantSplit w:val="true"/>
        </w:trPr>
        <w:tc>
          <w:tcPr>
            <w:tcW w:w="51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758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665" w:type="dxa"/>
            <w:gridSpan w:val="2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1967" w:type="dxa"/>
            <w:gridSpan w:val="2"/>
            <w:vMerge w:val="continue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3530" w:type="dxa"/>
            <w:gridSpan w:val="3"/>
            <w:vMerge w:val="continue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55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624" w:hRule="atLeast"/>
          <w:cantSplit w:val="true"/>
        </w:trPr>
        <w:tc>
          <w:tcPr>
            <w:tcW w:w="51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175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ind w:start="-5" w:hanging="14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销售额</w:t>
            </w:r>
          </w:p>
        </w:tc>
        <w:tc>
          <w:tcPr>
            <w:tcW w:w="66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Style16"/>
              <w:jc w:val="end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eastAsia="黑体" w:cs="黑体" w:ascii="黑体" w:hAnsi="黑体"/>
                <w:bCs w:val="false"/>
                <w:szCs w:val="21"/>
              </w:rPr>
              <w:t>30%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实际到账的现金总量</w:t>
            </w:r>
          </w:p>
        </w:tc>
        <w:tc>
          <w:tcPr>
            <w:tcW w:w="353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</w:t>
            </w: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亿以上</w:t>
            </w:r>
            <w:r>
              <w:rPr>
                <w:rFonts w:eastAsia="黑体" w:cs="黑体" w:ascii="黑体" w:hAnsi="黑体"/>
                <w:szCs w:val="21"/>
              </w:rPr>
              <w:t>30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</w:t>
            </w:r>
            <w:r>
              <w:rPr>
                <w:rFonts w:eastAsia="黑体" w:cs="黑体" w:ascii="黑体" w:hAnsi="黑体"/>
                <w:szCs w:val="21"/>
              </w:rPr>
              <w:t>9600</w:t>
            </w:r>
            <w:r>
              <w:rPr>
                <w:rFonts w:ascii="黑体" w:hAnsi="黑体" w:cs="黑体" w:eastAsia="黑体"/>
                <w:szCs w:val="21"/>
              </w:rPr>
              <w:t>万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</w:t>
            </w:r>
            <w:r>
              <w:rPr>
                <w:rFonts w:eastAsia="黑体" w:cs="黑体" w:ascii="黑体" w:hAnsi="黑体"/>
                <w:szCs w:val="21"/>
              </w:rPr>
              <w:t>9000</w:t>
            </w:r>
            <w:r>
              <w:rPr>
                <w:rFonts w:ascii="黑体" w:hAnsi="黑体" w:cs="黑体" w:eastAsia="黑体"/>
                <w:szCs w:val="21"/>
              </w:rPr>
              <w:t>万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</w:t>
            </w:r>
            <w:r>
              <w:rPr>
                <w:rFonts w:eastAsia="黑体" w:cs="黑体" w:ascii="黑体" w:hAnsi="黑体"/>
                <w:szCs w:val="21"/>
              </w:rPr>
              <w:t>8000</w:t>
            </w:r>
            <w:r>
              <w:rPr>
                <w:rFonts w:ascii="黑体" w:hAnsi="黑体" w:cs="黑体" w:eastAsia="黑体"/>
                <w:szCs w:val="21"/>
              </w:rPr>
              <w:t>万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</w:t>
            </w:r>
            <w:r>
              <w:rPr>
                <w:rFonts w:eastAsia="黑体" w:cs="黑体" w:ascii="黑体" w:hAnsi="黑体"/>
                <w:szCs w:val="21"/>
              </w:rPr>
              <w:t>7600</w:t>
            </w:r>
            <w:r>
              <w:rPr>
                <w:rFonts w:ascii="黑体" w:hAnsi="黑体" w:cs="黑体" w:eastAsia="黑体"/>
                <w:szCs w:val="21"/>
              </w:rPr>
              <w:t>万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7600</w:t>
            </w:r>
            <w:r>
              <w:rPr>
                <w:rFonts w:ascii="黑体" w:hAnsi="黑体" w:cs="黑体" w:eastAsia="黑体"/>
                <w:szCs w:val="21"/>
              </w:rPr>
              <w:t>万以下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175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利润</w:t>
            </w:r>
          </w:p>
        </w:tc>
        <w:tc>
          <w:tcPr>
            <w:tcW w:w="66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30%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税前利润</w:t>
            </w:r>
          </w:p>
        </w:tc>
        <w:tc>
          <w:tcPr>
            <w:tcW w:w="353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完成利润</w:t>
            </w:r>
            <w:r>
              <w:rPr>
                <w:rFonts w:eastAsia="黑体" w:cs="黑体" w:ascii="黑体" w:hAnsi="黑体"/>
                <w:szCs w:val="21"/>
              </w:rPr>
              <w:t>1000</w:t>
            </w:r>
            <w:r>
              <w:rPr>
                <w:rFonts w:ascii="黑体" w:hAnsi="黑体" w:cs="黑体" w:eastAsia="黑体"/>
                <w:szCs w:val="21"/>
              </w:rPr>
              <w:t>万以上</w:t>
            </w:r>
            <w:r>
              <w:rPr>
                <w:rFonts w:eastAsia="黑体" w:cs="黑体" w:ascii="黑体" w:hAnsi="黑体"/>
                <w:szCs w:val="21"/>
              </w:rPr>
              <w:t>30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完成利润</w:t>
            </w:r>
            <w:r>
              <w:rPr>
                <w:rFonts w:eastAsia="黑体" w:cs="黑体" w:ascii="黑体" w:hAnsi="黑体"/>
                <w:szCs w:val="21"/>
              </w:rPr>
              <w:t>960</w:t>
            </w:r>
            <w:r>
              <w:rPr>
                <w:rFonts w:ascii="黑体" w:hAnsi="黑体" w:cs="黑体" w:eastAsia="黑体"/>
                <w:szCs w:val="21"/>
              </w:rPr>
              <w:t>万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完成利润</w:t>
            </w:r>
            <w:r>
              <w:rPr>
                <w:rFonts w:eastAsia="黑体" w:cs="黑体" w:ascii="黑体" w:hAnsi="黑体"/>
                <w:szCs w:val="21"/>
              </w:rPr>
              <w:t>900</w:t>
            </w:r>
            <w:r>
              <w:rPr>
                <w:rFonts w:ascii="黑体" w:hAnsi="黑体" w:cs="黑体" w:eastAsia="黑体"/>
                <w:szCs w:val="21"/>
              </w:rPr>
              <w:t>万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完成利润</w:t>
            </w:r>
            <w:r>
              <w:rPr>
                <w:rFonts w:eastAsia="黑体" w:cs="黑体" w:ascii="黑体" w:hAnsi="黑体"/>
                <w:szCs w:val="21"/>
              </w:rPr>
              <w:t>800</w:t>
            </w:r>
            <w:r>
              <w:rPr>
                <w:rFonts w:ascii="黑体" w:hAnsi="黑体" w:cs="黑体" w:eastAsia="黑体"/>
                <w:szCs w:val="21"/>
              </w:rPr>
              <w:t>万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完成利润</w:t>
            </w:r>
            <w:r>
              <w:rPr>
                <w:rFonts w:eastAsia="黑体" w:cs="黑体" w:ascii="黑体" w:hAnsi="黑体"/>
                <w:szCs w:val="21"/>
              </w:rPr>
              <w:t>760</w:t>
            </w:r>
            <w:r>
              <w:rPr>
                <w:rFonts w:ascii="黑体" w:hAnsi="黑体" w:cs="黑体" w:eastAsia="黑体"/>
                <w:szCs w:val="21"/>
              </w:rPr>
              <w:t>万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760</w:t>
            </w:r>
            <w:r>
              <w:rPr>
                <w:rFonts w:ascii="黑体" w:hAnsi="黑体" w:cs="黑体" w:eastAsia="黑体"/>
                <w:szCs w:val="21"/>
              </w:rPr>
              <w:t>万以下为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175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新产品研发</w:t>
            </w:r>
          </w:p>
        </w:tc>
        <w:tc>
          <w:tcPr>
            <w:tcW w:w="66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指经过研发上市产生销售额的产品</w:t>
            </w:r>
          </w:p>
        </w:tc>
        <w:tc>
          <w:tcPr>
            <w:tcW w:w="353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按照流程研发新产品，达到进度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研发成功但未产生销售额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未完成进度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175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新市场开发</w:t>
            </w:r>
          </w:p>
        </w:tc>
        <w:tc>
          <w:tcPr>
            <w:tcW w:w="665" w:type="dxa"/>
            <w:gridSpan w:val="2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按照战略规划完成公司的新市场开发</w:t>
            </w:r>
          </w:p>
        </w:tc>
        <w:tc>
          <w:tcPr>
            <w:tcW w:w="3530" w:type="dxa"/>
            <w:gridSpan w:val="3"/>
            <w:tcBorders>
              <w:top w:val="single" w:sz="6" w:space="0" w:color="000000"/>
              <w:start w:val="single" w:sz="6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完成，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每少两家扣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分，直至为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</w:p>
        </w:tc>
        <w:tc>
          <w:tcPr>
            <w:tcW w:w="175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系统建设</w:t>
            </w:r>
          </w:p>
        </w:tc>
        <w:tc>
          <w:tcPr>
            <w:tcW w:w="665" w:type="dxa"/>
            <w:gridSpan w:val="2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967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2012</w:t>
            </w:r>
            <w:r>
              <w:rPr>
                <w:rFonts w:ascii="黑体" w:hAnsi="黑体" w:cs="黑体" w:eastAsia="黑体"/>
                <w:szCs w:val="21"/>
              </w:rPr>
              <w:t>年导入财务系统、组织系统</w:t>
            </w:r>
          </w:p>
        </w:tc>
        <w:tc>
          <w:tcPr>
            <w:tcW w:w="3530" w:type="dxa"/>
            <w:gridSpan w:val="3"/>
            <w:tcBorders>
              <w:top w:val="single" w:sz="4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 xml:space="preserve">制作系统并导入流程， 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制作但未导入，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未制作、未导入，</w:t>
            </w:r>
            <w:r>
              <w:rPr>
                <w:rFonts w:eastAsia="黑体" w:cs="黑体" w:ascii="黑体" w:hAnsi="黑体"/>
                <w:szCs w:val="21"/>
              </w:rPr>
              <w:t>0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6</w:t>
            </w:r>
          </w:p>
        </w:tc>
        <w:tc>
          <w:tcPr>
            <w:tcW w:w="1758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储备总经理培养</w:t>
            </w:r>
          </w:p>
        </w:tc>
        <w:tc>
          <w:tcPr>
            <w:tcW w:w="665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end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10%</w:t>
            </w:r>
          </w:p>
        </w:tc>
        <w:tc>
          <w:tcPr>
            <w:tcW w:w="1967" w:type="dxa"/>
            <w:gridSpan w:val="2"/>
            <w:tcBorders>
              <w:top w:val="single" w:sz="6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正式总经理</w:t>
            </w:r>
            <w:r>
              <w:rPr>
                <w:rFonts w:eastAsia="黑体" w:cs="黑体" w:ascii="黑体" w:hAnsi="黑体"/>
                <w:szCs w:val="21"/>
              </w:rPr>
              <w:t>12</w:t>
            </w:r>
            <w:r>
              <w:rPr>
                <w:rFonts w:ascii="黑体" w:hAnsi="黑体" w:cs="黑体" w:eastAsia="黑体"/>
                <w:szCs w:val="21"/>
              </w:rPr>
              <w:t>名，储备总经理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名</w:t>
            </w:r>
          </w:p>
        </w:tc>
        <w:tc>
          <w:tcPr>
            <w:tcW w:w="3530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按要求完成未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jc w:val="start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每少一名扣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分，直至为</w:t>
            </w:r>
            <w:r>
              <w:rPr>
                <w:rFonts w:eastAsia="黑体" w:cs="黑体" w:ascii="黑体" w:hAnsi="黑体"/>
                <w:szCs w:val="21"/>
              </w:rPr>
              <w:t>0</w:t>
            </w:r>
          </w:p>
        </w:tc>
        <w:tc>
          <w:tcPr>
            <w:tcW w:w="42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456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51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95" w:hRule="atLeast"/>
          <w:cantSplit w:val="true"/>
        </w:trPr>
        <w:tc>
          <w:tcPr>
            <w:tcW w:w="511" w:type="dxa"/>
            <w:vMerge w:val="continue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269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Style16"/>
              <w:jc w:val="center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加权合计</w:t>
            </w:r>
          </w:p>
        </w:tc>
        <w:tc>
          <w:tcPr>
            <w:tcW w:w="7595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Style16"/>
              <w:snapToGrid w:val="false"/>
              <w:rPr>
                <w:rFonts w:ascii="黑体" w:hAnsi="黑体" w:eastAsia="黑体" w:cs="黑体"/>
                <w:bCs w:val="false"/>
                <w:szCs w:val="21"/>
              </w:rPr>
            </w:pPr>
            <w:r>
              <w:rPr>
                <w:rFonts w:eastAsia="黑体" w:cs="黑体" w:ascii="黑体" w:hAnsi="黑体"/>
                <w:bCs w:val="false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11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行为</w:t>
            </w:r>
          </w:p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</w:t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序号</w:t>
            </w:r>
          </w:p>
        </w:tc>
        <w:tc>
          <w:tcPr>
            <w:tcW w:w="9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行为指标</w:t>
            </w:r>
          </w:p>
        </w:tc>
        <w:tc>
          <w:tcPr>
            <w:tcW w:w="86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权重</w:t>
            </w:r>
          </w:p>
        </w:tc>
        <w:tc>
          <w:tcPr>
            <w:tcW w:w="4044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指标说明</w:t>
            </w:r>
          </w:p>
        </w:tc>
        <w:tc>
          <w:tcPr>
            <w:tcW w:w="1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考核评分</w:t>
            </w:r>
          </w:p>
        </w:tc>
        <w:tc>
          <w:tcPr>
            <w:tcW w:w="7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自评</w:t>
            </w:r>
          </w:p>
        </w:tc>
        <w:tc>
          <w:tcPr>
            <w:tcW w:w="591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上级</w:t>
            </w:r>
          </w:p>
        </w:tc>
        <w:tc>
          <w:tcPr>
            <w:tcW w:w="51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结果</w:t>
            </w:r>
          </w:p>
        </w:tc>
      </w:tr>
      <w:tr>
        <w:trPr>
          <w:trHeight w:val="624" w:hRule="atLeast"/>
          <w:cantSplit w:val="true"/>
        </w:trPr>
        <w:tc>
          <w:tcPr>
            <w:tcW w:w="511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6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</w:p>
        </w:tc>
        <w:tc>
          <w:tcPr>
            <w:tcW w:w="9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承担责任</w:t>
            </w:r>
          </w:p>
        </w:tc>
        <w:tc>
          <w:tcPr>
            <w:tcW w:w="86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44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、承认结果，而不是强调愿望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、承担责任，不推卸，不指责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、着手解决问题，减少业务流程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、举一反三，改进业务流程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、做事有预见，有防误设计</w:t>
            </w:r>
          </w:p>
        </w:tc>
        <w:tc>
          <w:tcPr>
            <w:tcW w:w="1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bookmarkStart w:id="1" w:name="OLE_LINK2"/>
            <w:bookmarkStart w:id="2" w:name="OLE_LINK1"/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  <w:bookmarkEnd w:id="1"/>
            <w:bookmarkEnd w:id="2"/>
          </w:p>
        </w:tc>
        <w:tc>
          <w:tcPr>
            <w:tcW w:w="7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91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1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领导力</w:t>
            </w:r>
          </w:p>
        </w:tc>
        <w:tc>
          <w:tcPr>
            <w:tcW w:w="86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44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、任命员工合理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、能正确评价员工付出与回报协调性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、对员工业绩与态度进行客观评价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、掌握岗位精确工作技术及全面专家并组织实施产生良好效果，培训员工为胜任力者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、影响力大，员工自愿追随并付出贡献</w:t>
            </w:r>
          </w:p>
        </w:tc>
        <w:tc>
          <w:tcPr>
            <w:tcW w:w="1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7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91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1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</w:p>
        </w:tc>
        <w:tc>
          <w:tcPr>
            <w:tcW w:w="9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color w:val="000000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指挥</w:t>
            </w:r>
          </w:p>
        </w:tc>
        <w:tc>
          <w:tcPr>
            <w:tcW w:w="86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44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、常规指标并清晰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、详细指导并告知操作方法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、坚决洽当处理不合理要求并对后果负责，控制场面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、团队工作井然，成员离场行为较好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、指挥具有艺术性，成员不易违规</w:t>
            </w:r>
          </w:p>
        </w:tc>
        <w:tc>
          <w:tcPr>
            <w:tcW w:w="1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7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91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624" w:hRule="atLeast"/>
          <w:cantSplit w:val="true"/>
        </w:trPr>
        <w:tc>
          <w:tcPr>
            <w:tcW w:w="511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1" w:type="dxa"/>
            <w:gridSpan w:val="2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决策</w:t>
            </w:r>
          </w:p>
        </w:tc>
        <w:tc>
          <w:tcPr>
            <w:tcW w:w="866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25%</w:t>
            </w:r>
          </w:p>
        </w:tc>
        <w:tc>
          <w:tcPr>
            <w:tcW w:w="4044" w:type="dxa"/>
            <w:gridSpan w:val="4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1</w:t>
            </w:r>
            <w:r>
              <w:rPr>
                <w:rFonts w:ascii="黑体" w:hAnsi="黑体" w:cs="黑体" w:eastAsia="黑体"/>
                <w:szCs w:val="21"/>
              </w:rPr>
              <w:t>、能做本职及下级决策，出现时间延长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2</w:t>
            </w:r>
            <w:r>
              <w:rPr>
                <w:rFonts w:ascii="黑体" w:hAnsi="黑体" w:cs="黑体" w:eastAsia="黑体"/>
                <w:szCs w:val="21"/>
              </w:rPr>
              <w:t>、通过讨论，总能获取最后正确决策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3</w:t>
            </w:r>
            <w:r>
              <w:rPr>
                <w:rFonts w:ascii="黑体" w:hAnsi="黑体" w:cs="黑体" w:eastAsia="黑体"/>
                <w:szCs w:val="21"/>
              </w:rPr>
              <w:t>、无依赖思想，使用理性工具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4</w:t>
            </w:r>
            <w:r>
              <w:rPr>
                <w:rFonts w:ascii="黑体" w:hAnsi="黑体" w:cs="黑体" w:eastAsia="黑体"/>
                <w:szCs w:val="21"/>
              </w:rPr>
              <w:t>、有预见性，感性与理性决策误差小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、决策超出组织预见，成为组织成员决策依据</w:t>
            </w:r>
          </w:p>
        </w:tc>
        <w:tc>
          <w:tcPr>
            <w:tcW w:w="1598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一级</w:t>
            </w:r>
            <w:r>
              <w:rPr>
                <w:rFonts w:eastAsia="黑体" w:cs="黑体" w:ascii="黑体" w:hAnsi="黑体"/>
                <w:szCs w:val="21"/>
              </w:rPr>
              <w:t>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二级</w:t>
            </w:r>
            <w:r>
              <w:rPr>
                <w:rFonts w:eastAsia="黑体" w:cs="黑体" w:ascii="黑体" w:hAnsi="黑体"/>
                <w:szCs w:val="21"/>
              </w:rPr>
              <w:t>10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三级</w:t>
            </w:r>
            <w:r>
              <w:rPr>
                <w:rFonts w:eastAsia="黑体" w:cs="黑体" w:ascii="黑体" w:hAnsi="黑体"/>
                <w:szCs w:val="21"/>
              </w:rPr>
              <w:t>15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四级</w:t>
            </w:r>
            <w:r>
              <w:rPr>
                <w:rFonts w:eastAsia="黑体" w:cs="黑体" w:ascii="黑体" w:hAnsi="黑体"/>
                <w:szCs w:val="21"/>
              </w:rPr>
              <w:t>20</w:t>
            </w:r>
            <w:r>
              <w:rPr>
                <w:rFonts w:ascii="黑体" w:hAnsi="黑体" w:cs="黑体" w:eastAsia="黑体"/>
                <w:szCs w:val="21"/>
              </w:rPr>
              <w:t>分；</w:t>
            </w:r>
          </w:p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五级</w:t>
            </w:r>
            <w:r>
              <w:rPr>
                <w:rFonts w:eastAsia="黑体" w:cs="黑体" w:ascii="黑体" w:hAnsi="黑体"/>
                <w:szCs w:val="21"/>
              </w:rPr>
              <w:t>25</w:t>
            </w:r>
            <w:r>
              <w:rPr>
                <w:rFonts w:ascii="黑体" w:hAnsi="黑体" w:cs="黑体" w:eastAsia="黑体"/>
                <w:szCs w:val="21"/>
              </w:rPr>
              <w:t>分</w:t>
            </w:r>
          </w:p>
        </w:tc>
        <w:tc>
          <w:tcPr>
            <w:tcW w:w="764" w:type="dxa"/>
            <w:gridSpan w:val="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91" w:type="dxa"/>
            <w:gridSpan w:val="3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515" w:type="dxa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11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6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  <w:tc>
          <w:tcPr>
            <w:tcW w:w="2269" w:type="dxa"/>
            <w:gridSpan w:val="4"/>
            <w:tcBorders>
              <w:top w:val="single" w:sz="4" w:space="0" w:color="000000"/>
              <w:start w:val="single" w:sz="4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b/>
                <w:szCs w:val="21"/>
              </w:rPr>
              <w:t>加权合计</w:t>
            </w:r>
          </w:p>
        </w:tc>
        <w:tc>
          <w:tcPr>
            <w:tcW w:w="7595" w:type="dxa"/>
            <w:gridSpan w:val="12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</w:r>
          </w:p>
        </w:tc>
      </w:tr>
      <w:tr>
        <w:trPr>
          <w:trHeight w:val="340" w:hRule="atLeast"/>
          <w:cantSplit w:val="true"/>
        </w:trPr>
        <w:tc>
          <w:tcPr>
            <w:tcW w:w="511" w:type="dxa"/>
            <w:tcBorders>
              <w:top w:val="single" w:sz="6" w:space="0" w:color="000000"/>
              <w:start w:val="single" w:sz="12" w:space="0" w:color="000000"/>
              <w:bottom w:val="single" w:sz="6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</w:p>
        </w:tc>
        <w:tc>
          <w:tcPr>
            <w:tcW w:w="9864" w:type="dxa"/>
            <w:gridSpan w:val="16"/>
            <w:tcBorders>
              <w:top w:val="single" w:sz="6" w:space="0" w:color="000000"/>
              <w:start w:val="single" w:sz="6" w:space="0" w:color="000000"/>
              <w:bottom w:val="single" w:sz="6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总分</w:t>
            </w:r>
            <w:r>
              <w:rPr>
                <w:rFonts w:eastAsia="黑体" w:cs="黑体" w:ascii="黑体" w:hAnsi="黑体"/>
                <w:szCs w:val="21"/>
              </w:rPr>
              <w:t>=</w:t>
            </w:r>
            <w:r>
              <w:rPr>
                <w:rFonts w:ascii="黑体" w:hAnsi="黑体" w:cs="黑体" w:eastAsia="黑体"/>
                <w:szCs w:val="21"/>
              </w:rPr>
              <w:t>业绩考核得分</w:t>
            </w:r>
            <w:r>
              <w:rPr>
                <w:rFonts w:eastAsia="黑体" w:cs="黑体" w:ascii="黑体" w:hAnsi="黑体"/>
                <w:szCs w:val="21"/>
              </w:rPr>
              <w:t>×  %+</w:t>
            </w:r>
            <w:r>
              <w:rPr>
                <w:rFonts w:ascii="黑体" w:hAnsi="黑体" w:cs="黑体" w:eastAsia="黑体"/>
                <w:szCs w:val="21"/>
              </w:rPr>
              <w:t>行为考核得分</w:t>
            </w:r>
            <w:r>
              <w:rPr>
                <w:rFonts w:eastAsia="黑体" w:cs="黑体" w:ascii="黑体" w:hAnsi="黑体"/>
                <w:szCs w:val="21"/>
              </w:rPr>
              <w:t>×  %=</w:t>
            </w:r>
          </w:p>
        </w:tc>
      </w:tr>
      <w:tr>
        <w:trPr>
          <w:trHeight w:val="340" w:hRule="atLeast"/>
          <w:cantSplit w:val="true"/>
        </w:trPr>
        <w:tc>
          <w:tcPr>
            <w:tcW w:w="511" w:type="dxa"/>
            <w:tcBorders>
              <w:top w:val="single" w:sz="6" w:space="0" w:color="000000"/>
              <w:start w:val="single" w:sz="12" w:space="0" w:color="000000"/>
              <w:bottom w:val="single" w:sz="12" w:space="0" w:color="000000"/>
              <w:end w:val="single" w:sz="6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考核人</w:t>
            </w:r>
          </w:p>
        </w:tc>
        <w:tc>
          <w:tcPr>
            <w:tcW w:w="9864" w:type="dxa"/>
            <w:gridSpan w:val="16"/>
            <w:tcBorders>
              <w:top w:val="single" w:sz="6" w:space="0" w:color="000000"/>
              <w:start w:val="single" w:sz="6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rPr>
                <w:rFonts w:ascii="黑体" w:hAnsi="黑体" w:eastAsia="黑体" w:cs="黑体"/>
                <w:szCs w:val="21"/>
              </w:rPr>
            </w:pPr>
            <w:r>
              <w:rPr>
                <w:rFonts w:eastAsia="黑体" w:cs="黑体" w:ascii="黑体" w:hAnsi="黑体"/>
                <w:szCs w:val="21"/>
              </w:rPr>
              <w:t xml:space="preserve">    </w:t>
            </w:r>
            <w:r>
              <w:rPr>
                <w:rFonts w:ascii="黑体" w:hAnsi="黑体" w:cs="黑体" w:eastAsia="黑体"/>
                <w:szCs w:val="21"/>
              </w:rPr>
              <w:t>签字：</w:t>
            </w:r>
          </w:p>
          <w:p>
            <w:pPr>
              <w:pStyle w:val="Normal"/>
              <w:ind w:firstLine="6300"/>
              <w:rPr>
                <w:rFonts w:ascii="黑体" w:hAnsi="黑体" w:eastAsia="黑体" w:cs="黑体"/>
                <w:szCs w:val="21"/>
              </w:rPr>
            </w:pPr>
            <w:r>
              <w:rPr>
                <w:rFonts w:ascii="黑体" w:hAnsi="黑体" w:cs="黑体" w:eastAsia="黑体"/>
                <w:szCs w:val="21"/>
              </w:rPr>
              <w:t>年    月    日</w:t>
            </w:r>
          </w:p>
        </w:tc>
      </w:tr>
    </w:tbl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outlineLvl w:val="0"/>
        <w:rPr>
          <w:rFonts w:ascii="宋体" w:hAnsi="宋体" w:cs="宋体"/>
          <w:sz w:val="24"/>
        </w:rPr>
      </w:pPr>
      <w:r>
        <w:rPr>
          <w:rFonts w:cs="宋体" w:ascii="宋体" w:hAnsi="宋体"/>
          <w:sz w:val="24"/>
        </w:rPr>
      </w:r>
    </w:p>
    <w:p>
      <w:pPr>
        <w:pStyle w:val="Normal"/>
        <w:numPr>
          <w:ilvl w:val="0"/>
          <w:numId w:val="0"/>
        </w:numPr>
        <w:tabs>
          <w:tab w:val="clear" w:pos="420"/>
          <w:tab w:val="left" w:pos="3780" w:leader="none"/>
        </w:tabs>
        <w:outlineLvl w:val="0"/>
        <w:rPr>
          <w:rFonts w:ascii="宋体" w:hAnsi="宋体" w:cs="宋体"/>
          <w:sz w:val="24"/>
        </w:rPr>
      </w:pPr>
      <w:r>
        <w:rPr>
          <w:rFonts w:cs="宋体" w:ascii="宋体" w:hAnsi="宋体"/>
          <w:sz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（二）考核成绩与奖金系数对应表</w:t>
      </w:r>
    </w:p>
    <w:tbl>
      <w:tblPr>
        <w:tblW w:w="852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862"/>
        <w:gridCol w:w="5660"/>
      </w:tblGrid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考核分数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ascii="宋体" w:hAnsi="宋体" w:cs="宋体"/>
                <w:b/>
                <w:sz w:val="24"/>
                <w:szCs w:val="24"/>
              </w:rPr>
              <w:t>绩效工资系数（</w:t>
            </w:r>
            <w:r>
              <w:rPr>
                <w:rFonts w:cs="宋体" w:ascii="宋体" w:hAnsi="宋体"/>
                <w:b/>
                <w:sz w:val="24"/>
                <w:szCs w:val="24"/>
              </w:rPr>
              <w:t>K</w:t>
            </w:r>
            <w:r>
              <w:rPr>
                <w:rFonts w:ascii="宋体" w:hAnsi="宋体" w:cs="宋体"/>
                <w:b/>
                <w:sz w:val="24"/>
                <w:szCs w:val="24"/>
              </w:rPr>
              <w:t>）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95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分以上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1.2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90-94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1.0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85-89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0.9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80-84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0.8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75-79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0.7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70-74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0.6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65-69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0.5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60-64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0.4</w:t>
            </w:r>
          </w:p>
        </w:tc>
      </w:tr>
      <w:tr>
        <w:trPr/>
        <w:tc>
          <w:tcPr>
            <w:tcW w:w="28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60</w:t>
            </w:r>
            <w:r>
              <w:rPr>
                <w:rFonts w:ascii="宋体" w:hAnsi="宋体" w:cs="宋体"/>
                <w:b/>
                <w:sz w:val="24"/>
                <w:szCs w:val="24"/>
              </w:rPr>
              <w:t>分以下</w:t>
            </w:r>
          </w:p>
        </w:tc>
        <w:tc>
          <w:tcPr>
            <w:tcW w:w="56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40"/>
              <w:rPr>
                <w:rFonts w:ascii="宋体" w:hAnsi="宋体" w:cs="宋体"/>
                <w:b/>
                <w:b/>
                <w:sz w:val="24"/>
                <w:szCs w:val="24"/>
              </w:rPr>
            </w:pPr>
            <w:r>
              <w:rPr>
                <w:rFonts w:cs="宋体" w:ascii="宋体" w:hAnsi="宋体"/>
                <w:b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注：考核奖金总额</w:t>
      </w:r>
      <w:r>
        <w:rPr>
          <w:rFonts w:cs="宋体" w:ascii="宋体" w:hAnsi="宋体"/>
          <w:b/>
          <w:sz w:val="24"/>
          <w:szCs w:val="24"/>
        </w:rPr>
        <w:t>=</w:t>
      </w:r>
      <w:r>
        <w:rPr>
          <w:rFonts w:ascii="宋体" w:hAnsi="宋体" w:cs="宋体"/>
          <w:b/>
          <w:sz w:val="24"/>
          <w:szCs w:val="24"/>
        </w:rPr>
        <w:t>考核奖金基数</w:t>
      </w:r>
      <w:r>
        <w:rPr>
          <w:rFonts w:cs="宋体" w:ascii="宋体" w:hAnsi="宋体"/>
          <w:b/>
          <w:sz w:val="24"/>
          <w:szCs w:val="24"/>
        </w:rPr>
        <w:t>×K</w:t>
      </w:r>
      <w:r>
        <w:rPr>
          <w:rFonts w:ascii="宋体" w:hAnsi="宋体" w:cs="宋体"/>
          <w:b/>
          <w:sz w:val="24"/>
          <w:szCs w:val="24"/>
        </w:rPr>
        <w:t>；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五、乙方义务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、乙方必须保守甲方的商业信息，如有泄漏商业信息要追究乙方的法律责任；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、乙方在工作期间，不得利用职权进行违规作业；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、乙方若工作非常突出，贡献较大，甲方可适当对乙方进行额外嘉奖；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、若乙方在不满服务期主动离开公司，则取消服务期满后的绩效奖励资格；若乙方在不满服务期被动离开公司，则按服务的期限考核兑现。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numPr>
          <w:ilvl w:val="0"/>
          <w:numId w:val="1"/>
        </w:numPr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电网指标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公物私用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不按标准用人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回扣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非公司行为行贿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泄露机密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公款私用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虚报假账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旷工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煽动虚假消息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利用信息获得私人利益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销毁证据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虚假预算获得物质开支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违反品行指标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利用职务之便制造假数据获得利益</w:t>
      </w:r>
    </w:p>
    <w:p>
      <w:pPr>
        <w:pStyle w:val="Normal"/>
        <w:numPr>
          <w:ilvl w:val="0"/>
          <w:numId w:val="2"/>
        </w:numPr>
        <w:spacing w:lineRule="auto" w:line="36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违法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 xml:space="preserve">  </w:t>
      </w:r>
      <w:r>
        <w:rPr>
          <w:rFonts w:ascii="宋体" w:hAnsi="宋体" w:cs="宋体"/>
          <w:b/>
          <w:sz w:val="24"/>
          <w:szCs w:val="24"/>
        </w:rPr>
        <w:t>乙方触及电网指标</w:t>
      </w:r>
      <w:r>
        <w:rPr>
          <w:rFonts w:cs="宋体" w:ascii="宋体" w:hAnsi="宋体"/>
          <w:b/>
          <w:sz w:val="24"/>
          <w:szCs w:val="24"/>
        </w:rPr>
        <w:t>,</w:t>
      </w:r>
      <w:r>
        <w:rPr>
          <w:rFonts w:ascii="宋体" w:hAnsi="宋体" w:cs="宋体"/>
          <w:b/>
          <w:sz w:val="24"/>
          <w:szCs w:val="24"/>
        </w:rPr>
        <w:t>甲方有权对乙方进行停职、降职、降薪、换岗、调离或解约。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七、其他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、本责任书一式二份，甲乙双方各执一份；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、如果中间有变化，经双方友好协商调整。</w:t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3</w:t>
      </w:r>
      <w:r>
        <w:rPr>
          <w:rFonts w:ascii="宋体" w:hAnsi="宋体" w:cs="宋体"/>
          <w:sz w:val="24"/>
          <w:szCs w:val="24"/>
        </w:rPr>
        <w:t>、如岗位变更，工资也随之变化。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sz w:val="24"/>
          <w:szCs w:val="24"/>
        </w:rPr>
        <w:t>4</w:t>
      </w:r>
      <w:r>
        <w:rPr>
          <w:rFonts w:ascii="宋体" w:hAnsi="宋体" w:cs="宋体"/>
          <w:sz w:val="24"/>
          <w:szCs w:val="24"/>
        </w:rPr>
        <w:t>、未尽事宜双方协商确定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甲方：                           乙方： （签字盖章）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签名 ：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签名（第一负责人）：                        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 xml:space="preserve">年     月    日                            年     月    日 </w:t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sz w:val="24"/>
          <w:szCs w:val="24"/>
        </w:rPr>
      </w:pPr>
      <w:r>
        <w:rPr>
          <w:rFonts w:cs="宋体" w:ascii="宋体" w:hAnsi="宋体"/>
          <w:sz w:val="24"/>
          <w:szCs w:val="24"/>
        </w:rPr>
      </w:r>
    </w:p>
    <w:p>
      <w:pPr>
        <w:pStyle w:val="Normal"/>
        <w:spacing w:lineRule="exact" w:line="440"/>
        <w:rPr>
          <w:rFonts w:ascii="宋体" w:hAnsi="宋体" w:cs="宋体"/>
          <w:b/>
          <w:b/>
          <w:sz w:val="24"/>
          <w:szCs w:val="24"/>
        </w:rPr>
      </w:pPr>
      <w:r>
        <w:rPr>
          <w:rFonts w:cs="宋体" w:ascii="宋体" w:hAnsi="宋体"/>
          <w:b/>
          <w:sz w:val="24"/>
          <w:szCs w:val="24"/>
        </w:rPr>
      </w:r>
    </w:p>
    <w:sectPr>
      <w:headerReference w:type="default" r:id="rId3"/>
      <w:footerReference w:type="default" r:id="rId4"/>
      <w:headerReference w:type="first" r:id="rId8"/>
      <w:headerReference w:type="even" r:id="rId9"/>
      <w:footerReference w:type="first" r:id="rId10"/>
      <w:footerReference w:type="even" r:id="rId11"/>
      <w:type w:val="nextPage"/>
      <w:pgSz w:w="11906" w:h="16838"/>
      <w:pgMar w:left="1800" w:right="1800" w:header="851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charset w:val="86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end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7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57785" cy="126365"/>
              <wp:effectExtent l="0" t="0" r="0" b="0"/>
              <wp:wrapSquare wrapText="largest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2636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/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6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.55pt;height:9.95pt;mso-wrap-distance-left:0pt;mso-wrap-distance-right:0pt;mso-wrap-distance-top:0pt;mso-wrap-distance-bottom:0pt;margin-top:0pt;mso-position-vertical:top;mso-position-vertical-relative:text;margin-left:410.7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6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/>
      <w:rPr/>
    </w:pPr>
    <w:r>
      <w:rPr/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6"/>
      <w:numFmt w:val="chineseCountingThousand"/>
      <w:lvlText w:val="%1、"/>
      <w:lvlJc w:val="start"/>
      <w:pPr>
        <w:tabs>
          <w:tab w:val="num" w:pos="0"/>
        </w:tabs>
        <w:ind w:start="510" w:hanging="51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2">
    <w:lvl w:ilvl="0">
      <w:start w:val="1"/>
      <w:numFmt w:val="decimal"/>
      <w:lvlText w:val="%1、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)"/>
      <w:lvlJc w:val="start"/>
      <w:pPr>
        <w:tabs>
          <w:tab w:val="num" w:pos="0"/>
        </w:tabs>
        <w:ind w:start="840" w:hanging="42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260" w:hanging="42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680" w:hanging="420"/>
      </w:pPr>
      <w:rPr/>
    </w:lvl>
    <w:lvl w:ilvl="4">
      <w:start w:val="1"/>
      <w:numFmt w:val="lowerLetter"/>
      <w:lvlText w:val="%5)"/>
      <w:lvlJc w:val="start"/>
      <w:pPr>
        <w:tabs>
          <w:tab w:val="num" w:pos="0"/>
        </w:tabs>
        <w:ind w:start="2100" w:hanging="42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2520" w:hanging="42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940" w:hanging="420"/>
      </w:pPr>
      <w:rPr/>
    </w:lvl>
    <w:lvl w:ilvl="7">
      <w:start w:val="1"/>
      <w:numFmt w:val="lowerLetter"/>
      <w:lvlText w:val="%8)"/>
      <w:lvlJc w:val="start"/>
      <w:pPr>
        <w:tabs>
          <w:tab w:val="num" w:pos="0"/>
        </w:tabs>
        <w:ind w:start="3360" w:hanging="42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3780" w:hanging="42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0"/>
      <w:lang w:val="en-US" w:eastAsia="zh-CN" w:bidi="ar-SA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默认段落字体"/>
    <w:qFormat/>
    <w:rPr/>
  </w:style>
  <w:style w:type="character" w:styleId="InternetLink">
    <w:name w:val="Hyperlink"/>
    <w:rPr>
      <w:color w:val="0000FF"/>
      <w:u w:val="single"/>
    </w:rPr>
  </w:style>
  <w:style w:type="character" w:styleId="StrongEmphasis">
    <w:name w:val="Strong Emphasis"/>
    <w:qFormat/>
    <w:rPr>
      <w:b/>
      <w:bCs/>
    </w:rPr>
  </w:style>
  <w:style w:type="character" w:styleId="Char">
    <w:name w:val="日期 Char"/>
    <w:qFormat/>
    <w:rPr>
      <w:rFonts w:ascii="宋体" w:hAnsi="宋体" w:cs="宋体"/>
      <w:bCs/>
      <w:kern w:val="2"/>
      <w:sz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普通(网站)"/>
    <w:basedOn w:val="Normal"/>
    <w:qFormat/>
    <w:pPr>
      <w:widowControl/>
      <w:spacing w:before="280" w:after="280"/>
      <w:jc w:val="start"/>
    </w:pPr>
    <w:rPr>
      <w:rFonts w:ascii="宋体" w:hAnsi="宋体" w:cs="宋体"/>
      <w:kern w:val="0"/>
      <w:sz w:val="24"/>
      <w:szCs w:val="24"/>
    </w:rPr>
  </w:style>
  <w:style w:type="paragraph" w:styleId="Style16">
    <w:name w:val="日期"/>
    <w:basedOn w:val="Normal"/>
    <w:next w:val="Normal"/>
    <w:qFormat/>
    <w:pPr/>
    <w:rPr>
      <w:rFonts w:ascii="宋体" w:hAnsi="宋体" w:cs="宋体"/>
      <w:bCs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Times New Roman" w:hAnsi="Times New Roman" w:cs="Times New Roman"/>
      <w:sz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6eat.com/DataStore/List/195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footer" Target="footer2.xml"/><Relationship Id="rId11" Type="http://schemas.openxmlformats.org/officeDocument/2006/relationships/footer" Target="footer3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2012-05-07T17:31:00Z</dcterms:created>
  <dc:creator>xxm</dc:creator>
  <dc:description/>
  <dc:language>en-US</dc:language>
  <cp:lastModifiedBy>Administrator</cp:lastModifiedBy>
  <dcterms:modified xsi:type="dcterms:W3CDTF">2020-06-10T10:18:51Z</dcterms:modified>
  <cp:revision>28</cp:revision>
  <dc:subject/>
  <dc:title>2009年工作目标考核协议书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