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440"/>
        <w:jc w:val="center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jc w:val="center"/>
        <w:rPr>
          <w:rFonts w:ascii="宋体" w:hAnsi="宋体" w:cs="宋体"/>
          <w:b/>
          <w:b/>
          <w:sz w:val="36"/>
          <w:szCs w:val="36"/>
        </w:rPr>
      </w:pPr>
      <w:r>
        <w:rPr>
          <w:rFonts w:cs="宋体" w:ascii="宋体" w:hAnsi="宋体"/>
          <w:b/>
          <w:sz w:val="36"/>
          <w:szCs w:val="36"/>
        </w:rPr>
        <w:t>2013</w:t>
      </w:r>
      <w:r>
        <w:rPr>
          <w:rFonts w:ascii="宋体" w:hAnsi="宋体" w:cs="宋体"/>
          <w:b/>
          <w:sz w:val="36"/>
          <w:szCs w:val="36"/>
        </w:rPr>
        <w:t>年运营总监目标责任协议书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 xml:space="preserve"> </w:t>
      </w:r>
      <w:r>
        <w:rPr>
          <w:rFonts w:cs="宋体" w:ascii="宋体" w:hAnsi="宋体"/>
          <w:sz w:val="24"/>
          <w:szCs w:val="24"/>
        </w:rPr>
        <w:t xml:space="preserve"> </w:t>
      </w:r>
      <w:r>
        <w:rPr>
          <w:rFonts w:ascii="宋体" w:hAnsi="宋体" w:cs="宋体"/>
          <w:b/>
          <w:sz w:val="24"/>
          <w:szCs w:val="24"/>
        </w:rPr>
        <w:t>甲方：</w:t>
      </w:r>
      <w:r>
        <w:rPr>
          <w:rFonts w:cs="宋体" w:ascii="宋体" w:hAnsi="宋体"/>
          <w:b/>
          <w:sz w:val="24"/>
          <w:szCs w:val="24"/>
        </w:rPr>
        <w:t>XX</w:t>
      </w:r>
      <w:r>
        <w:rPr>
          <w:rFonts w:ascii="宋体" w:hAnsi="宋体" w:cs="宋体"/>
          <w:b/>
          <w:sz w:val="24"/>
          <w:szCs w:val="24"/>
        </w:rPr>
        <w:t>公司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ascii="宋体" w:hAnsi="宋体" w:cs="宋体"/>
          <w:b/>
          <w:sz w:val="24"/>
          <w:szCs w:val="24"/>
        </w:rPr>
        <w:t>乙方：</w:t>
      </w:r>
      <w:r>
        <w:rPr>
          <w:rFonts w:cs="宋体" w:ascii="宋体" w:hAnsi="宋体"/>
          <w:b/>
          <w:sz w:val="24"/>
          <w:szCs w:val="24"/>
        </w:rPr>
        <w:t>XXX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 xml:space="preserve">   </w:t>
      </w:r>
      <w:r>
        <w:rPr>
          <w:rFonts w:ascii="宋体" w:hAnsi="宋体" w:cs="宋体"/>
          <w:sz w:val="24"/>
          <w:szCs w:val="24"/>
        </w:rPr>
        <w:t>为加强公司人力资源管理，提高公司高管人员积极性，明确甲乙双方劳动关系，经甲乙双方友好协商，特签订本目标责任协议书。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一、聘用岗位和时间</w:t>
      </w:r>
    </w:p>
    <w:p>
      <w:pPr>
        <w:pStyle w:val="Normal"/>
        <w:spacing w:lineRule="exact" w:line="440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甲方聘用乙方担任甲方</w:t>
      </w:r>
      <w:r>
        <w:rPr>
          <w:rFonts w:ascii="宋体" w:hAnsi="宋体" w:cs="宋体"/>
          <w:sz w:val="24"/>
          <w:szCs w:val="24"/>
          <w:u w:val="single"/>
        </w:rPr>
        <w:t xml:space="preserve">  运营总监  </w:t>
      </w:r>
      <w:r>
        <w:rPr>
          <w:rFonts w:ascii="宋体" w:hAnsi="宋体" w:cs="宋体"/>
          <w:sz w:val="24"/>
          <w:szCs w:val="24"/>
        </w:rPr>
        <w:t>职务，全面负责</w:t>
      </w:r>
      <w:r>
        <w:rPr>
          <w:rFonts w:ascii="宋体" w:hAnsi="宋体" w:cs="宋体"/>
          <w:sz w:val="24"/>
          <w:szCs w:val="24"/>
          <w:u w:val="single"/>
        </w:rPr>
        <w:t xml:space="preserve"> 企业内部营运管理         </w:t>
      </w:r>
      <w:r>
        <w:rPr>
          <w:rFonts w:ascii="宋体" w:hAnsi="宋体" w:cs="宋体"/>
          <w:sz w:val="24"/>
          <w:szCs w:val="24"/>
        </w:rPr>
        <w:t>工作，聘任、考核时间为</w:t>
      </w:r>
      <w:r>
        <w:rPr>
          <w:rFonts w:cs="宋体" w:ascii="宋体" w:hAnsi="宋体"/>
          <w:sz w:val="24"/>
          <w:szCs w:val="24"/>
          <w:u w:val="single"/>
        </w:rPr>
        <w:t>20</w:t>
      </w:r>
      <w:r>
        <w:rPr>
          <w:rFonts w:cs="宋体" w:ascii="宋体" w:hAnsi="宋体"/>
          <w:sz w:val="24"/>
          <w:szCs w:val="24"/>
          <w:u w:val="single"/>
          <w:lang w:val="en-US" w:eastAsia="zh-CN"/>
        </w:rPr>
        <w:t>20</w:t>
      </w:r>
      <w:r>
        <w:rPr>
          <w:rFonts w:ascii="宋体" w:hAnsi="宋体" w:cs="宋体"/>
          <w:sz w:val="24"/>
          <w:szCs w:val="24"/>
          <w:u w:val="single"/>
        </w:rPr>
        <w:t>年</w:t>
      </w:r>
      <w:r>
        <w:rPr>
          <w:rFonts w:cs="宋体" w:ascii="宋体" w:hAnsi="宋体"/>
          <w:sz w:val="24"/>
          <w:szCs w:val="24"/>
          <w:u w:val="single"/>
        </w:rPr>
        <w:t>1</w:t>
      </w:r>
      <w:r>
        <w:rPr>
          <w:rFonts w:ascii="宋体" w:hAnsi="宋体" w:cs="宋体"/>
          <w:sz w:val="24"/>
          <w:szCs w:val="24"/>
          <w:u w:val="single"/>
        </w:rPr>
        <w:t>月</w:t>
      </w:r>
      <w:r>
        <w:rPr>
          <w:rFonts w:cs="宋体" w:ascii="宋体" w:hAnsi="宋体"/>
          <w:sz w:val="24"/>
          <w:szCs w:val="24"/>
          <w:u w:val="single"/>
        </w:rPr>
        <w:t>1</w:t>
      </w:r>
      <w:r>
        <w:rPr>
          <w:rFonts w:ascii="宋体" w:hAnsi="宋体" w:cs="宋体"/>
          <w:sz w:val="24"/>
          <w:szCs w:val="24"/>
          <w:u w:val="single"/>
        </w:rPr>
        <w:t>日</w:t>
      </w:r>
      <w:r>
        <w:rPr>
          <w:rFonts w:ascii="宋体" w:hAnsi="宋体" w:cs="宋体"/>
          <w:sz w:val="24"/>
          <w:szCs w:val="24"/>
        </w:rPr>
        <w:t>至</w:t>
      </w:r>
      <w:r>
        <w:rPr>
          <w:rFonts w:cs="宋体" w:ascii="宋体" w:hAnsi="宋体"/>
          <w:sz w:val="24"/>
          <w:szCs w:val="24"/>
          <w:u w:val="single"/>
        </w:rPr>
        <w:t>20</w:t>
      </w:r>
      <w:r>
        <w:rPr>
          <w:rFonts w:cs="宋体" w:ascii="宋体" w:hAnsi="宋体"/>
          <w:sz w:val="24"/>
          <w:szCs w:val="24"/>
          <w:u w:val="single"/>
          <w:lang w:val="en-US" w:eastAsia="zh-CN"/>
        </w:rPr>
        <w:t>20</w:t>
      </w:r>
      <w:r>
        <w:rPr>
          <w:rFonts w:ascii="宋体" w:hAnsi="宋体" w:cs="宋体"/>
          <w:sz w:val="24"/>
          <w:szCs w:val="24"/>
          <w:u w:val="single"/>
        </w:rPr>
        <w:t>年</w:t>
      </w:r>
      <w:r>
        <w:rPr>
          <w:rFonts w:cs="宋体" w:ascii="宋体" w:hAnsi="宋体"/>
          <w:sz w:val="24"/>
          <w:szCs w:val="24"/>
          <w:u w:val="single"/>
        </w:rPr>
        <w:t>12</w:t>
      </w:r>
      <w:r>
        <w:rPr>
          <w:rFonts w:ascii="宋体" w:hAnsi="宋体" w:cs="宋体"/>
          <w:sz w:val="24"/>
          <w:szCs w:val="24"/>
          <w:u w:val="single"/>
        </w:rPr>
        <w:t>月</w:t>
      </w:r>
      <w:r>
        <w:rPr>
          <w:rFonts w:cs="宋体" w:ascii="宋体" w:hAnsi="宋体"/>
          <w:sz w:val="24"/>
          <w:szCs w:val="24"/>
          <w:u w:val="single"/>
        </w:rPr>
        <w:t>31</w:t>
      </w:r>
      <w:r>
        <w:rPr>
          <w:rFonts w:ascii="宋体" w:hAnsi="宋体" w:cs="宋体"/>
          <w:sz w:val="24"/>
          <w:szCs w:val="24"/>
          <w:u w:val="single"/>
        </w:rPr>
        <w:t>日</w:t>
      </w:r>
      <w:r>
        <w:rPr>
          <w:rFonts w:ascii="宋体" w:hAnsi="宋体" w:cs="宋体"/>
          <w:sz w:val="24"/>
          <w:szCs w:val="24"/>
        </w:rPr>
        <w:t xml:space="preserve">，考核结束后，双方根据实际情况，签订下年度目标责任协议书。 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二、乙方的主要岗位职责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）制定企业基本制度、运营流程，并监督各项制度、流程、文化的实施统一性；</w:t>
      </w:r>
    </w:p>
    <w:p>
      <w:pPr>
        <w:pStyle w:val="Normal"/>
        <w:tabs>
          <w:tab w:val="clear" w:pos="420"/>
          <w:tab w:val="right" w:pos="8306" w:leader="none"/>
        </w:tabs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）制定年度</w:t>
      </w:r>
      <w:r>
        <w:rPr>
          <w:rFonts w:ascii="宋体" w:hAnsi="宋体" w:cs="宋体"/>
          <w:sz w:val="24"/>
        </w:rPr>
        <w:t>运营工作方案、宣传预算；</w:t>
      </w:r>
      <w:r>
        <w:rPr>
          <w:rFonts w:cs="宋体" w:ascii="宋体" w:hAnsi="宋体"/>
          <w:sz w:val="24"/>
        </w:rPr>
        <w:tab/>
      </w:r>
      <w:r>
        <w:rPr>
          <w:rFonts w:cs="宋体" w:ascii="宋体" w:hAnsi="宋体"/>
          <w:sz w:val="24"/>
        </w:rPr>
        <w:t xml:space="preserve"> 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）严格控制公司各项运营成本；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）与各相关政府部门、企事业单位建立良好的关系；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5</w:t>
      </w:r>
      <w:r>
        <w:rPr>
          <w:rFonts w:ascii="宋体" w:hAnsi="宋体" w:cs="宋体"/>
          <w:sz w:val="24"/>
          <w:szCs w:val="24"/>
        </w:rPr>
        <w:t>）负责依公司战略规划，按进度要求完成运营人才梯队的建立；</w:t>
      </w:r>
    </w:p>
    <w:p>
      <w:pPr>
        <w:pStyle w:val="Normal"/>
        <w:spacing w:lineRule="exact" w:line="440"/>
        <w:ind w:start="360" w:hanging="36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6</w:t>
      </w:r>
      <w:r>
        <w:rPr>
          <w:rFonts w:ascii="宋体" w:hAnsi="宋体" w:cs="宋体"/>
          <w:sz w:val="24"/>
          <w:szCs w:val="24"/>
        </w:rPr>
        <w:t>）做好内部协调工作，保证各部门工作畅通、融洽，无因扯皮现象引起的工作失误现象发生。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三、乙方的薪酬结构及收益说明</w:t>
      </w:r>
      <w:r>
        <w:rPr>
          <w:rFonts w:cs="宋体" w:ascii="宋体" w:hAnsi="宋体"/>
          <w:b/>
          <w:sz w:val="24"/>
          <w:szCs w:val="24"/>
        </w:rPr>
        <w:tab/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、乙方工资结构为</w:t>
      </w:r>
      <w:r>
        <w:rPr>
          <w:rFonts w:ascii="宋体" w:hAnsi="宋体" w:cs="宋体"/>
          <w:color w:val="FF0000"/>
          <w:sz w:val="24"/>
          <w:szCs w:val="24"/>
        </w:rPr>
        <w:t>“固定工资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绩效工资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利润分红</w:t>
      </w:r>
      <w:r>
        <w:rPr>
          <w:rFonts w:cs="宋体" w:ascii="宋体" w:hAnsi="宋体"/>
          <w:color w:val="FF0000"/>
          <w:sz w:val="24"/>
          <w:szCs w:val="24"/>
        </w:rPr>
        <w:t>+</w:t>
      </w:r>
      <w:r>
        <w:rPr>
          <w:rFonts w:ascii="宋体" w:hAnsi="宋体" w:cs="宋体"/>
          <w:color w:val="FF0000"/>
          <w:sz w:val="24"/>
          <w:szCs w:val="24"/>
        </w:rPr>
        <w:t>年终奖金”（参考）</w:t>
      </w:r>
      <w:r>
        <w:rPr>
          <w:rFonts w:ascii="宋体" w:hAnsi="宋体" w:cs="宋体"/>
          <w:sz w:val="24"/>
          <w:szCs w:val="24"/>
        </w:rPr>
        <w:t>。</w:t>
      </w:r>
      <w:r>
        <w:rPr>
          <w:rFonts w:ascii="宋体" w:hAnsi="宋体" w:cs="宋体"/>
          <w:color w:val="FF0000"/>
          <w:sz w:val="24"/>
          <w:szCs w:val="24"/>
        </w:rPr>
        <w:t>其中，固定工资为</w:t>
      </w:r>
      <w:r>
        <w:rPr>
          <w:rFonts w:ascii="宋体" w:hAnsi="宋体" w:cs="宋体"/>
          <w:color w:val="FF0000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color w:val="FF0000"/>
          <w:sz w:val="24"/>
          <w:szCs w:val="24"/>
        </w:rPr>
        <w:t>；绩效工资为</w:t>
      </w:r>
      <w:r>
        <w:rPr>
          <w:rFonts w:ascii="宋体" w:hAnsi="宋体" w:cs="宋体"/>
          <w:color w:val="FF0000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color w:val="FF0000"/>
          <w:sz w:val="24"/>
          <w:szCs w:val="24"/>
        </w:rPr>
        <w:t xml:space="preserve"> ；分红</w:t>
      </w:r>
      <w:r>
        <w:rPr>
          <w:rFonts w:ascii="宋体" w:hAnsi="宋体" w:cs="宋体"/>
          <w:color w:val="FF0000"/>
          <w:sz w:val="24"/>
          <w:szCs w:val="24"/>
          <w:u w:val="single"/>
        </w:rPr>
        <w:t xml:space="preserve">      </w:t>
      </w:r>
      <w:r>
        <w:rPr>
          <w:rFonts w:ascii="宋体" w:hAnsi="宋体" w:cs="宋体"/>
          <w:color w:val="FF0000"/>
          <w:sz w:val="24"/>
          <w:szCs w:val="24"/>
        </w:rPr>
        <w:t>；年终奖金为</w:t>
      </w:r>
      <w:r>
        <w:rPr>
          <w:rFonts w:ascii="宋体" w:hAnsi="宋体" w:cs="宋体"/>
          <w:color w:val="FF0000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color w:val="FF0000"/>
          <w:sz w:val="24"/>
          <w:szCs w:val="24"/>
        </w:rPr>
        <w:t>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、收益说明：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1</w:t>
      </w:r>
      <w:r>
        <w:rPr>
          <w:rFonts w:ascii="宋体" w:hAnsi="宋体" w:cs="宋体"/>
          <w:color w:val="FF0000"/>
          <w:sz w:val="24"/>
          <w:szCs w:val="24"/>
        </w:rPr>
        <w:t>）固定工资：与日常职责履行挂钩，具体参照《岗位工作分析表》；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2</w:t>
      </w:r>
      <w:r>
        <w:rPr>
          <w:rFonts w:ascii="宋体" w:hAnsi="宋体" w:cs="宋体"/>
          <w:color w:val="FF0000"/>
          <w:sz w:val="24"/>
          <w:szCs w:val="24"/>
        </w:rPr>
        <w:t>）绩效工资</w:t>
      </w:r>
      <w:r>
        <w:rPr>
          <w:rFonts w:cs="宋体" w:ascii="宋体" w:hAnsi="宋体"/>
          <w:color w:val="FF0000"/>
          <w:sz w:val="24"/>
          <w:szCs w:val="24"/>
        </w:rPr>
        <w:t>:</w:t>
      </w:r>
      <w:r>
        <w:rPr>
          <w:rFonts w:ascii="宋体" w:hAnsi="宋体" w:cs="宋体"/>
          <w:color w:val="FF0000"/>
          <w:sz w:val="24"/>
          <w:szCs w:val="24"/>
        </w:rPr>
        <w:t>与月度绩效考核持钩，具体参照《岗位月度绩效考核表》；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3</w:t>
      </w:r>
      <w:r>
        <w:rPr>
          <w:rFonts w:ascii="宋体" w:hAnsi="宋体" w:cs="宋体"/>
          <w:color w:val="FF0000"/>
          <w:sz w:val="24"/>
          <w:szCs w:val="24"/>
        </w:rPr>
        <w:t>）分红：为运营相关事业部的核算利润的</w:t>
      </w:r>
      <w:r>
        <w:rPr>
          <w:rFonts w:cs="宋体" w:ascii="宋体" w:hAnsi="宋体"/>
          <w:color w:val="FF0000"/>
          <w:sz w:val="24"/>
          <w:szCs w:val="24"/>
        </w:rPr>
        <w:t>X%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4</w:t>
      </w:r>
      <w:r>
        <w:rPr>
          <w:rFonts w:ascii="宋体" w:hAnsi="宋体" w:cs="宋体"/>
          <w:color w:val="FF0000"/>
          <w:sz w:val="24"/>
          <w:szCs w:val="24"/>
        </w:rPr>
        <w:t xml:space="preserve">）年终奖金：为公司超额利润部分的   </w:t>
      </w:r>
      <w:r>
        <w:rPr>
          <w:rFonts w:cs="宋体" w:ascii="宋体" w:hAnsi="宋体"/>
          <w:color w:val="FF0000"/>
          <w:sz w:val="24"/>
          <w:szCs w:val="24"/>
        </w:rPr>
        <w:t>%</w:t>
      </w:r>
      <w:r>
        <w:rPr>
          <w:rFonts w:ascii="宋体" w:hAnsi="宋体" w:cs="宋体"/>
          <w:color w:val="FF0000"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四、乙方全年绩效考核指标与方法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（一）乙方绩效考核表</w:t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</w:rPr>
      </w:pPr>
      <w:r>
        <w:rPr>
          <w:rFonts w:ascii="宋体" w:hAnsi="宋体" w:cs="宋体"/>
          <w:b/>
          <w:sz w:val="24"/>
        </w:rPr>
        <w:t>运营总监考核评分表（年度）</w:t>
      </w:r>
    </w:p>
    <w:p>
      <w:pPr>
        <w:pStyle w:val="Normal"/>
        <w:jc w:val="end"/>
        <w:rPr>
          <w:rFonts w:ascii="黑体" w:hAnsi="黑体" w:eastAsia="黑体" w:cs="黑体"/>
        </w:rPr>
      </w:pPr>
      <w:r>
        <w:rPr>
          <w:rFonts w:ascii="黑体" w:hAnsi="黑体" w:cs="黑体" w:eastAsia="黑体"/>
        </w:rPr>
        <w:t>考核期间：        年   月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83"/>
        <w:gridCol w:w="186"/>
        <w:gridCol w:w="336"/>
        <w:gridCol w:w="1093"/>
        <w:gridCol w:w="577"/>
        <w:gridCol w:w="576"/>
        <w:gridCol w:w="1252"/>
        <w:gridCol w:w="804"/>
        <w:gridCol w:w="1180"/>
        <w:gridCol w:w="1231"/>
        <w:gridCol w:w="82"/>
        <w:gridCol w:w="399"/>
        <w:gridCol w:w="57"/>
        <w:gridCol w:w="448"/>
        <w:gridCol w:w="26"/>
        <w:gridCol w:w="458"/>
      </w:tblGrid>
      <w:tr>
        <w:trPr>
          <w:trHeight w:val="340" w:hRule="atLeast"/>
          <w:cantSplit w:val="true"/>
        </w:trPr>
        <w:tc>
          <w:tcPr>
            <w:tcW w:w="769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姓名</w:t>
            </w:r>
          </w:p>
        </w:tc>
        <w:tc>
          <w:tcPr>
            <w:tcW w:w="2006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1828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岗位</w:t>
            </w:r>
          </w:p>
        </w:tc>
        <w:tc>
          <w:tcPr>
            <w:tcW w:w="4685" w:type="dxa"/>
            <w:gridSpan w:val="9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COO</w:t>
            </w:r>
            <w:r>
              <w:rPr>
                <w:rFonts w:ascii="黑体" w:hAnsi="黑体" w:cs="黑体" w:eastAsia="黑体"/>
                <w:szCs w:val="21"/>
              </w:rPr>
              <w:t>（运营总监）</w:t>
            </w:r>
          </w:p>
        </w:tc>
      </w:tr>
      <w:tr>
        <w:trPr>
          <w:trHeight w:val="340" w:hRule="atLeast"/>
          <w:cantSplit w:val="true"/>
        </w:trPr>
        <w:tc>
          <w:tcPr>
            <w:tcW w:w="583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任务</w:t>
            </w:r>
          </w:p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绩效</w:t>
            </w:r>
          </w:p>
        </w:tc>
        <w:tc>
          <w:tcPr>
            <w:tcW w:w="522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序号</w:t>
            </w:r>
          </w:p>
        </w:tc>
        <w:tc>
          <w:tcPr>
            <w:tcW w:w="1670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考核项目</w:t>
            </w:r>
          </w:p>
        </w:tc>
        <w:tc>
          <w:tcPr>
            <w:tcW w:w="576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权重</w:t>
            </w:r>
          </w:p>
        </w:tc>
        <w:tc>
          <w:tcPr>
            <w:tcW w:w="2056" w:type="dxa"/>
            <w:gridSpan w:val="2"/>
            <w:vMerge w:val="restart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指标要求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评分等级</w:t>
            </w:r>
          </w:p>
        </w:tc>
        <w:tc>
          <w:tcPr>
            <w:tcW w:w="1470" w:type="dxa"/>
            <w:gridSpan w:val="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得分</w:t>
            </w:r>
          </w:p>
        </w:tc>
      </w:tr>
      <w:tr>
        <w:trPr>
          <w:trHeight w:val="340" w:hRule="atLeast"/>
          <w:cantSplit w:val="true"/>
        </w:trPr>
        <w:tc>
          <w:tcPr>
            <w:tcW w:w="583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2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1670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76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056" w:type="dxa"/>
            <w:gridSpan w:val="2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411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8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自评</w:t>
            </w:r>
          </w:p>
        </w:tc>
        <w:tc>
          <w:tcPr>
            <w:tcW w:w="50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上级</w:t>
            </w:r>
          </w:p>
        </w:tc>
        <w:tc>
          <w:tcPr>
            <w:tcW w:w="48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结果</w:t>
            </w:r>
          </w:p>
        </w:tc>
      </w:tr>
      <w:tr>
        <w:trPr>
          <w:trHeight w:val="624" w:hRule="atLeast"/>
          <w:cantSplit w:val="true"/>
        </w:trPr>
        <w:tc>
          <w:tcPr>
            <w:tcW w:w="583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167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" w:hanging="14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公司制度、运营流程的建立及实施</w:t>
            </w:r>
          </w:p>
        </w:tc>
        <w:tc>
          <w:tcPr>
            <w:tcW w:w="57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jc w:val="end"/>
              <w:rPr>
                <w:rFonts w:ascii="黑体" w:hAnsi="黑体" w:eastAsia="黑体" w:cs="黑体"/>
                <w:bCs w:val="false"/>
                <w:szCs w:val="21"/>
              </w:rPr>
            </w:pPr>
            <w:r>
              <w:rPr>
                <w:rFonts w:eastAsia="黑体" w:cs="黑体" w:ascii="黑体" w:hAnsi="黑体"/>
                <w:bCs w:val="false"/>
                <w:szCs w:val="21"/>
              </w:rPr>
              <w:t>30%</w:t>
            </w:r>
          </w:p>
        </w:tc>
        <w:tc>
          <w:tcPr>
            <w:tcW w:w="2056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建立公司各部门制度及公司运营流程，并实施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建立制度及流程且实施率达到</w:t>
            </w:r>
            <w:r>
              <w:rPr>
                <w:rFonts w:eastAsia="黑体" w:cs="黑体" w:ascii="黑体" w:hAnsi="黑体"/>
                <w:szCs w:val="21"/>
              </w:rPr>
              <w:t>90%</w:t>
            </w:r>
            <w:r>
              <w:rPr>
                <w:rFonts w:ascii="黑体" w:hAnsi="黑体" w:cs="黑体" w:eastAsia="黑体"/>
                <w:szCs w:val="21"/>
              </w:rPr>
              <w:t>以上为</w:t>
            </w:r>
            <w:r>
              <w:rPr>
                <w:rFonts w:eastAsia="黑体" w:cs="黑体" w:ascii="黑体" w:hAnsi="黑体"/>
                <w:szCs w:val="21"/>
              </w:rPr>
              <w:t>30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建立制度及流程且实施率达到</w:t>
            </w:r>
            <w:r>
              <w:rPr>
                <w:rFonts w:eastAsia="黑体" w:cs="黑体" w:ascii="黑体" w:hAnsi="黑体"/>
                <w:szCs w:val="21"/>
              </w:rPr>
              <w:t>80%</w:t>
            </w:r>
            <w:r>
              <w:rPr>
                <w:rFonts w:ascii="黑体" w:hAnsi="黑体" w:cs="黑体" w:eastAsia="黑体"/>
                <w:szCs w:val="21"/>
              </w:rPr>
              <w:t>以上为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建立制度及流程且实施率达到</w:t>
            </w:r>
            <w:r>
              <w:rPr>
                <w:rFonts w:eastAsia="黑体" w:cs="黑体" w:ascii="黑体" w:hAnsi="黑体"/>
                <w:szCs w:val="21"/>
              </w:rPr>
              <w:t>70%</w:t>
            </w:r>
            <w:r>
              <w:rPr>
                <w:rFonts w:ascii="黑体" w:hAnsi="黑体" w:cs="黑体" w:eastAsia="黑体"/>
                <w:szCs w:val="21"/>
              </w:rPr>
              <w:t>以上为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未达成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8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0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8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83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167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制度、文化执行统一性</w:t>
            </w:r>
          </w:p>
        </w:tc>
        <w:tc>
          <w:tcPr>
            <w:tcW w:w="57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20%</w:t>
            </w:r>
          </w:p>
        </w:tc>
        <w:tc>
          <w:tcPr>
            <w:tcW w:w="2056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公司制度、文化与整体保持一致，无不融合现象发生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制度、文化统一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有不融合现象发生为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8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0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8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83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167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对外协调及时性</w:t>
            </w:r>
          </w:p>
        </w:tc>
        <w:tc>
          <w:tcPr>
            <w:tcW w:w="57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15%</w:t>
            </w:r>
          </w:p>
        </w:tc>
        <w:tc>
          <w:tcPr>
            <w:tcW w:w="2056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与各相关政府部门、企事业单位建立良好的关系，无不良事件发生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达到要求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出现一次不良事件扣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分，直至为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</w:p>
        </w:tc>
        <w:tc>
          <w:tcPr>
            <w:tcW w:w="48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0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8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83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2" w:type="dxa"/>
            <w:gridSpan w:val="2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</w:p>
        </w:tc>
        <w:tc>
          <w:tcPr>
            <w:tcW w:w="167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公司人才梯队建设</w:t>
            </w:r>
          </w:p>
        </w:tc>
        <w:tc>
          <w:tcPr>
            <w:tcW w:w="576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2056" w:type="dxa"/>
            <w:gridSpan w:val="2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按照公司战略规划组建合理的人才梯队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人才梯队达标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人才梯队达标率</w:t>
            </w:r>
            <w:r>
              <w:rPr>
                <w:rFonts w:eastAsia="黑体" w:cs="黑体" w:ascii="黑体" w:hAnsi="黑体"/>
                <w:szCs w:val="21"/>
              </w:rPr>
              <w:t>90%</w:t>
            </w:r>
            <w:r>
              <w:rPr>
                <w:rFonts w:ascii="黑体" w:hAnsi="黑体" w:cs="黑体" w:eastAsia="黑体"/>
                <w:szCs w:val="21"/>
              </w:rPr>
              <w:t>以上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90%</w:t>
            </w:r>
            <w:r>
              <w:rPr>
                <w:rFonts w:ascii="黑体" w:hAnsi="黑体" w:cs="黑体" w:eastAsia="黑体"/>
                <w:szCs w:val="21"/>
              </w:rPr>
              <w:t>以下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8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0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8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83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2" w:type="dxa"/>
            <w:gridSpan w:val="2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</w:p>
        </w:tc>
        <w:tc>
          <w:tcPr>
            <w:tcW w:w="167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公司事务协调及时性</w:t>
            </w:r>
          </w:p>
        </w:tc>
        <w:tc>
          <w:tcPr>
            <w:tcW w:w="576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各部门工作畅通、融洽，无因扯皮现象引起的工作失误现象发生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达到要求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出现工作失误一次扣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分，直至为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</w:p>
        </w:tc>
        <w:tc>
          <w:tcPr>
            <w:tcW w:w="48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0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8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83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2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6</w:t>
            </w:r>
          </w:p>
        </w:tc>
        <w:tc>
          <w:tcPr>
            <w:tcW w:w="167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运营成本控制</w:t>
            </w:r>
          </w:p>
        </w:tc>
        <w:tc>
          <w:tcPr>
            <w:tcW w:w="57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15%</w:t>
            </w:r>
          </w:p>
        </w:tc>
        <w:tc>
          <w:tcPr>
            <w:tcW w:w="2056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按照公司战略目标严格控制公司运营成本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控制在</w:t>
            </w:r>
            <w:r>
              <w:rPr>
                <w:rFonts w:eastAsia="黑体" w:cs="黑体" w:ascii="黑体" w:hAnsi="黑体"/>
                <w:szCs w:val="21"/>
              </w:rPr>
              <w:t>5%</w:t>
            </w:r>
            <w:r>
              <w:rPr>
                <w:rFonts w:ascii="黑体" w:hAnsi="黑体" w:cs="黑体" w:eastAsia="黑体"/>
                <w:szCs w:val="21"/>
              </w:rPr>
              <w:t>以内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控制在</w:t>
            </w:r>
            <w:r>
              <w:rPr>
                <w:rFonts w:eastAsia="黑体" w:cs="黑体" w:ascii="黑体" w:hAnsi="黑体"/>
                <w:szCs w:val="21"/>
              </w:rPr>
              <w:t>6%</w:t>
            </w:r>
            <w:r>
              <w:rPr>
                <w:rFonts w:ascii="黑体" w:hAnsi="黑体" w:cs="黑体" w:eastAsia="黑体"/>
                <w:szCs w:val="21"/>
              </w:rPr>
              <w:t>以内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超出</w:t>
            </w:r>
            <w:r>
              <w:rPr>
                <w:rFonts w:eastAsia="黑体" w:cs="黑体" w:ascii="黑体" w:hAnsi="黑体"/>
                <w:szCs w:val="21"/>
              </w:rPr>
              <w:t>6%</w:t>
            </w:r>
            <w:r>
              <w:rPr>
                <w:rFonts w:ascii="黑体" w:hAnsi="黑体" w:cs="黑体" w:eastAsia="黑体"/>
                <w:szCs w:val="21"/>
              </w:rPr>
              <w:t>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8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0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8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95" w:hRule="atLeast"/>
          <w:cantSplit w:val="true"/>
        </w:trPr>
        <w:tc>
          <w:tcPr>
            <w:tcW w:w="583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192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黑体" w:hAnsi="黑体" w:eastAsia="黑体" w:cs="黑体"/>
                <w:bCs w:val="false"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加权合计</w:t>
            </w:r>
          </w:p>
        </w:tc>
        <w:tc>
          <w:tcPr>
            <w:tcW w:w="6513" w:type="dxa"/>
            <w:gridSpan w:val="11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Style15"/>
              <w:snapToGrid w:val="false"/>
              <w:rPr>
                <w:rFonts w:ascii="黑体" w:hAnsi="黑体" w:eastAsia="黑体" w:cs="黑体"/>
                <w:bCs w:val="false"/>
                <w:szCs w:val="21"/>
              </w:rPr>
            </w:pPr>
            <w:r>
              <w:rPr>
                <w:rFonts w:eastAsia="黑体" w:cs="黑体" w:ascii="黑体" w:hAnsi="黑体"/>
                <w:bCs w:val="false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83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行为</w:t>
            </w:r>
          </w:p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</w:t>
            </w:r>
          </w:p>
        </w:tc>
        <w:tc>
          <w:tcPr>
            <w:tcW w:w="522" w:type="dxa"/>
            <w:gridSpan w:val="2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序号</w:t>
            </w:r>
          </w:p>
        </w:tc>
        <w:tc>
          <w:tcPr>
            <w:tcW w:w="109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行为指标</w:t>
            </w:r>
          </w:p>
        </w:tc>
        <w:tc>
          <w:tcPr>
            <w:tcW w:w="5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权重</w:t>
            </w:r>
          </w:p>
        </w:tc>
        <w:tc>
          <w:tcPr>
            <w:tcW w:w="3812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指标说明</w:t>
            </w:r>
          </w:p>
        </w:tc>
        <w:tc>
          <w:tcPr>
            <w:tcW w:w="13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考核评分</w:t>
            </w:r>
          </w:p>
        </w:tc>
        <w:tc>
          <w:tcPr>
            <w:tcW w:w="45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自评</w:t>
            </w:r>
          </w:p>
        </w:tc>
        <w:tc>
          <w:tcPr>
            <w:tcW w:w="4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上级</w:t>
            </w:r>
          </w:p>
        </w:tc>
        <w:tc>
          <w:tcPr>
            <w:tcW w:w="4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结果</w:t>
            </w:r>
          </w:p>
        </w:tc>
      </w:tr>
      <w:tr>
        <w:trPr>
          <w:trHeight w:val="624" w:hRule="atLeast"/>
          <w:cantSplit w:val="true"/>
        </w:trPr>
        <w:tc>
          <w:tcPr>
            <w:tcW w:w="583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2" w:type="dxa"/>
            <w:gridSpan w:val="2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承担责任</w:t>
            </w:r>
          </w:p>
        </w:tc>
        <w:tc>
          <w:tcPr>
            <w:tcW w:w="5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3812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、承认结果，而不是强调愿望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、承担责任，不推卸，不指责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、着手解决问题，减少业务流程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、举一反三，改进业务流程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、做事有预见，有防误设计</w:t>
            </w:r>
          </w:p>
        </w:tc>
        <w:tc>
          <w:tcPr>
            <w:tcW w:w="13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bookmarkStart w:id="0" w:name="OLE_LINK2"/>
            <w:bookmarkStart w:id="1" w:name="OLE_LINK1"/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  <w:bookmarkEnd w:id="0"/>
            <w:bookmarkEnd w:id="1"/>
          </w:p>
        </w:tc>
        <w:tc>
          <w:tcPr>
            <w:tcW w:w="45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83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109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领导力</w:t>
            </w:r>
          </w:p>
        </w:tc>
        <w:tc>
          <w:tcPr>
            <w:tcW w:w="5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3812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、任命员工合理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、能正确评价员工付出与回报协调性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、对员工业绩与态度进行客观评价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、掌握岗位精确工作技术及全面专家并组织实施产生良好效果，培训员工为胜任力者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、影响力大，员工自愿追随并付出贡献</w:t>
            </w:r>
          </w:p>
        </w:tc>
        <w:tc>
          <w:tcPr>
            <w:tcW w:w="13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5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83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109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/>
              <w:spacing w:before="156" w:after="156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人际关系</w:t>
            </w:r>
          </w:p>
        </w:tc>
        <w:tc>
          <w:tcPr>
            <w:tcW w:w="5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3812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、接受邀请，维持正常工作关系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、建立融洽关系讨论非工作事例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、社会交往普遍发生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、成为密友并能正当拓展业务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、亲和力强，感染不同层次社会伙伴成为战略合作方</w:t>
            </w:r>
          </w:p>
        </w:tc>
        <w:tc>
          <w:tcPr>
            <w:tcW w:w="13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5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83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22" w:type="dxa"/>
            <w:gridSpan w:val="2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</w:p>
        </w:tc>
        <w:tc>
          <w:tcPr>
            <w:tcW w:w="109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决策</w:t>
            </w:r>
          </w:p>
        </w:tc>
        <w:tc>
          <w:tcPr>
            <w:tcW w:w="57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3812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、能做本职及下级决策，出现时间延长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、通过讨论，总能获取最后正确决策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、无依赖思想，使用理性工具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、有预见性，感性与理性决策误差小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、决策超出组织预见，成为组织成员决策依据</w:t>
            </w:r>
          </w:p>
        </w:tc>
        <w:tc>
          <w:tcPr>
            <w:tcW w:w="1313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5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7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83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192" w:type="dxa"/>
            <w:gridSpan w:val="4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加权合计</w:t>
            </w:r>
          </w:p>
        </w:tc>
        <w:tc>
          <w:tcPr>
            <w:tcW w:w="6513" w:type="dxa"/>
            <w:gridSpan w:val="11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83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总分</w:t>
            </w:r>
          </w:p>
        </w:tc>
        <w:tc>
          <w:tcPr>
            <w:tcW w:w="8705" w:type="dxa"/>
            <w:gridSpan w:val="1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总分</w:t>
            </w:r>
            <w:r>
              <w:rPr>
                <w:rFonts w:eastAsia="黑体" w:cs="黑体" w:ascii="黑体" w:hAnsi="黑体"/>
                <w:szCs w:val="21"/>
              </w:rPr>
              <w:t>=</w:t>
            </w:r>
            <w:r>
              <w:rPr>
                <w:rFonts w:ascii="黑体" w:hAnsi="黑体" w:cs="黑体" w:eastAsia="黑体"/>
                <w:szCs w:val="21"/>
              </w:rPr>
              <w:t>业绩考核得分</w:t>
            </w:r>
            <w:r>
              <w:rPr>
                <w:rFonts w:eastAsia="黑体" w:cs="黑体" w:ascii="黑体" w:hAnsi="黑体"/>
                <w:szCs w:val="21"/>
              </w:rPr>
              <w:t>× 80 %+</w:t>
            </w:r>
            <w:r>
              <w:rPr>
                <w:rFonts w:ascii="黑体" w:hAnsi="黑体" w:cs="黑体" w:eastAsia="黑体"/>
                <w:szCs w:val="21"/>
              </w:rPr>
              <w:t>行为考核得分</w:t>
            </w:r>
            <w:r>
              <w:rPr>
                <w:rFonts w:eastAsia="黑体" w:cs="黑体" w:ascii="黑体" w:hAnsi="黑体"/>
                <w:szCs w:val="21"/>
              </w:rPr>
              <w:t>× 20 %=</w:t>
            </w:r>
          </w:p>
        </w:tc>
      </w:tr>
      <w:tr>
        <w:trPr>
          <w:trHeight w:val="340" w:hRule="atLeast"/>
          <w:cantSplit w:val="true"/>
        </w:trPr>
        <w:tc>
          <w:tcPr>
            <w:tcW w:w="583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考核人</w:t>
            </w:r>
          </w:p>
        </w:tc>
        <w:tc>
          <w:tcPr>
            <w:tcW w:w="8705" w:type="dxa"/>
            <w:gridSpan w:val="15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 xml:space="preserve">    </w:t>
            </w:r>
            <w:r>
              <w:rPr>
                <w:rFonts w:ascii="黑体" w:hAnsi="黑体" w:cs="黑体" w:eastAsia="黑体"/>
                <w:szCs w:val="21"/>
              </w:rPr>
              <w:t>签字：</w:t>
            </w:r>
          </w:p>
          <w:p>
            <w:pPr>
              <w:pStyle w:val="Normal"/>
              <w:ind w:firstLine="5565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年    月    日</w:t>
            </w:r>
          </w:p>
        </w:tc>
      </w:tr>
    </w:tbl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（二）考核成绩与奖金系数对应表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62"/>
        <w:gridCol w:w="5660"/>
      </w:tblGrid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sz w:val="24"/>
                <w:szCs w:val="24"/>
              </w:rPr>
              <w:t>考核分数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sz w:val="24"/>
                <w:szCs w:val="24"/>
              </w:rPr>
              <w:t>绩效工资系数（</w:t>
            </w:r>
            <w:r>
              <w:rPr>
                <w:rFonts w:cs="宋体" w:ascii="宋体" w:hAnsi="宋体"/>
                <w:b/>
                <w:sz w:val="24"/>
                <w:szCs w:val="24"/>
              </w:rPr>
              <w:t>K</w:t>
            </w:r>
            <w:r>
              <w:rPr>
                <w:rFonts w:ascii="宋体" w:hAnsi="宋体" w:cs="宋体"/>
                <w:b/>
                <w:sz w:val="24"/>
                <w:szCs w:val="24"/>
              </w:rPr>
              <w:t>）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95</w:t>
            </w:r>
            <w:r>
              <w:rPr>
                <w:rFonts w:ascii="宋体" w:hAnsi="宋体" w:cs="宋体"/>
                <w:b/>
                <w:sz w:val="24"/>
                <w:szCs w:val="24"/>
              </w:rPr>
              <w:t>分以上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1.2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90-94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1.0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85-89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0.9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80-84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0.8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75-79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0.7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70-74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0.6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65-69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0.5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60-64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0.4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60</w:t>
            </w:r>
            <w:r>
              <w:rPr>
                <w:rFonts w:ascii="宋体" w:hAnsi="宋体" w:cs="宋体"/>
                <w:b/>
                <w:sz w:val="24"/>
                <w:szCs w:val="24"/>
              </w:rPr>
              <w:t>分以下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注：考核奖金总额</w:t>
      </w:r>
      <w:r>
        <w:rPr>
          <w:rFonts w:cs="宋体" w:ascii="宋体" w:hAnsi="宋体"/>
          <w:b/>
          <w:sz w:val="24"/>
          <w:szCs w:val="24"/>
        </w:rPr>
        <w:t>=</w:t>
      </w:r>
      <w:r>
        <w:rPr>
          <w:rFonts w:ascii="宋体" w:hAnsi="宋体" w:cs="宋体"/>
          <w:b/>
          <w:sz w:val="24"/>
          <w:szCs w:val="24"/>
        </w:rPr>
        <w:t>考核奖金基数</w:t>
      </w:r>
      <w:r>
        <w:rPr>
          <w:rFonts w:cs="宋体" w:ascii="宋体" w:hAnsi="宋体"/>
          <w:b/>
          <w:sz w:val="24"/>
          <w:szCs w:val="24"/>
        </w:rPr>
        <w:t>×K</w:t>
      </w:r>
      <w:r>
        <w:rPr>
          <w:rFonts w:ascii="宋体" w:hAnsi="宋体" w:cs="宋体"/>
          <w:b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五、乙方义务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、乙方必须保守甲方的商业信息，如有泄漏商业信息要追究乙方的法律责任；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、乙方在工作期间，不得利用职权进行违规作业；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、乙方若工作非常突出，贡献较大，甲方可适当对乙方进行额外嘉奖；</w:t>
      </w:r>
    </w:p>
    <w:p>
      <w:pPr>
        <w:pStyle w:val="Normal"/>
        <w:spacing w:lineRule="exact" w:line="440"/>
        <w:ind w:start="360" w:hanging="36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、若乙方在不满服务期主动离开公司，则取消服务期满后的绩效奖励资格；若乙方在不满服务期被动离开公司，则按服务的期限考核兑现。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电网指标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ind w:start="709" w:hanging="709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公物私用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ind w:start="709" w:hanging="709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不按标准用人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ind w:start="709" w:hanging="709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回扣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ind w:start="709" w:hanging="709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非公司行为行贿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ind w:start="709" w:hanging="709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泄露机密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ind w:start="709" w:hanging="709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公款私用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ind w:start="709" w:hanging="709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虚报假账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ind w:start="709" w:hanging="709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旷工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ind w:start="709" w:hanging="709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煽动虚假消息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ind w:start="709" w:hanging="709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利用信息获得私人利益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ind w:start="709" w:hanging="709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销毁证据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ind w:start="709" w:hanging="709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虚假预算获得物质开支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ind w:start="709" w:hanging="709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违反品行指标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ind w:start="709" w:hanging="709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利用职务之便制造假数据获得利益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567" w:leader="none"/>
        </w:tabs>
        <w:spacing w:lineRule="auto" w:line="360"/>
        <w:ind w:start="709" w:hanging="709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违法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ascii="宋体" w:hAnsi="宋体" w:cs="宋体"/>
          <w:b/>
          <w:sz w:val="24"/>
          <w:szCs w:val="24"/>
        </w:rPr>
        <w:t>乙方触及电网指标</w:t>
      </w:r>
      <w:r>
        <w:rPr>
          <w:rFonts w:cs="宋体" w:ascii="宋体" w:hAnsi="宋体"/>
          <w:b/>
          <w:sz w:val="24"/>
          <w:szCs w:val="24"/>
        </w:rPr>
        <w:t>,</w:t>
      </w:r>
      <w:r>
        <w:rPr>
          <w:rFonts w:ascii="宋体" w:hAnsi="宋体" w:cs="宋体"/>
          <w:b/>
          <w:sz w:val="24"/>
          <w:szCs w:val="24"/>
        </w:rPr>
        <w:t>甲方有权对乙方进行停职、降职、降薪、换岗、调离或解约。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  <w:r/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七、其他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、本责任书一式二份，甲乙双方各执一份；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、如果中间有变化，经双方友好协商调整。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、如岗位变更，工资也随之变化。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、未尽事宜双方协商确定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甲方：                           乙方： （签字盖章）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签名 ：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 xml:space="preserve">签名（第一负责人）：                         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 xml:space="preserve">年     月    日                              年     月    日 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sectPr>
      <w:headerReference w:type="default" r:id="rId2"/>
      <w:footerReference w:type="default" r:id="rId3"/>
      <w:headerReference w:type="first" r:id="rId7"/>
      <w:headerReference w:type="even" r:id="rId8"/>
      <w:footerReference w:type="first" r:id="rId9"/>
      <w:footerReference w:type="even" r:id="rId10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charset w:val="86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end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7785" cy="126365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9.95pt;mso-wrap-distance-left:0pt;mso-wrap-distance-right:0pt;mso-wrap-distance-top:0pt;mso-wrap-distance-bottom:0pt;margin-top:0pt;mso-position-vertical:top;mso-position-vertical-relative:text;margin-left:410.7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/>
      <w:rPr/>
    </w:pPr>
    <w:r>
      <w:rPr/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"/>
      <w:numFmt w:val="chineseCountingThousand"/>
      <w:lvlText w:val="%1、"/>
      <w:lvlJc w:val="start"/>
      <w:pPr>
        <w:tabs>
          <w:tab w:val="num" w:pos="0"/>
        </w:tabs>
        <w:ind w:start="510" w:hanging="51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2">
    <w:lvl w:ilvl="0">
      <w:start w:val="1"/>
      <w:numFmt w:val="decimal"/>
      <w:lvlText w:val="%1、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默认段落字体"/>
    <w:qFormat/>
    <w:rPr/>
  </w:style>
  <w:style w:type="character" w:styleId="Char">
    <w:name w:val="日期 Char"/>
    <w:qFormat/>
    <w:rPr>
      <w:rFonts w:ascii="宋体" w:hAnsi="宋体" w:cs="宋体"/>
      <w:bCs/>
      <w:kern w:val="2"/>
      <w:sz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Times New Roman" w:hAnsi="Times New Roman" w:cs="Times New Roman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Style15">
    <w:name w:val="日期"/>
    <w:basedOn w:val="Normal"/>
    <w:next w:val="Normal"/>
    <w:qFormat/>
    <w:pPr/>
    <w:rPr>
      <w:rFonts w:ascii="宋体" w:hAnsi="宋体" w:cs="宋体"/>
      <w:bCs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2.xml"/><Relationship Id="rId10" Type="http://schemas.openxmlformats.org/officeDocument/2006/relationships/footer" Target="footer3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2009-12-28T05:28:00Z</dcterms:created>
  <dc:creator>xxm</dc:creator>
  <dc:description/>
  <dc:language>en-US</dc:language>
  <cp:lastModifiedBy>Administrator</cp:lastModifiedBy>
  <dcterms:modified xsi:type="dcterms:W3CDTF">2020-06-10T10:23:04Z</dcterms:modified>
  <cp:revision>29</cp:revision>
  <dc:subject/>
  <dc:title>2009年工作目标考核协议书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