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华文中宋" w:hAnsi="华文中宋" w:eastAsia="华文中宋" w:cs="华文中宋"/>
          <w:b/>
          <w:b/>
          <w:bCs/>
          <w:sz w:val="44"/>
          <w:szCs w:val="44"/>
        </w:rPr>
      </w:pPr>
      <w:r>
        <w:rPr>
          <w:rFonts w:ascii="华文中宋" w:hAnsi="华文中宋" w:cs="华文中宋" w:eastAsia="华文中宋"/>
          <w:b/>
          <w:bCs/>
          <w:sz w:val="44"/>
          <w:szCs w:val="44"/>
        </w:rPr>
        <w:t>年度绩效考核双向责任书</w:t>
      </w:r>
    </w:p>
    <w:tbl>
      <w:tblPr>
        <w:tblW w:w="1458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40"/>
        <w:gridCol w:w="720"/>
        <w:gridCol w:w="1440"/>
        <w:gridCol w:w="756"/>
        <w:gridCol w:w="1368"/>
        <w:gridCol w:w="393"/>
        <w:gridCol w:w="687"/>
        <w:gridCol w:w="1653"/>
        <w:gridCol w:w="1083"/>
        <w:gridCol w:w="1080"/>
        <w:gridCol w:w="1080"/>
        <w:gridCol w:w="1620"/>
        <w:gridCol w:w="1260"/>
      </w:tblGrid>
      <w:tr>
        <w:trPr>
          <w:trHeight w:val="278" w:hRule="atLeast"/>
        </w:trPr>
        <w:tc>
          <w:tcPr>
            <w:tcW w:w="1440" w:type="dxa"/>
            <w:tcBorders>
              <w:top w:val="single" w:sz="12" w:space="0" w:color="000000"/>
              <w:start w:val="single" w:sz="12" w:space="0" w:color="000000"/>
              <w:bottom w:val="single" w:sz="8" w:space="0" w:color="000000"/>
              <w:end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>
                <w:rFonts w:cs="宋体;SimSun"/>
              </w:rPr>
            </w:pPr>
            <w:r>
              <w:rPr>
                <w:rFonts w:cs="宋体;SimSun"/>
              </w:rPr>
              <w:t>责任人</w:t>
            </w:r>
          </w:p>
        </w:tc>
        <w:tc>
          <w:tcPr>
            <w:tcW w:w="4677" w:type="dxa"/>
            <w:gridSpan w:val="5"/>
            <w:tcBorders>
              <w:top w:val="single" w:sz="12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cs="宋体;SimSun"/>
              </w:rPr>
            </w:pPr>
            <w:r>
              <w:rPr>
                <w:rFonts w:cs="宋体;SimSun"/>
              </w:rPr>
              <w:t>所在部门</w:t>
            </w:r>
          </w:p>
        </w:tc>
        <w:tc>
          <w:tcPr>
            <w:tcW w:w="6123" w:type="dxa"/>
            <w:gridSpan w:val="5"/>
            <w:tcBorders>
              <w:top w:val="single" w:sz="12" w:space="0" w:color="000000"/>
              <w:start w:val="single" w:sz="8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64" w:hRule="atLeast"/>
        </w:trPr>
        <w:tc>
          <w:tcPr>
            <w:tcW w:w="1440" w:type="dxa"/>
            <w:tcBorders>
              <w:top w:val="single" w:sz="8" w:space="0" w:color="000000"/>
              <w:start w:val="single" w:sz="12" w:space="0" w:color="000000"/>
              <w:bottom w:val="single" w:sz="8" w:space="0" w:color="000000"/>
              <w:end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>
                <w:rFonts w:cs="宋体;SimSun"/>
              </w:rPr>
            </w:pPr>
            <w:r>
              <w:rPr>
                <w:rFonts w:cs="宋体;SimSun"/>
              </w:rPr>
              <w:t>负责业务</w:t>
            </w:r>
          </w:p>
        </w:tc>
        <w:tc>
          <w:tcPr>
            <w:tcW w:w="13140" w:type="dxa"/>
            <w:gridSpan w:val="1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84" w:hRule="atLeast"/>
        </w:trPr>
        <w:tc>
          <w:tcPr>
            <w:tcW w:w="1440" w:type="dxa"/>
            <w:tcBorders>
              <w:top w:val="single" w:sz="8" w:space="0" w:color="000000"/>
              <w:start w:val="single" w:sz="12" w:space="0" w:color="000000"/>
              <w:bottom w:val="single" w:sz="8" w:space="0" w:color="000000"/>
              <w:end w:val="single" w:sz="8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>
                <w:rFonts w:cs="宋体;SimSun"/>
              </w:rPr>
            </w:pPr>
            <w:r>
              <w:rPr>
                <w:rFonts w:cs="宋体;SimSun"/>
              </w:rPr>
              <w:t>考核周期</w:t>
            </w:r>
          </w:p>
        </w:tc>
        <w:tc>
          <w:tcPr>
            <w:tcW w:w="13140" w:type="dxa"/>
            <w:gridSpan w:val="1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570" w:hRule="atLeast"/>
        </w:trPr>
        <w:tc>
          <w:tcPr>
            <w:tcW w:w="14580" w:type="dxa"/>
            <w:gridSpan w:val="13"/>
            <w:tcBorders>
              <w:top w:val="single" w:sz="8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/>
              </w:rPr>
            </w:pPr>
            <w:r>
              <w:rPr>
                <w:rFonts w:ascii="黑体;SimHei" w:hAnsi="黑体;SimHei" w:cs="黑体;SimHei" w:eastAsia="黑体;SimHei"/>
                <w:b/>
                <w:bCs/>
                <w:sz w:val="24"/>
                <w:szCs w:val="24"/>
              </w:rPr>
              <w:t>年度考核指标</w:t>
            </w:r>
            <w:r>
              <w:rPr>
                <w:rFonts w:ascii="楷体_GB2312;Arial Unicode MS" w:hAnsi="楷体_GB2312;Arial Unicode MS" w:cs="楷体_GB2312;Arial Unicode MS" w:eastAsia="楷体_GB2312;Arial Unicode MS"/>
                <w:sz w:val="24"/>
                <w:szCs w:val="24"/>
              </w:rPr>
              <w:t>（含季度指标分解规则）</w:t>
            </w:r>
          </w:p>
        </w:tc>
      </w:tr>
      <w:tr>
        <w:trPr>
          <w:trHeight w:val="510" w:hRule="atLeast"/>
        </w:trPr>
        <w:tc>
          <w:tcPr>
            <w:tcW w:w="1440" w:type="dxa"/>
            <w:tcBorders>
              <w:top w:val="single" w:sz="8" w:space="0" w:color="000000"/>
              <w:start w:val="single" w:sz="12" w:space="0" w:color="000000"/>
              <w:bottom w:val="single" w:sz="8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关键业务</w:t>
            </w:r>
          </w:p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类别</w:t>
            </w:r>
          </w:p>
        </w:tc>
        <w:tc>
          <w:tcPr>
            <w:tcW w:w="7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一级权重</w:t>
            </w:r>
          </w:p>
        </w:tc>
        <w:tc>
          <w:tcPr>
            <w:tcW w:w="144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关键绩效指标</w:t>
            </w:r>
          </w:p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（</w:t>
            </w:r>
            <w:r>
              <w:rPr>
                <w:rFonts w:cs="宋体;SimSun" w:ascii="宋体;SimSun" w:hAnsi="宋体;SimSun"/>
                <w:sz w:val="18"/>
                <w:szCs w:val="18"/>
              </w:rPr>
              <w:t>KPI</w:t>
            </w:r>
            <w:r>
              <w:rPr>
                <w:rFonts w:ascii="宋体;SimSun" w:hAnsi="宋体;SimSun" w:cs="宋体;SimSun"/>
                <w:sz w:val="18"/>
                <w:szCs w:val="18"/>
              </w:rPr>
              <w:t>）</w:t>
            </w:r>
          </w:p>
        </w:tc>
        <w:tc>
          <w:tcPr>
            <w:tcW w:w="756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二级</w:t>
            </w:r>
          </w:p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权重</w:t>
            </w:r>
          </w:p>
        </w:tc>
        <w:tc>
          <w:tcPr>
            <w:tcW w:w="1368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指标</w:t>
            </w:r>
          </w:p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定义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目标值</w:t>
            </w:r>
          </w:p>
        </w:tc>
        <w:tc>
          <w:tcPr>
            <w:tcW w:w="2736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评分规则</w:t>
            </w:r>
          </w:p>
        </w:tc>
        <w:tc>
          <w:tcPr>
            <w:tcW w:w="10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数据</w:t>
            </w:r>
          </w:p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来源</w:t>
            </w:r>
          </w:p>
        </w:tc>
        <w:tc>
          <w:tcPr>
            <w:tcW w:w="108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超额完成</w:t>
            </w:r>
          </w:p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计算规则</w:t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季度分解规则</w:t>
            </w:r>
          </w:p>
        </w:tc>
        <w:tc>
          <w:tcPr>
            <w:tcW w:w="126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12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考核约定</w:t>
            </w:r>
          </w:p>
        </w:tc>
      </w:tr>
      <w:tr>
        <w:trPr>
          <w:trHeight w:val="290" w:hRule="atLeast"/>
        </w:trPr>
        <w:tc>
          <w:tcPr>
            <w:tcW w:w="1440" w:type="dxa"/>
            <w:vMerge w:val="restart"/>
            <w:tcBorders>
              <w:top w:val="single" w:sz="8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sz w:val="18"/>
                <w:szCs w:val="18"/>
              </w:rPr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sz w:val="18"/>
                <w:szCs w:val="18"/>
              </w:rPr>
            </w:r>
          </w:p>
        </w:tc>
        <w:tc>
          <w:tcPr>
            <w:tcW w:w="1440" w:type="dxa"/>
            <w:tcBorders>
              <w:top w:val="single" w:sz="8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756" w:type="dxa"/>
            <w:tcBorders>
              <w:top w:val="single" w:sz="8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368" w:type="dxa"/>
            <w:tcBorders>
              <w:top w:val="single" w:sz="8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2736" w:type="dxa"/>
            <w:gridSpan w:val="2"/>
            <w:tcBorders>
              <w:top w:val="single" w:sz="8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8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8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8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8" w:space="0" w:color="000000"/>
              <w:start w:val="single" w:sz="8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</w:tr>
      <w:tr>
        <w:trPr>
          <w:trHeight w:val="210" w:hRule="atLeast"/>
        </w:trPr>
        <w:tc>
          <w:tcPr>
            <w:tcW w:w="1440" w:type="dxa"/>
            <w:vMerge w:val="continue"/>
            <w:tcBorders>
              <w:top w:val="single" w:sz="8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72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sz w:val="18"/>
                <w:szCs w:val="18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756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368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2736" w:type="dxa"/>
            <w:gridSpan w:val="2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i/>
                <w:iCs/>
                <w:color w:val="0000FF"/>
                <w:sz w:val="18"/>
                <w:szCs w:val="18"/>
              </w:rPr>
            </w:r>
          </w:p>
        </w:tc>
      </w:tr>
      <w:tr>
        <w:trPr>
          <w:trHeight w:val="270" w:hRule="atLeast"/>
        </w:trPr>
        <w:tc>
          <w:tcPr>
            <w:tcW w:w="1440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eastAsia="仿宋_GB2312;Arial Unicode MS" w:cs="宋体;SimSun"/>
                <w:i/>
                <w:i/>
                <w:iCs/>
                <w:color w:val="0000FF"/>
                <w:sz w:val="18"/>
                <w:szCs w:val="18"/>
              </w:rPr>
            </w:pPr>
            <w:r>
              <w:rPr>
                <w:rFonts w:eastAsia="仿宋_GB2312;Arial Unicode MS" w:cs="宋体;SimSun" w:ascii="宋体;SimSun" w:hAnsi="宋体;SimSun"/>
                <w:i/>
                <w:iCs/>
                <w:color w:val="0000FF"/>
                <w:sz w:val="18"/>
                <w:szCs w:val="18"/>
              </w:rPr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kern w:val="0"/>
                <w:sz w:val="18"/>
                <w:szCs w:val="18"/>
              </w:rPr>
            </w:pPr>
            <w:r>
              <w:rPr>
                <w:rFonts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756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kern w:val="0"/>
                <w:sz w:val="18"/>
                <w:szCs w:val="18"/>
              </w:rPr>
            </w:pPr>
            <w:r>
              <w:rPr>
                <w:rFonts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68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/>
                <w:kern w:val="0"/>
                <w:sz w:val="18"/>
                <w:szCs w:val="18"/>
              </w:rPr>
            </w:pPr>
            <w:r>
              <w:rPr>
                <w:rFonts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kern w:val="0"/>
                <w:sz w:val="18"/>
                <w:szCs w:val="18"/>
              </w:rPr>
            </w:pPr>
            <w:r>
              <w:rPr>
                <w:rFonts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2736" w:type="dxa"/>
            <w:gridSpan w:val="2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</w:tr>
      <w:tr>
        <w:trPr>
          <w:trHeight w:val="270" w:hRule="atLeast"/>
        </w:trPr>
        <w:tc>
          <w:tcPr>
            <w:tcW w:w="1440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sz w:val="18"/>
                <w:szCs w:val="18"/>
              </w:rPr>
            </w:r>
          </w:p>
        </w:tc>
        <w:tc>
          <w:tcPr>
            <w:tcW w:w="720" w:type="dxa"/>
            <w:vMerge w:val="continue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仿宋_GB2312;Arial Unicode MS" w:hAnsi="仿宋_GB2312;Arial Unicode MS" w:eastAsia="仿宋_GB2312;Arial Unicode MS" w:cs="宋体;SimSun"/>
                <w:sz w:val="18"/>
                <w:szCs w:val="18"/>
              </w:rPr>
            </w:pPr>
            <w:r>
              <w:rPr>
                <w:rFonts w:eastAsia="仿宋_GB2312;Arial Unicode MS" w:cs="宋体;SimSun" w:ascii="仿宋_GB2312;Arial Unicode MS" w:hAnsi="仿宋_GB2312;Arial Unicode MS"/>
                <w:sz w:val="18"/>
                <w:szCs w:val="18"/>
              </w:rPr>
            </w:r>
          </w:p>
        </w:tc>
        <w:tc>
          <w:tcPr>
            <w:tcW w:w="1440" w:type="dxa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eastAsia="仿宋_GB2312;Arial Unicode MS" w:cs="宋体;SimSun"/>
                <w:kern w:val="0"/>
                <w:sz w:val="18"/>
                <w:szCs w:val="18"/>
              </w:rPr>
            </w:pPr>
            <w:r>
              <w:rPr>
                <w:rFonts w:eastAsia="仿宋_GB2312;Arial Unicode MS" w:cs="宋体;SimSun"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756" w:type="dxa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kern w:val="0"/>
                <w:sz w:val="18"/>
                <w:szCs w:val="18"/>
              </w:rPr>
            </w:pPr>
            <w:r>
              <w:rPr>
                <w:rFonts w:ascii="宋体;SimSun" w:hAnsi="宋体;SimSun"/>
                <w:kern w:val="0"/>
                <w:sz w:val="18"/>
                <w:szCs w:val="18"/>
              </w:rPr>
            </w:r>
          </w:p>
        </w:tc>
        <w:tc>
          <w:tcPr>
            <w:tcW w:w="1368" w:type="dxa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  <w:tc>
          <w:tcPr>
            <w:tcW w:w="2736" w:type="dxa"/>
            <w:gridSpan w:val="2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  <w:tc>
          <w:tcPr>
            <w:tcW w:w="1080" w:type="dxa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  <w:tc>
          <w:tcPr>
            <w:tcW w:w="1620" w:type="dxa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/>
                <w:color w:val="0000FF"/>
                <w:sz w:val="18"/>
                <w:szCs w:val="18"/>
              </w:rPr>
            </w:pPr>
            <w:r>
              <w:rPr>
                <w:rFonts w:ascii="宋体;SimSun" w:hAnsi="宋体;SimSun"/>
                <w:color w:val="0000FF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2160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shd w:fill="E6E6E6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  <w:sz w:val="18"/>
                <w:szCs w:val="18"/>
              </w:rPr>
            </w:pPr>
            <w:r>
              <w:rPr>
                <w:rFonts w:ascii="宋体;SimSun" w:hAnsi="宋体;SimSun" w:cs="宋体;SimSun"/>
                <w:sz w:val="18"/>
                <w:szCs w:val="18"/>
              </w:rPr>
              <w:t>绩效考核约定条款</w:t>
            </w:r>
          </w:p>
        </w:tc>
        <w:tc>
          <w:tcPr>
            <w:tcW w:w="12420" w:type="dxa"/>
            <w:gridSpan w:val="11"/>
            <w:tcBorders>
              <w:top w:val="single" w:sz="8" w:space="0" w:color="000000"/>
              <w:start w:val="single" w:sz="8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楷体_GB2312;Arial Unicode MS" w:hAnsi="楷体_GB2312;Arial Unicode MS" w:eastAsia="楷体_GB2312;Arial Unicode MS" w:cs="宋体;SimSun"/>
                <w:i/>
                <w:i/>
                <w:iCs/>
                <w:color w:val="0000FF"/>
              </w:rPr>
            </w:pPr>
            <w:r>
              <w:rPr>
                <w:rFonts w:ascii="楷体_GB2312;Arial Unicode MS" w:hAnsi="楷体_GB2312;Arial Unicode MS" w:cs="楷体_GB2312;Arial Unicode MS" w:eastAsia="楷体_GB2312;Arial Unicode MS"/>
              </w:rPr>
              <w:t>（</w:t>
            </w:r>
            <w:r>
              <w:rPr>
                <w:rFonts w:eastAsia="楷体_GB2312;Arial Unicode MS" w:cs="楷体_GB2312;Arial Unicode MS" w:ascii="楷体_GB2312;Arial Unicode MS" w:hAnsi="楷体_GB2312;Arial Unicode MS"/>
              </w:rPr>
              <w:t>1</w:t>
            </w:r>
            <w:r>
              <w:rPr>
                <w:rFonts w:ascii="楷体_GB2312;Arial Unicode MS" w:hAnsi="楷体_GB2312;Arial Unicode MS" w:cs="楷体_GB2312;Arial Unicode MS" w:eastAsia="楷体_GB2312;Arial Unicode MS"/>
              </w:rPr>
              <w:t>）考核变更约定：所有考核指标调整必须经</w:t>
            </w:r>
            <w:r>
              <w:rPr>
                <w:rFonts w:eastAsia="楷体_GB2312;Arial Unicode MS" w:cs="楷体_GB2312;Arial Unicode MS" w:ascii="楷体_GB2312;Arial Unicode MS" w:hAnsi="楷体_GB2312;Arial Unicode MS"/>
              </w:rPr>
              <w:t>***</w:t>
            </w:r>
            <w:r>
              <w:rPr>
                <w:rFonts w:ascii="楷体_GB2312;Arial Unicode MS" w:hAnsi="楷体_GB2312;Arial Unicode MS" w:cs="楷体_GB2312;Arial Unicode MS" w:eastAsia="楷体_GB2312;Arial Unicode MS"/>
              </w:rPr>
              <w:t>认可方生效并需签署新的考核任务书，自行调整无效。</w:t>
            </w:r>
          </w:p>
        </w:tc>
      </w:tr>
      <w:tr>
        <w:trPr>
          <w:trHeight w:val="291" w:hRule="atLeast"/>
        </w:trPr>
        <w:tc>
          <w:tcPr>
            <w:tcW w:w="216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shd w:fill="E6E6E6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eastAsia="楷体_GB2312;Arial Unicode MS" w:cs="宋体;SimSun"/>
                <w:i/>
                <w:i/>
                <w:iCs/>
                <w:color w:val="0000FF"/>
              </w:rPr>
            </w:pPr>
            <w:r>
              <w:rPr>
                <w:rFonts w:eastAsia="楷体_GB2312;Arial Unicode MS" w:cs="宋体;SimSun" w:ascii="宋体;SimSun" w:hAnsi="宋体;SimSun"/>
                <w:i/>
                <w:iCs/>
                <w:color w:val="0000FF"/>
              </w:rPr>
            </w:r>
          </w:p>
        </w:tc>
        <w:tc>
          <w:tcPr>
            <w:tcW w:w="12420" w:type="dxa"/>
            <w:gridSpan w:val="11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楷体_GB2312;Arial Unicode MS" w:hAnsi="楷体_GB2312;Arial Unicode MS" w:eastAsia="楷体_GB2312;Arial Unicode MS" w:cs="宋体;SimSun"/>
              </w:rPr>
            </w:pPr>
            <w:r>
              <w:rPr>
                <w:rFonts w:ascii="楷体_GB2312;Arial Unicode MS" w:hAnsi="楷体_GB2312;Arial Unicode MS" w:cs="楷体_GB2312;Arial Unicode MS" w:eastAsia="楷体_GB2312;Arial Unicode MS"/>
              </w:rPr>
              <w:t>（</w:t>
            </w:r>
            <w:r>
              <w:rPr>
                <w:rFonts w:eastAsia="楷体_GB2312;Arial Unicode MS" w:cs="楷体_GB2312;Arial Unicode MS" w:ascii="楷体_GB2312;Arial Unicode MS" w:hAnsi="楷体_GB2312;Arial Unicode MS"/>
              </w:rPr>
              <w:t>2</w:t>
            </w:r>
            <w:r>
              <w:rPr>
                <w:rFonts w:ascii="楷体_GB2312;Arial Unicode MS" w:hAnsi="楷体_GB2312;Arial Unicode MS" w:cs="楷体_GB2312;Arial Unicode MS" w:eastAsia="楷体_GB2312;Arial Unicode MS"/>
              </w:rPr>
              <w:t>）业绩超额完成约定：对于超额完成部分，封顶分数为正常分数</w:t>
            </w:r>
            <w:r>
              <w:rPr>
                <w:rFonts w:eastAsia="楷体_GB2312;Arial Unicode MS" w:cs="楷体_GB2312;Arial Unicode MS" w:ascii="楷体_GB2312;Arial Unicode MS" w:hAnsi="楷体_GB2312;Arial Unicode MS"/>
              </w:rPr>
              <w:t>200%</w:t>
            </w:r>
            <w:r>
              <w:rPr>
                <w:rFonts w:ascii="楷体_GB2312;Arial Unicode MS" w:hAnsi="楷体_GB2312;Arial Unicode MS" w:cs="楷体_GB2312;Arial Unicode MS" w:eastAsia="楷体_GB2312;Arial Unicode MS"/>
              </w:rPr>
              <w:t>（或者上不封顶）；</w:t>
            </w:r>
          </w:p>
        </w:tc>
      </w:tr>
      <w:tr>
        <w:trPr>
          <w:trHeight w:val="50" w:hRule="atLeast"/>
        </w:trPr>
        <w:tc>
          <w:tcPr>
            <w:tcW w:w="216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shd w:fill="E6E6E6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eastAsia="楷体_GB2312;Arial Unicode MS" w:cs="宋体;SimSun"/>
              </w:rPr>
            </w:pPr>
            <w:r>
              <w:rPr>
                <w:rFonts w:eastAsia="楷体_GB2312;Arial Unicode MS" w:cs="宋体;SimSun" w:ascii="宋体;SimSun" w:hAnsi="宋体;SimSun"/>
              </w:rPr>
            </w:r>
          </w:p>
        </w:tc>
        <w:tc>
          <w:tcPr>
            <w:tcW w:w="12420" w:type="dxa"/>
            <w:gridSpan w:val="11"/>
            <w:tcBorders>
              <w:top w:val="single" w:sz="6" w:space="0" w:color="000000"/>
              <w:start w:val="single" w:sz="8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楷体_GB2312;Arial Unicode MS" w:hAnsi="楷体_GB2312;Arial Unicode MS" w:eastAsia="楷体_GB2312;Arial Unicode MS" w:cs="宋体;SimSun"/>
              </w:rPr>
            </w:pPr>
            <w:r>
              <w:rPr>
                <w:rFonts w:ascii="楷体_GB2312;Arial Unicode MS" w:hAnsi="楷体_GB2312;Arial Unicode MS" w:cs="楷体_GB2312;Arial Unicode MS" w:eastAsia="楷体_GB2312;Arial Unicode MS"/>
              </w:rPr>
              <w:t>（</w:t>
            </w:r>
            <w:r>
              <w:rPr>
                <w:rFonts w:eastAsia="楷体_GB2312;Arial Unicode MS" w:cs="楷体_GB2312;Arial Unicode MS" w:ascii="楷体_GB2312;Arial Unicode MS" w:hAnsi="楷体_GB2312;Arial Unicode MS"/>
              </w:rPr>
              <w:t>3</w:t>
            </w:r>
            <w:r>
              <w:rPr>
                <w:rFonts w:ascii="楷体_GB2312;Arial Unicode MS" w:hAnsi="楷体_GB2312;Arial Unicode MS" w:cs="楷体_GB2312;Arial Unicode MS" w:eastAsia="楷体_GB2312;Arial Unicode MS"/>
              </w:rPr>
              <w:t>）年度考核</w:t>
            </w:r>
            <w:r>
              <w:rPr>
                <w:rFonts w:eastAsia="楷体_GB2312;Arial Unicode MS" w:cs="楷体_GB2312;Arial Unicode MS" w:ascii="楷体_GB2312;Arial Unicode MS" w:hAnsi="楷体_GB2312;Arial Unicode MS"/>
              </w:rPr>
              <w:t>51-59</w:t>
            </w:r>
            <w:r>
              <w:rPr>
                <w:rFonts w:ascii="楷体_GB2312;Arial Unicode MS" w:hAnsi="楷体_GB2312;Arial Unicode MS" w:cs="楷体_GB2312;Arial Unicode MS" w:eastAsia="楷体_GB2312;Arial Unicode MS"/>
              </w:rPr>
              <w:t>分次年薪酬下调</w:t>
            </w:r>
            <w:r>
              <w:rPr>
                <w:rFonts w:eastAsia="楷体_GB2312;Arial Unicode MS" w:cs="楷体_GB2312;Arial Unicode MS" w:ascii="楷体_GB2312;Arial Unicode MS" w:hAnsi="楷体_GB2312;Arial Unicode MS"/>
              </w:rPr>
              <w:t>30%</w:t>
            </w:r>
            <w:r>
              <w:rPr>
                <w:rFonts w:ascii="楷体_GB2312;Arial Unicode MS" w:hAnsi="楷体_GB2312;Arial Unicode MS" w:cs="楷体_GB2312;Arial Unicode MS" w:eastAsia="楷体_GB2312;Arial Unicode MS"/>
              </w:rPr>
              <w:t>、</w:t>
            </w:r>
            <w:r>
              <w:rPr>
                <w:rFonts w:eastAsia="楷体_GB2312;Arial Unicode MS" w:cs="楷体_GB2312;Arial Unicode MS" w:ascii="楷体_GB2312;Arial Unicode MS" w:hAnsi="楷体_GB2312;Arial Unicode MS"/>
              </w:rPr>
              <w:t>50</w:t>
            </w:r>
            <w:r>
              <w:rPr>
                <w:rFonts w:ascii="楷体_GB2312;Arial Unicode MS" w:hAnsi="楷体_GB2312;Arial Unicode MS" w:cs="楷体_GB2312;Arial Unicode MS" w:eastAsia="楷体_GB2312;Arial Unicode MS"/>
              </w:rPr>
              <w:t>分以下次年薪酬下调</w:t>
            </w:r>
            <w:r>
              <w:rPr>
                <w:rFonts w:eastAsia="楷体_GB2312;Arial Unicode MS" w:cs="楷体_GB2312;Arial Unicode MS" w:ascii="楷体_GB2312;Arial Unicode MS" w:hAnsi="楷体_GB2312;Arial Unicode MS"/>
              </w:rPr>
              <w:t>50%</w:t>
            </w:r>
            <w:r>
              <w:rPr>
                <w:rFonts w:ascii="楷体_GB2312;Arial Unicode MS" w:hAnsi="楷体_GB2312;Arial Unicode MS" w:cs="楷体_GB2312;Arial Unicode MS" w:eastAsia="楷体_GB2312;Arial Unicode MS"/>
              </w:rPr>
              <w:t>，年度考评低于</w:t>
            </w:r>
            <w:r>
              <w:rPr>
                <w:rFonts w:eastAsia="楷体_GB2312;Arial Unicode MS" w:cs="楷体_GB2312;Arial Unicode MS" w:ascii="楷体_GB2312;Arial Unicode MS" w:hAnsi="楷体_GB2312;Arial Unicode MS"/>
              </w:rPr>
              <w:t>60</w:t>
            </w:r>
            <w:r>
              <w:rPr>
                <w:rFonts w:ascii="楷体_GB2312;Arial Unicode MS" w:hAnsi="楷体_GB2312;Arial Unicode MS" w:cs="楷体_GB2312;Arial Unicode MS" w:eastAsia="楷体_GB2312;Arial Unicode MS"/>
              </w:rPr>
              <w:t>分自动免职。</w:t>
            </w:r>
          </w:p>
        </w:tc>
      </w:tr>
      <w:tr>
        <w:trPr>
          <w:trHeight w:val="450" w:hRule="atLeast"/>
        </w:trPr>
        <w:tc>
          <w:tcPr>
            <w:tcW w:w="2160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shd w:fill="E6E6E6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eastAsia="楷体_GB2312;Arial Unicode MS" w:cs="宋体;SimSun"/>
              </w:rPr>
            </w:pPr>
            <w:r>
              <w:rPr>
                <w:rFonts w:eastAsia="楷体_GB2312;Arial Unicode MS" w:cs="宋体;SimSun" w:ascii="宋体;SimSun" w:hAnsi="宋体;SimSun"/>
              </w:rPr>
            </w:r>
          </w:p>
        </w:tc>
        <w:tc>
          <w:tcPr>
            <w:tcW w:w="12420" w:type="dxa"/>
            <w:gridSpan w:val="11"/>
            <w:tcBorders>
              <w:top w:val="single" w:sz="6" w:space="0" w:color="000000"/>
              <w:start w:val="single" w:sz="8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楷体_GB2312;Arial Unicode MS" w:hAnsi="楷体_GB2312;Arial Unicode MS" w:eastAsia="楷体_GB2312;Arial Unicode MS" w:cs="宋体;SimSun"/>
              </w:rPr>
            </w:pPr>
            <w:r>
              <w:rPr>
                <w:rFonts w:ascii="楷体_GB2312;Arial Unicode MS" w:hAnsi="楷体_GB2312;Arial Unicode MS" w:cs="楷体_GB2312;Arial Unicode MS" w:eastAsia="楷体_GB2312;Arial Unicode MS"/>
              </w:rPr>
              <w:t>（</w:t>
            </w:r>
            <w:r>
              <w:rPr>
                <w:rFonts w:eastAsia="楷体_GB2312;Arial Unicode MS" w:cs="楷体_GB2312;Arial Unicode MS" w:ascii="楷体_GB2312;Arial Unicode MS" w:hAnsi="楷体_GB2312;Arial Unicode MS"/>
              </w:rPr>
              <w:t>4</w:t>
            </w:r>
            <w:r>
              <w:rPr>
                <w:rFonts w:ascii="楷体_GB2312;Arial Unicode MS" w:hAnsi="楷体_GB2312;Arial Unicode MS" w:cs="楷体_GB2312;Arial Unicode MS" w:eastAsia="楷体_GB2312;Arial Unicode MS"/>
              </w:rPr>
              <w:t>）为支持本人考核企业需提供的资源或条件：……</w:t>
            </w:r>
          </w:p>
        </w:tc>
      </w:tr>
      <w:tr>
        <w:trPr>
          <w:trHeight w:val="725" w:hRule="atLeast"/>
        </w:trPr>
        <w:tc>
          <w:tcPr>
            <w:tcW w:w="2160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8" w:space="0" w:color="000000"/>
            </w:tcBorders>
            <w:shd w:fill="E0E0E0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/>
              </w:rPr>
            </w:pPr>
            <w:r>
              <w:rPr>
                <w:rFonts w:ascii="宋体;SimSun" w:hAnsi="宋体;SimSun" w:cs="宋体;SimSun"/>
              </w:rPr>
              <w:t>考核签字</w:t>
            </w:r>
          </w:p>
        </w:tc>
        <w:tc>
          <w:tcPr>
            <w:tcW w:w="12420" w:type="dxa"/>
            <w:gridSpan w:val="11"/>
            <w:tcBorders>
              <w:top w:val="single" w:sz="12" w:space="0" w:color="000000"/>
              <w:start w:val="single" w:sz="8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楷体_GB2312;Arial Unicode MS" w:hAnsi="楷体_GB2312;Arial Unicode MS" w:eastAsia="楷体_GB2312;Arial Unicode MS" w:cs="宋体;SimSun"/>
              </w:rPr>
            </w:pPr>
            <w:r>
              <w:rPr>
                <w:rFonts w:ascii="楷体_GB2312;Arial Unicode MS" w:hAnsi="楷体_GB2312;Arial Unicode MS" w:cs="楷体_GB2312;Arial Unicode MS" w:eastAsia="楷体_GB2312;Arial Unicode MS"/>
              </w:rPr>
              <w:t>本人已经认真阅读《年度绩效考核任务书》并且充分理解各项考核指标内容，愿意接受公司的考核并且在此郑重签字确认。</w:t>
            </w:r>
          </w:p>
          <w:p>
            <w:pPr>
              <w:pStyle w:val="Normal"/>
              <w:ind w:firstLine="1655"/>
              <w:rPr>
                <w:rFonts w:ascii="黑体;SimHei" w:hAnsi="黑体;SimHei" w:eastAsia="黑体;SimHei"/>
                <w:b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宋体;SimSun" w:hAnsi="宋体;SimSun" w:cs="宋体;SimSun"/>
              </w:rPr>
              <w:t>被考核人员（签字）：</w:t>
            </w:r>
            <w:r>
              <w:rPr>
                <w:rFonts w:ascii="宋体;SimSun" w:hAnsi="宋体;SimSun" w:cs="宋体;SimSun"/>
                <w:u w:val="single"/>
              </w:rPr>
              <w:t xml:space="preserve">                  </w:t>
            </w:r>
            <w:r>
              <w:rPr>
                <w:rFonts w:ascii="宋体;SimSun" w:hAnsi="宋体;SimSun" w:cs="宋体;SimSun"/>
              </w:rPr>
              <w:t xml:space="preserve">  </w:t>
            </w:r>
            <w:r>
              <w:rPr>
                <w:rFonts w:ascii="宋体;SimSun" w:hAnsi="宋体;SimSun" w:cs="宋体;SimSun"/>
              </w:rPr>
              <w:t>签定日期：</w:t>
            </w:r>
            <w:r>
              <w:rPr>
                <w:rFonts w:cs="宋体;SimSun" w:ascii="宋体;SimSun" w:hAnsi="宋体;SimSun"/>
              </w:rPr>
              <w:t>20**</w:t>
            </w:r>
            <w:r>
              <w:rPr>
                <w:rFonts w:ascii="宋体;SimSun" w:hAnsi="宋体;SimSun" w:cs="宋体;SimSun"/>
              </w:rPr>
              <w:t>年</w:t>
            </w:r>
            <w:r>
              <w:rPr>
                <w:rFonts w:ascii="宋体;SimSun" w:hAnsi="宋体;SimSun" w:cs="宋体;SimSun"/>
              </w:rPr>
              <w:t xml:space="preserve">   </w:t>
            </w:r>
            <w:r>
              <w:rPr>
                <w:rFonts w:ascii="宋体;SimSun" w:hAnsi="宋体;SimSun" w:cs="宋体;SimSun"/>
              </w:rPr>
              <w:t>月</w:t>
            </w:r>
            <w:r>
              <w:rPr>
                <w:rFonts w:ascii="宋体;SimSun" w:hAnsi="宋体;SimSun" w:cs="宋体;SimSun"/>
              </w:rPr>
              <w:t xml:space="preserve">   </w:t>
            </w:r>
            <w:r>
              <w:rPr>
                <w:rFonts w:ascii="宋体;SimSun" w:hAnsi="宋体;SimSun" w:cs="宋体;SimSun"/>
              </w:rPr>
              <w:t>日</w:t>
            </w:r>
          </w:p>
        </w:tc>
      </w:tr>
    </w:tbl>
    <w:p>
      <w:pPr>
        <w:pStyle w:val="Normal"/>
        <w:rPr/>
      </w:pPr>
      <w:r>
        <w:rPr>
          <w:rFonts w:ascii="楷体_GB2312;Arial Unicode MS" w:hAnsi="楷体_GB2312;Arial Unicode MS" w:cs="楷体_GB2312;Arial Unicode MS" w:eastAsia="楷体_GB2312;Arial Unicode MS"/>
        </w:rPr>
        <w:t>【提示】上表请根据实际管理需要做完善。</w:t>
      </w:r>
    </w:p>
    <w:p>
      <w:pPr>
        <w:pStyle w:val="Normal"/>
        <w:shd w:fill="E6E6E6" w:val="clear"/>
        <w:ind w:firstLine="437"/>
        <w:rPr/>
      </w:pPr>
      <w:r>
        <w:rPr/>
      </w:r>
    </w:p>
    <w:p>
      <w:pPr>
        <w:pStyle w:val="Normal"/>
        <w:spacing w:lineRule="auto" w:line="360"/>
        <w:ind w:firstLine="420"/>
        <w:rPr>
          <w:rFonts w:ascii="楷体_GB2312;Arial Unicode MS" w:hAnsi="楷体_GB2312;Arial Unicode MS" w:eastAsia="楷体_GB2312;Arial Unicode MS"/>
          <w:bCs/>
          <w:color w:val="FFCC00"/>
          <w:kern w:val="2"/>
        </w:rPr>
      </w:pPr>
      <w:r>
        <w:rPr>
          <w:rFonts w:eastAsia="楷体_GB2312;Arial Unicode MS" w:ascii="楷体_GB2312;Arial Unicode MS" w:hAnsi="楷体_GB2312;Arial Unicode MS"/>
          <w:color w:val="FFCC00"/>
        </w:rPr>
        <w:t>&gt;&gt;&gt;</w:t>
      </w:r>
      <w:r>
        <w:rPr>
          <w:rFonts w:ascii="楷体_GB2312;Arial Unicode MS" w:hAnsi="楷体_GB2312;Arial Unicode MS" w:eastAsia="楷体_GB2312;Arial Unicode MS"/>
          <w:color w:val="FFCC00"/>
        </w:rPr>
        <w:t>本模板参考贺清君最新出版图书《</w:t>
      </w:r>
      <w:r>
        <w:rPr>
          <w:rFonts w:ascii="楷体_GB2312;Arial Unicode MS" w:hAnsi="楷体_GB2312;Arial Unicode MS" w:eastAsia="楷体_GB2312;Arial Unicode MS"/>
          <w:bCs/>
          <w:color w:val="FFCC00"/>
          <w:kern w:val="2"/>
        </w:rPr>
        <w:t>绩效考核与薪酬激励整体解决方案》编制，请您结合企业实际管理现状完善后使用。</w:t>
      </w:r>
    </w:p>
    <w:p>
      <w:pPr>
        <w:pStyle w:val="Normal"/>
        <w:shd w:fill="E6E6E6" w:val="clear"/>
        <w:ind w:firstLine="437"/>
        <w:rPr>
          <w:rFonts w:ascii="楷体_GB2312;Arial Unicode MS" w:hAnsi="楷体_GB2312;Arial Unicode MS" w:eastAsia="楷体_GB2312;Arial Unicode MS"/>
          <w:bCs/>
          <w:color w:val="FFCC00"/>
          <w:kern w:val="2"/>
        </w:rPr>
      </w:pPr>
      <w:r>
        <w:rPr>
          <w:rFonts w:eastAsia="楷体_GB2312;Arial Unicode MS" w:ascii="楷体_GB2312;Arial Unicode MS" w:hAnsi="楷体_GB2312;Arial Unicode MS"/>
          <w:bCs/>
          <w:color w:val="FFCC00"/>
          <w:kern w:val="2"/>
        </w:rPr>
      </w:r>
    </w:p>
    <w:p>
      <w:pPr>
        <w:pStyle w:val="Normal"/>
        <w:rPr/>
      </w:pPr>
      <w:r>
        <w:rPr/>
      </w:r>
    </w:p>
    <w:sectPr>
      <w:headerReference w:type="default" r:id="rId4"/>
      <w:headerReference w:type="first" r:id="rId5"/>
      <w:headerReference w:type="even" r:id="rId6"/>
      <w:footerReference w:type="default" r:id="rId7"/>
      <w:footerReference w:type="first" r:id="rId8"/>
      <w:footerReference w:type="even" r:id="rId9"/>
      <w:type w:val="nextPage"/>
      <w:pgSz w:orient="landscape" w:w="16838" w:h="11906"/>
      <w:pgMar w:left="1440" w:right="1440" w:header="0" w:top="1797" w:footer="0" w:bottom="179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华文中宋">
    <w:charset w:val="86"/>
    <w:family w:val="auto"/>
    <w:pitch w:val="variable"/>
  </w:font>
  <w:font w:name="黑体">
    <w:altName w:val="SimHei"/>
    <w:charset w:val="86"/>
    <w:family w:val="auto"/>
    <w:pitch w:val="variable"/>
  </w:font>
  <w:font w:name="楷体_GB2312">
    <w:altName w:val="Arial Unicode MS"/>
    <w:charset w:val="86"/>
    <w:family w:val="modern"/>
    <w:pitch w:val="default"/>
  </w:font>
  <w:font w:name="宋体">
    <w:altName w:val="SimSun"/>
    <w:charset w:val="86"/>
    <w:family w:val="auto"/>
    <w:pitch w:val="variable"/>
  </w:font>
  <w:font w:name="仿宋_GB2312">
    <w:altName w:val="Arial Unicode MS"/>
    <w:charset w:val="86"/>
    <w:family w:val="modern"/>
    <w:pitch w:val="default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1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2014-08-02T09:43:00Z</dcterms:created>
  <dc:creator>zctt</dc:creator>
  <dc:description/>
  <cp:keywords> </cp:keywords>
  <dc:language>en-US</dc:language>
  <cp:lastModifiedBy>zctt</cp:lastModifiedBy>
  <dcterms:modified xsi:type="dcterms:W3CDTF">2014-08-02T09:43:00Z</dcterms:modified>
  <cp:revision>1</cp:revision>
  <dc:subject/>
  <dc:title>年度绩效考核双向责任书</dc:title>
</cp:coreProperties>
</file>