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年分公司总经理目标责任协议书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分公司总经理  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color w:val="FF0000"/>
          <w:sz w:val="24"/>
          <w:szCs w:val="24"/>
          <w:u w:val="single"/>
        </w:rPr>
        <w:t>XX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分公司 </w:t>
      </w:r>
      <w:r>
        <w:rPr>
          <w:rFonts w:ascii="宋体" w:hAnsi="宋体" w:cs="宋体"/>
          <w:sz w:val="24"/>
          <w:szCs w:val="24"/>
        </w:rPr>
        <w:t>的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color w:val="FF0000"/>
          <w:sz w:val="24"/>
          <w:szCs w:val="24"/>
        </w:rPr>
        <w:t>20</w:t>
      </w:r>
      <w:r>
        <w:rPr>
          <w:rFonts w:cs="宋体" w:ascii="宋体" w:hAnsi="宋体"/>
          <w:color w:val="FF0000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color w:val="FF0000"/>
          <w:sz w:val="24"/>
          <w:szCs w:val="24"/>
        </w:rPr>
        <w:t>年</w:t>
      </w: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月</w:t>
      </w: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日至</w:t>
      </w:r>
      <w:r>
        <w:rPr>
          <w:rFonts w:cs="宋体" w:ascii="宋体" w:hAnsi="宋体"/>
          <w:color w:val="FF0000"/>
          <w:sz w:val="24"/>
          <w:szCs w:val="24"/>
        </w:rPr>
        <w:t>20</w:t>
      </w:r>
      <w:r>
        <w:rPr>
          <w:rFonts w:cs="宋体" w:ascii="宋体" w:hAnsi="宋体"/>
          <w:color w:val="FF0000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color w:val="FF0000"/>
          <w:sz w:val="24"/>
          <w:szCs w:val="24"/>
        </w:rPr>
        <w:t>年</w:t>
      </w:r>
      <w:r>
        <w:rPr>
          <w:rFonts w:cs="宋体" w:ascii="宋体" w:hAnsi="宋体"/>
          <w:color w:val="FF0000"/>
          <w:sz w:val="24"/>
          <w:szCs w:val="24"/>
        </w:rPr>
        <w:t>12</w:t>
      </w:r>
      <w:r>
        <w:rPr>
          <w:rFonts w:ascii="宋体" w:hAnsi="宋体" w:cs="宋体"/>
          <w:color w:val="FF0000"/>
          <w:sz w:val="24"/>
          <w:szCs w:val="24"/>
        </w:rPr>
        <w:t>月</w:t>
      </w:r>
      <w:r>
        <w:rPr>
          <w:rFonts w:cs="宋体" w:ascii="宋体" w:hAnsi="宋体"/>
          <w:color w:val="FF0000"/>
          <w:sz w:val="24"/>
          <w:szCs w:val="24"/>
        </w:rPr>
        <w:t>31</w:t>
      </w:r>
      <w:r>
        <w:rPr>
          <w:rFonts w:ascii="宋体" w:hAnsi="宋体" w:cs="宋体"/>
          <w:color w:val="FF0000"/>
          <w:sz w:val="24"/>
          <w:szCs w:val="24"/>
        </w:rPr>
        <w:t>日</w:t>
      </w:r>
      <w:r>
        <w:rPr>
          <w:rFonts w:ascii="宋体" w:hAnsi="宋体" w:cs="宋体"/>
          <w:sz w:val="24"/>
          <w:szCs w:val="24"/>
        </w:rPr>
        <w:t xml:space="preserve">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）业绩达成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公司销售额达到    以上，利润    以上，市场占有率在    以上，应收账款     以下；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）团队建设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公司人数达到   人，培养核心人才营销总监    人，技术总监   人，运营总监   人，人员流失率在    以下，核心人才流失率在    以下；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）日常运营管理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公司运营健康，无工商、税务风险。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提成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分红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年终奖金”（参考）</w:t>
      </w:r>
      <w:r>
        <w:rPr>
          <w:rFonts w:ascii="宋体" w:hAnsi="宋体" w:cs="宋体"/>
          <w:sz w:val="24"/>
          <w:szCs w:val="24"/>
        </w:rPr>
        <w:t>其中，</w:t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color w:val="FF0000"/>
          <w:sz w:val="24"/>
          <w:szCs w:val="24"/>
        </w:rPr>
        <w:t>固定工资为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；绩效工资为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 xml:space="preserve"> ；提成为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 </w:t>
      </w:r>
      <w:r>
        <w:rPr>
          <w:rFonts w:ascii="宋体" w:hAnsi="宋体" w:cs="宋体"/>
          <w:color w:val="FF0000"/>
          <w:sz w:val="24"/>
          <w:szCs w:val="24"/>
        </w:rPr>
        <w:t>；分红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</w:t>
      </w:r>
      <w:r>
        <w:rPr>
          <w:rFonts w:ascii="宋体" w:hAnsi="宋体" w:cs="宋体"/>
          <w:color w:val="FF0000"/>
          <w:sz w:val="24"/>
          <w:szCs w:val="24"/>
        </w:rPr>
        <w:t>；年终奖金为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>）提成：公司销售额的</w:t>
      </w:r>
      <w:r>
        <w:rPr>
          <w:rFonts w:cs="宋体" w:ascii="宋体" w:hAnsi="宋体"/>
          <w:color w:val="FF0000"/>
          <w:sz w:val="24"/>
          <w:szCs w:val="24"/>
        </w:rPr>
        <w:t>X%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>）分红：为分公司核算利润的</w:t>
      </w:r>
      <w:r>
        <w:rPr>
          <w:rFonts w:cs="宋体" w:ascii="宋体" w:hAnsi="宋体"/>
          <w:color w:val="FF0000"/>
          <w:sz w:val="24"/>
          <w:szCs w:val="24"/>
        </w:rPr>
        <w:t>X%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5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）年终奖金：为公司利润超额部分的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t>分公司总经理考核评分表（年度）</w:t>
      </w:r>
    </w:p>
    <w:p>
      <w:pPr>
        <w:pStyle w:val="Normal"/>
        <w:jc w:val="end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tbl>
      <w:tblPr>
        <w:tblW w:w="1037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2"/>
        <w:gridCol w:w="390"/>
        <w:gridCol w:w="121"/>
        <w:gridCol w:w="975"/>
        <w:gridCol w:w="782"/>
        <w:gridCol w:w="83"/>
        <w:gridCol w:w="581"/>
        <w:gridCol w:w="1794"/>
        <w:gridCol w:w="173"/>
        <w:gridCol w:w="1497"/>
        <w:gridCol w:w="1598"/>
        <w:gridCol w:w="437"/>
        <w:gridCol w:w="325"/>
        <w:gridCol w:w="101"/>
        <w:gridCol w:w="456"/>
        <w:gridCol w:w="36"/>
        <w:gridCol w:w="514"/>
      </w:tblGrid>
      <w:tr>
        <w:trPr>
          <w:trHeight w:val="340" w:hRule="atLeast"/>
          <w:cantSplit w:val="true"/>
        </w:trPr>
        <w:tc>
          <w:tcPr>
            <w:tcW w:w="90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187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5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5137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分公司总经理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664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3532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43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57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664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3532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销售额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  <w:t>30%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实际到账的现金总额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 xml:space="preserve">分；  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以下 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利润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税前利润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 xml:space="preserve">分；  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以下 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新市场开发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按照战略规划完成公司的新市场开发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完成，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未完成，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系统建设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2013</w:t>
            </w:r>
            <w:r>
              <w:rPr>
                <w:rFonts w:ascii="黑体" w:hAnsi="黑体" w:cs="黑体" w:eastAsia="黑体"/>
                <w:szCs w:val="21"/>
              </w:rPr>
              <w:t>年导入组织系统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制作系统并导入流程，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制作但未导入，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未制作、未导入，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团队建设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团队人数达标，核心人才达到编制</w:t>
            </w:r>
          </w:p>
        </w:tc>
        <w:tc>
          <w:tcPr>
            <w:tcW w:w="3532" w:type="dxa"/>
            <w:gridSpan w:val="3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按要求完成 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每少一名扣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日常运营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公司运营健康，无工商、税务风险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完成，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出现工商、税务等问题，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ascii="黑体" w:hAnsi="黑体" w:cs="黑体" w:eastAsia="黑体"/>
                <w:b/>
                <w:szCs w:val="21"/>
                <w:lang w:val="en-US" w:eastAsia="zh-CN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bookmarkStart w:id="0" w:name="OLE_LINK2"/>
            <w:bookmarkStart w:id="1" w:name="OLE_LINK1"/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bookmarkEnd w:id="0"/>
            <w:bookmarkEnd w:id="1"/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、掌握岗位精确工作技术及全面专家并组织实施产生良好效果，培训员工为胜任力者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指挥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、常规指标并清晰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、详细指导并告知操作方法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、坚决洽当处理不合理要求并对后果负责，控制场面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、团队工作井然，成员离场行为较好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、指挥具有艺术性，成员不易违规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决策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、能做本职及下级决策，出现时间延长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、通过讨论，总能获取最后正确决策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、无依赖思想，使用理性工具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、有预见性，感性与理性决策误差小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、决策超出组织预见，成为组织成员决策依据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863" w:type="dxa"/>
            <w:gridSpan w:val="1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 %=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863" w:type="dxa"/>
            <w:gridSpan w:val="16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2020-06-10T10:32:21Z</dcterms:modified>
  <cp:revision>39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