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tLeast" w:line="440"/>
        <w:rPr>
          <w:rFonts w:ascii="仿宋_GB2312;仿宋" w:hAnsi="仿宋_GB2312;仿宋" w:eastAsia="仿宋_GB2312;仿宋"/>
          <w:b/>
          <w:b/>
          <w:sz w:val="44"/>
          <w:lang w:val="en-US" w:eastAsia="zh-CN"/>
        </w:rPr>
      </w:pPr>
      <w:r>
        <w:rPr>
          <w:rFonts w:eastAsia="仿宋_GB2312;仿宋" w:cs="仿宋_GB2312;仿宋" w:ascii="仿宋_GB2312;仿宋" w:hAnsi="仿宋_GB2312;仿宋"/>
          <w:b/>
          <w:sz w:val="44"/>
          <w:lang w:val="en-US" w:eastAsia="zh-CN"/>
        </w:rPr>
        <w:t xml:space="preserve">        </w:t>
      </w:r>
    </w:p>
    <w:p>
      <w:pPr>
        <w:pStyle w:val="Normal"/>
        <w:snapToGrid w:val="false"/>
        <w:spacing w:lineRule="auto" w:line="360"/>
        <w:jc w:val="both"/>
        <w:rPr>
          <w:rFonts w:ascii="黑体" w:hAnsi="黑体" w:eastAsia="黑体"/>
          <w:bCs/>
          <w:sz w:val="48"/>
        </w:rPr>
      </w:pPr>
      <w:r>
        <w:rPr>
          <w:rFonts w:eastAsia="黑体" w:cs="黑体" w:ascii="黑体" w:hAnsi="黑体"/>
          <w:bCs/>
          <w:sz w:val="48"/>
          <w:lang w:val="en-US" w:eastAsia="zh-CN"/>
        </w:rPr>
        <w:t xml:space="preserve">        </w:t>
      </w:r>
      <w:r>
        <w:rPr>
          <w:rFonts w:ascii="黑体" w:hAnsi="黑体" w:eastAsia="黑体"/>
          <w:bCs/>
          <w:sz w:val="48"/>
        </w:rPr>
        <w:t>绩效</w:t>
      </w:r>
      <w:r>
        <w:rPr>
          <w:rFonts w:ascii="黑体" w:hAnsi="黑体" w:eastAsia="黑体"/>
          <w:bCs/>
          <w:sz w:val="48"/>
          <w:lang w:eastAsia="zh-CN"/>
        </w:rPr>
        <w:t>考核制度</w:t>
      </w:r>
    </w:p>
    <w:p>
      <w:pPr>
        <w:pStyle w:val="Normal"/>
        <w:snapToGrid w:val="false"/>
        <w:spacing w:lineRule="auto" w:line="480"/>
        <w:ind w:start="1260" w:hanging="0"/>
        <w:rPr>
          <w:rFonts w:ascii="宋体" w:hAnsi="宋体" w:cs="宋体"/>
          <w:bCs/>
          <w:sz w:val="44"/>
          <w:szCs w:val="44"/>
        </w:rPr>
      </w:pPr>
      <w:r>
        <w:rPr>
          <w:rFonts w:ascii="宋体" w:hAnsi="宋体" w:cs="宋体"/>
          <w:bCs/>
          <w:sz w:val="44"/>
          <w:szCs w:val="44"/>
        </w:rPr>
        <w:t>一、绩效管理制度</w:t>
      </w:r>
    </w:p>
    <w:p>
      <w:pPr>
        <w:pStyle w:val="Normal"/>
        <w:snapToGrid w:val="false"/>
        <w:spacing w:lineRule="auto" w:line="480"/>
        <w:ind w:start="1260" w:hanging="0"/>
        <w:rPr>
          <w:rFonts w:ascii="宋体" w:hAnsi="宋体" w:cs="宋体"/>
          <w:sz w:val="44"/>
          <w:szCs w:val="44"/>
        </w:rPr>
      </w:pPr>
      <w:r>
        <w:rPr>
          <w:rFonts w:ascii="宋体" w:hAnsi="宋体" w:cs="宋体"/>
          <w:sz w:val="44"/>
          <w:szCs w:val="44"/>
        </w:rPr>
        <w:t>二、高层绩效考核表</w:t>
      </w:r>
    </w:p>
    <w:p>
      <w:pPr>
        <w:pStyle w:val="Normal"/>
        <w:snapToGrid w:val="false"/>
        <w:spacing w:lineRule="auto" w:line="480"/>
        <w:ind w:start="1260" w:hanging="0"/>
        <w:rPr>
          <w:rFonts w:ascii="宋体" w:hAnsi="宋体" w:cs="宋体"/>
          <w:sz w:val="44"/>
          <w:szCs w:val="44"/>
        </w:rPr>
      </w:pPr>
      <w:r>
        <w:rPr>
          <w:rFonts w:ascii="宋体" w:hAnsi="宋体" w:cs="宋体"/>
          <w:sz w:val="44"/>
          <w:szCs w:val="44"/>
        </w:rPr>
        <w:t>三、中层绩效考核表</w:t>
      </w:r>
    </w:p>
    <w:p>
      <w:pPr>
        <w:pStyle w:val="Normal"/>
        <w:snapToGrid w:val="false"/>
        <w:spacing w:lineRule="auto" w:line="480"/>
        <w:ind w:start="1260" w:hanging="0"/>
        <w:rPr>
          <w:rFonts w:ascii="宋体" w:hAnsi="宋体" w:eastAsia="宋体" w:cs="宋体"/>
          <w:sz w:val="44"/>
          <w:szCs w:val="44"/>
          <w:lang w:eastAsia="zh-CN"/>
        </w:rPr>
      </w:pPr>
      <w:r>
        <w:rPr>
          <w:rFonts w:ascii="宋体" w:hAnsi="宋体" w:cs="宋体"/>
          <w:sz w:val="44"/>
          <w:szCs w:val="44"/>
          <w:lang w:eastAsia="zh-CN"/>
        </w:rPr>
        <w:t>四、主管绩效考核表</w:t>
      </w:r>
    </w:p>
    <w:p>
      <w:pPr>
        <w:pStyle w:val="Normal"/>
        <w:snapToGrid w:val="false"/>
        <w:spacing w:lineRule="auto" w:line="480"/>
        <w:ind w:start="1260" w:hanging="0"/>
        <w:rPr>
          <w:rFonts w:ascii="宋体" w:hAnsi="宋体" w:cs="宋体"/>
          <w:sz w:val="44"/>
          <w:szCs w:val="44"/>
        </w:rPr>
      </w:pPr>
      <w:r>
        <w:rPr>
          <w:rFonts w:ascii="宋体" w:hAnsi="宋体" w:cs="宋体"/>
          <w:sz w:val="44"/>
          <w:szCs w:val="44"/>
          <w:lang w:eastAsia="zh-CN"/>
        </w:rPr>
        <w:t>五</w:t>
      </w:r>
      <w:r>
        <w:rPr>
          <w:rFonts w:ascii="宋体" w:hAnsi="宋体" w:cs="宋体"/>
          <w:sz w:val="44"/>
          <w:szCs w:val="44"/>
        </w:rPr>
        <w:t>、基层绩效考核表</w:t>
      </w:r>
    </w:p>
    <w:p>
      <w:pPr>
        <w:pStyle w:val="Normal"/>
        <w:snapToGrid w:val="false"/>
        <w:spacing w:lineRule="auto" w:line="480"/>
        <w:ind w:start="1260" w:hanging="0"/>
        <w:rPr>
          <w:rFonts w:ascii="宋体" w:hAnsi="宋体" w:cs="宋体"/>
          <w:sz w:val="44"/>
          <w:szCs w:val="44"/>
        </w:rPr>
      </w:pPr>
      <w:r>
        <w:rPr>
          <w:rFonts w:cs="宋体" w:ascii="宋体" w:hAnsi="宋体"/>
          <w:sz w:val="44"/>
          <w:szCs w:val="44"/>
        </w:rPr>
        <w:t xml:space="preserve"> </w:t>
      </w:r>
    </w:p>
    <w:p>
      <w:pPr>
        <w:pStyle w:val="Normal"/>
        <w:snapToGrid w:val="false"/>
        <w:spacing w:lineRule="atLeast" w:line="440"/>
        <w:jc w:val="center"/>
        <w:rPr>
          <w:rFonts w:ascii="仿宋_GB2312;仿宋" w:hAnsi="仿宋_GB2312;仿宋" w:eastAsia="仿宋_GB2312;仿宋" w:cs="宋体"/>
          <w:b/>
          <w:b/>
          <w:sz w:val="44"/>
          <w:szCs w:val="44"/>
        </w:rPr>
      </w:pPr>
      <w:r>
        <w:rPr>
          <w:rFonts w:eastAsia="仿宋_GB2312;仿宋" w:cs="宋体" w:ascii="仿宋_GB2312;仿宋" w:hAnsi="仿宋_GB2312;仿宋"/>
          <w:b/>
          <w:sz w:val="44"/>
          <w:szCs w:val="44"/>
        </w:rPr>
      </w:r>
      <w:r>
        <w:br w:type="page"/>
      </w:r>
    </w:p>
    <w:p>
      <w:pPr>
        <w:pStyle w:val="Normal"/>
        <w:rPr>
          <w:rFonts w:ascii="仿宋_GB2312;仿宋" w:hAnsi="仿宋_GB2312;仿宋" w:eastAsia="仿宋_GB2312;仿宋"/>
          <w:b/>
          <w:b/>
          <w:sz w:val="44"/>
        </w:rPr>
      </w:pPr>
      <w:r>
        <w:rPr>
          <w:rFonts w:eastAsia="仿宋_GB2312;仿宋" w:ascii="仿宋_GB2312;仿宋" w:hAnsi="仿宋_GB2312;仿宋"/>
          <w:b/>
          <w:sz w:val="44"/>
        </w:rPr>
      </w:r>
    </w:p>
    <w:p>
      <w:pPr>
        <w:pStyle w:val="Normal"/>
        <w:rPr/>
      </w:pPr>
      <w:r>
        <w:rPr/>
      </w:r>
    </w:p>
    <w:p>
      <w:pPr>
        <w:pStyle w:val="Style14"/>
        <w:rPr>
          <w:rFonts w:ascii="Times New Roman" w:hAnsi="Times New Roman" w:cs="Times New Roman"/>
          <w:bCs w:val="false"/>
          <w:szCs w:val="24"/>
          <w:lang w:val="en-US" w:eastAsia="en-US"/>
        </w:rPr>
      </w:pPr>
      <w:r>
        <w:rPr>
          <w:rFonts w:cs="Times New Roman" w:ascii="Times New Roman" w:hAnsi="Times New Roman"/>
          <w:bCs w:val="false"/>
          <w:szCs w:val="24"/>
          <w:lang w:val="en-US" w:eastAsia="en-US"/>
        </w:rPr>
      </w:r>
    </w:p>
    <w:p>
      <w:pPr>
        <w:pStyle w:val="Style14"/>
        <w:rPr>
          <w:rFonts w:ascii="Times New Roman" w:hAnsi="Times New Roman" w:cs="Times New Roman"/>
          <w:bCs w:val="false"/>
          <w:szCs w:val="24"/>
          <w:lang w:val="en-US" w:eastAsia="en-US"/>
        </w:rPr>
      </w:pPr>
      <w:r>
        <w:rPr>
          <w:rFonts w:cs="Times New Roman" w:ascii="Times New Roman" w:hAnsi="Times New Roman"/>
          <w:bCs w:val="false"/>
          <w:szCs w:val="24"/>
          <w:lang w:val="en-US" w:eastAsia="en-US"/>
        </w:rPr>
      </w:r>
    </w:p>
    <w:p>
      <w:pPr>
        <w:pStyle w:val="Style14"/>
        <w:rPr>
          <w:rFonts w:ascii="Times New Roman" w:hAnsi="Times New Roman" w:cs="Times New Roman"/>
          <w:bCs w:val="false"/>
          <w:szCs w:val="24"/>
          <w:lang w:val="en-US" w:eastAsia="en-US"/>
        </w:rPr>
      </w:pPr>
      <w:r>
        <w:rPr>
          <w:rFonts w:cs="Times New Roman" w:ascii="Times New Roman" w:hAnsi="Times New Roman"/>
          <w:bCs w:val="false"/>
          <w:szCs w:val="24"/>
          <w:lang w:val="en-US" w:eastAsia="en-US"/>
        </w:rPr>
      </w:r>
    </w:p>
    <w:p>
      <w:pPr>
        <w:pStyle w:val="Style14"/>
        <w:rPr>
          <w:rFonts w:ascii="Times New Roman" w:hAnsi="Times New Roman" w:cs="Times New Roman"/>
          <w:bCs w:val="false"/>
          <w:szCs w:val="24"/>
          <w:lang w:val="en-US" w:eastAsia="en-US"/>
        </w:rPr>
      </w:pPr>
      <w:r>
        <w:rPr>
          <w:rFonts w:cs="Times New Roman" w:ascii="Times New Roman" w:hAnsi="Times New Roman"/>
          <w:bCs w:val="false"/>
          <w:szCs w:val="24"/>
          <w:lang w:val="en-US" w:eastAsia="en-US"/>
        </w:rPr>
      </w:r>
    </w:p>
    <w:p>
      <w:pPr>
        <w:pStyle w:val="Style14"/>
        <w:jc w:val="center"/>
        <w:rPr>
          <w:rFonts w:ascii="黑体" w:hAnsi="黑体" w:eastAsia="黑体" w:cs="Times New Roman"/>
          <w:bCs w:val="false"/>
          <w:sz w:val="52"/>
          <w:szCs w:val="52"/>
          <w:lang w:val="en-US" w:eastAsia="en-US"/>
        </w:rPr>
      </w:pPr>
      <w:r>
        <w:rPr>
          <w:rFonts w:eastAsia="黑体" w:cs="Times New Roman" w:ascii="黑体" w:hAnsi="黑体"/>
          <w:bCs w:val="false"/>
          <w:sz w:val="52"/>
          <w:szCs w:val="52"/>
          <w:lang w:val="en-US" w:eastAsia="en-US"/>
        </w:rPr>
      </w:r>
    </w:p>
    <w:p>
      <w:pPr>
        <w:pStyle w:val="Style14"/>
        <w:rPr>
          <w:rFonts w:ascii="黑体" w:hAnsi="黑体" w:eastAsia="黑体"/>
          <w:sz w:val="52"/>
          <w:szCs w:val="52"/>
        </w:rPr>
      </w:pPr>
      <w:r>
        <w:rPr>
          <w:rFonts w:eastAsia="黑体" w:ascii="黑体" w:hAnsi="黑体"/>
          <w:sz w:val="52"/>
          <w:szCs w:val="52"/>
        </w:rPr>
      </w:r>
    </w:p>
    <w:p>
      <w:pPr>
        <w:pStyle w:val="Style14"/>
        <w:rPr>
          <w:rFonts w:ascii="Times New Roman" w:hAnsi="Times New Roman" w:cs="Times New Roman"/>
          <w:bCs w:val="false"/>
          <w:szCs w:val="24"/>
          <w:lang w:val="en-US" w:eastAsia="en-US"/>
        </w:rPr>
      </w:pPr>
      <w:r>
        <w:rPr>
          <w:rFonts w:cs="Times New Roman" w:ascii="Times New Roman" w:hAnsi="Times New Roman"/>
          <w:bCs w:val="false"/>
          <w:szCs w:val="24"/>
          <w:lang w:val="en-US" w:eastAsia="en-US"/>
        </w:rPr>
      </w:r>
    </w:p>
    <w:p>
      <w:pPr>
        <w:pStyle w:val="Normal"/>
        <w:rPr>
          <w:rFonts w:ascii="Times New Roman" w:hAnsi="Times New Roman" w:cs="Times New Roman"/>
          <w:bCs/>
          <w:szCs w:val="24"/>
          <w:lang w:val="en-US" w:eastAsia="en-US"/>
        </w:rPr>
      </w:pPr>
      <w:r>
        <w:rPr>
          <w:rFonts w:cs="Times New Roman"/>
          <w:bCs/>
          <w:szCs w:val="24"/>
          <w:lang w:val="en-US" w:eastAsia="en-US"/>
        </w:rPr>
      </w:r>
      <w:r>
        <mc:AlternateContent>
          <mc:Choice Requires="wps">
            <w:drawing>
              <wp:anchor behindDoc="0" distT="0" distB="0" distL="0" distR="114935" simplePos="0" locked="0" layoutInCell="0" allowOverlap="1" relativeHeight="2">
                <wp:simplePos x="0" y="0"/>
                <wp:positionH relativeFrom="column">
                  <wp:align>left</wp:align>
                </wp:positionH>
                <wp:positionV relativeFrom="paragraph">
                  <wp:posOffset>166370</wp:posOffset>
                </wp:positionV>
                <wp:extent cx="5372100" cy="1750060"/>
                <wp:effectExtent l="0" t="0" r="0" b="0"/>
                <wp:wrapSquare wrapText="bothSides"/>
                <wp:docPr id="1" name="Frame1"/>
                <a:graphic xmlns:a="http://schemas.openxmlformats.org/drawingml/2006/main">
                  <a:graphicData uri="http://schemas.microsoft.com/office/word/2010/wordprocessingShape">
                    <wps:wsp>
                      <wps:cNvSpPr txBox="1"/>
                      <wps:spPr>
                        <a:xfrm>
                          <a:off x="0" y="0"/>
                          <a:ext cx="5372100" cy="1750060"/>
                        </a:xfrm>
                        <a:prstGeom prst="rect"/>
                        <a:solidFill>
                          <a:srgbClr val="FFFFFF">
                            <a:alpha val="0"/>
                          </a:srgbClr>
                        </a:solidFill>
                      </wps:spPr>
                      <wps:txbx>
                        <w:txbxContent>
                          <w:p>
                            <w:pPr>
                              <w:pStyle w:val="Normal"/>
                              <w:jc w:val="both"/>
                              <w:rPr>
                                <w:rFonts w:ascii="黑体" w:hAnsi="黑体" w:eastAsia="黑体"/>
                                <w:sz w:val="72"/>
                                <w:szCs w:val="72"/>
                              </w:rPr>
                            </w:pPr>
                            <w:r>
                              <w:rPr>
                                <w:rFonts w:eastAsia="黑体" w:ascii="黑体" w:hAnsi="黑体"/>
                                <w:sz w:val="72"/>
                                <w:szCs w:val="72"/>
                              </w:rPr>
                            </w:r>
                          </w:p>
                        </w:txbxContent>
                      </wps:txbx>
                      <wps:bodyPr anchor="t" lIns="92075" tIns="46355" rIns="92075" bIns="46355">
                        <a:noAutofit/>
                      </wps:bodyPr>
                    </wps:wsp>
                  </a:graphicData>
                </a:graphic>
              </wp:anchor>
            </w:drawing>
          </mc:Choice>
          <mc:Fallback>
            <w:pict>
              <v:rect fillcolor="#FFFFFF" style="position:absolute;rotation:0;width:423pt;height:137.8pt;mso-wrap-distance-left:0pt;mso-wrap-distance-right:9.05pt;mso-wrap-distance-top:0pt;mso-wrap-distance-bottom:0pt;margin-top:13.1pt;mso-position-vertical-relative:text;margin-left:0pt;mso-position-horizontal:left;mso-position-horizontal-relative:text">
                <v:fill opacity="0f"/>
                <v:textbox inset="0.100694444444444in,0.0506944444444444in,0.100694444444444in,0.0506944444444444in">
                  <w:txbxContent>
                    <w:p>
                      <w:pPr>
                        <w:pStyle w:val="Normal"/>
                        <w:jc w:val="both"/>
                        <w:rPr>
                          <w:rFonts w:ascii="黑体" w:hAnsi="黑体" w:eastAsia="黑体"/>
                          <w:sz w:val="72"/>
                          <w:szCs w:val="72"/>
                        </w:rPr>
                      </w:pPr>
                      <w:r>
                        <w:rPr>
                          <w:rFonts w:eastAsia="黑体" w:ascii="黑体" w:hAnsi="黑体"/>
                          <w:sz w:val="72"/>
                          <w:szCs w:val="72"/>
                        </w:rPr>
                      </w:r>
                    </w:p>
                  </w:txbxContent>
                </v:textbox>
                <w10:wrap type="square"/>
              </v:rect>
            </w:pict>
          </mc:Fallback>
        </mc:AlternateContent>
      </w:r>
    </w:p>
    <w:p>
      <w:pPr>
        <w:pStyle w:val="Normal"/>
        <w:rPr/>
      </w:pPr>
      <w:r>
        <w:rPr/>
      </w:r>
    </w:p>
    <w:p>
      <w:pPr>
        <w:pStyle w:val="Normal"/>
        <w:rPr/>
      </w:pPr>
      <w:r>
        <w:rPr/>
      </w:r>
    </w:p>
    <w:p>
      <w:pPr>
        <w:pStyle w:val="Heading3"/>
        <w:numPr>
          <w:ilvl w:val="0"/>
          <w:numId w:val="0"/>
        </w:numPr>
        <w:ind w:start="0" w:hanging="0"/>
        <w:jc w:val="center"/>
        <w:rPr/>
      </w:pPr>
      <w:r>
        <w:rPr/>
      </w:r>
    </w:p>
    <w:p>
      <w:pPr>
        <w:pStyle w:val="Heading3"/>
        <w:numPr>
          <w:ilvl w:val="0"/>
          <w:numId w:val="0"/>
        </w:numPr>
        <w:ind w:start="0" w:hanging="0"/>
        <w:jc w:val="center"/>
        <w:rPr/>
      </w:pPr>
      <w:r>
        <w:rPr/>
      </w:r>
    </w:p>
    <w:p>
      <w:pPr>
        <w:pStyle w:val="Normal"/>
        <w:rPr/>
      </w:pPr>
      <w:r>
        <w:rPr/>
      </w:r>
    </w:p>
    <w:p>
      <w:pPr>
        <w:sectPr>
          <w:headerReference w:type="default" r:id="rId2"/>
          <w:footerReference w:type="default" r:id="rId3"/>
          <w:type w:val="nextPage"/>
          <w:pgSz w:w="11906" w:h="16838"/>
          <w:pgMar w:left="1797" w:right="1797" w:header="851" w:top="1440" w:footer="992" w:bottom="1440" w:gutter="0"/>
          <w:pgNumType w:start="1" w:fmt="decimal"/>
          <w:formProt w:val="false"/>
          <w:textDirection w:val="lrTb"/>
          <w:docGrid w:type="linesAndChars" w:linePitch="312" w:charSpace="0"/>
        </w:sectPr>
        <w:pStyle w:val="Heading3"/>
        <w:numPr>
          <w:ilvl w:val="0"/>
          <w:numId w:val="0"/>
        </w:numPr>
        <w:ind w:start="0" w:hanging="0"/>
        <w:rPr/>
      </w:pPr>
      <w:r>
        <w:rPr/>
      </w:r>
    </w:p>
    <w:p>
      <w:pPr>
        <w:pStyle w:val="Normal"/>
        <w:jc w:val="center"/>
        <w:rPr>
          <w:b/>
          <w:b/>
          <w:bCs/>
          <w:sz w:val="44"/>
          <w:szCs w:val="44"/>
        </w:rPr>
      </w:pPr>
      <w:r>
        <w:rPr>
          <w:b/>
          <w:bCs/>
          <w:sz w:val="44"/>
          <w:szCs w:val="44"/>
        </w:rPr>
        <w:t>目</w:t>
      </w:r>
      <w:r>
        <w:rPr>
          <w:rFonts w:eastAsia="Times New Roman"/>
          <w:b/>
          <w:bCs/>
          <w:sz w:val="44"/>
          <w:szCs w:val="44"/>
        </w:rPr>
        <w:t xml:space="preserve">   </w:t>
      </w:r>
      <w:r>
        <w:rPr>
          <w:b/>
          <w:bCs/>
          <w:sz w:val="44"/>
          <w:szCs w:val="44"/>
        </w:rPr>
        <w:t>录</w:t>
      </w:r>
    </w:p>
    <w:p>
      <w:pPr>
        <w:pStyle w:val="Normal"/>
        <w:jc w:val="center"/>
        <w:rPr>
          <w:b/>
          <w:b/>
          <w:bCs/>
          <w:sz w:val="30"/>
          <w:szCs w:val="44"/>
        </w:rPr>
      </w:pPr>
      <w:r>
        <w:rPr>
          <w:b/>
          <w:bCs/>
          <w:sz w:val="30"/>
          <w:szCs w:val="44"/>
        </w:rPr>
      </w:r>
    </w:p>
    <w:sdt>
      <w:sdtPr>
        <w:docPartObj>
          <w:docPartGallery w:val="Table of Contents"/>
          <w:docPartUnique w:val="true"/>
        </w:docPartObj>
      </w:sdtPr>
      <w:sdtContent>
        <w:p>
          <w:pPr>
            <w:pStyle w:val="Contents3"/>
            <w:snapToGrid w:val="false"/>
            <w:spacing w:lineRule="auto" w:line="360"/>
            <w:rPr>
              <w:sz w:val="24"/>
            </w:rPr>
          </w:pPr>
          <w:r>
            <w:fldChar w:fldCharType="begin"/>
          </w:r>
          <w:r>
            <w:rPr>
              <w:sz w:val="24"/>
            </w:rPr>
            <w:instrText> TOC \o "1-3" \h \z </w:instrText>
          </w:r>
          <w:r>
            <w:rPr>
              <w:sz w:val="24"/>
            </w:rPr>
            <w:fldChar w:fldCharType="separate"/>
          </w:r>
          <w:r>
            <w:rPr>
              <w:sz w:val="24"/>
            </w:rPr>
          </w:r>
        </w:p>
        <w:p>
          <w:pPr>
            <w:pStyle w:val="Contents2"/>
            <w:snapToGrid w:val="false"/>
            <w:spacing w:lineRule="auto" w:line="360"/>
            <w:rPr>
              <w:sz w:val="24"/>
            </w:rPr>
          </w:pPr>
          <w:hyperlink w:anchor="__RefHeading___Toc230237840">
            <w:r>
              <w:rPr>
                <w:rStyle w:val="IndexLink"/>
                <w:sz w:val="24"/>
              </w:rPr>
              <w:t>第一章</w:t>
            </w:r>
            <w:r>
              <w:rPr>
                <w:rStyle w:val="IndexLink"/>
                <w:rFonts w:eastAsia="Times New Roman"/>
                <w:sz w:val="24"/>
              </w:rPr>
              <w:t xml:space="preserve">  </w:t>
            </w:r>
            <w:r>
              <w:rPr>
                <w:rStyle w:val="IndexLink"/>
                <w:sz w:val="24"/>
              </w:rPr>
              <w:t>总则</w:t>
            </w:r>
            <w:r>
              <w:rPr>
                <w:rStyle w:val="IndexLink"/>
                <w:sz w:val="24"/>
              </w:rPr>
              <w:tab/>
            </w:r>
          </w:hyperlink>
        </w:p>
        <w:p>
          <w:pPr>
            <w:pStyle w:val="Contents2"/>
            <w:snapToGrid w:val="false"/>
            <w:spacing w:lineRule="auto" w:line="360"/>
            <w:rPr>
              <w:sz w:val="24"/>
            </w:rPr>
          </w:pPr>
          <w:hyperlink w:anchor="__RefHeading___Toc230237841">
            <w:r>
              <w:rPr>
                <w:rStyle w:val="IndexLink"/>
                <w:sz w:val="24"/>
              </w:rPr>
              <w:t>第二章</w:t>
            </w:r>
            <w:r>
              <w:rPr>
                <w:rStyle w:val="IndexLink"/>
                <w:rFonts w:eastAsia="Times New Roman"/>
                <w:sz w:val="24"/>
              </w:rPr>
              <w:t xml:space="preserve">  </w:t>
            </w:r>
            <w:r>
              <w:rPr>
                <w:rStyle w:val="IndexLink"/>
                <w:sz w:val="24"/>
              </w:rPr>
              <w:t>考核方法</w:t>
            </w:r>
            <w:r>
              <w:rPr>
                <w:rStyle w:val="IndexLink"/>
                <w:sz w:val="24"/>
              </w:rPr>
              <w:tab/>
            </w:r>
          </w:hyperlink>
        </w:p>
        <w:p>
          <w:pPr>
            <w:pStyle w:val="Contents2"/>
            <w:snapToGrid w:val="false"/>
            <w:spacing w:lineRule="auto" w:line="360"/>
            <w:rPr>
              <w:sz w:val="24"/>
            </w:rPr>
          </w:pPr>
          <w:hyperlink w:anchor="__RefHeading___Toc230237842">
            <w:r>
              <w:rPr>
                <w:rStyle w:val="IndexLink"/>
                <w:sz w:val="24"/>
              </w:rPr>
              <w:t>第三章</w:t>
            </w:r>
            <w:r>
              <w:rPr>
                <w:rStyle w:val="IndexLink"/>
                <w:rFonts w:eastAsia="Times New Roman"/>
                <w:sz w:val="24"/>
              </w:rPr>
              <w:t xml:space="preserve">  </w:t>
            </w:r>
            <w:r>
              <w:rPr>
                <w:rStyle w:val="IndexLink"/>
                <w:sz w:val="24"/>
              </w:rPr>
              <w:t>月度考核</w:t>
            </w:r>
            <w:r>
              <w:rPr>
                <w:rStyle w:val="IndexLink"/>
                <w:sz w:val="24"/>
              </w:rPr>
              <w:tab/>
            </w:r>
          </w:hyperlink>
        </w:p>
        <w:p>
          <w:pPr>
            <w:pStyle w:val="Contents2"/>
            <w:snapToGrid w:val="false"/>
            <w:spacing w:lineRule="auto" w:line="360"/>
            <w:rPr>
              <w:rFonts w:ascii="宋体" w:hAnsi="宋体" w:cs="宋体"/>
              <w:sz w:val="24"/>
            </w:rPr>
          </w:pPr>
          <w:hyperlink w:anchor="__RefHeading___Toc230237843">
            <w:r>
              <w:rPr>
                <w:rStyle w:val="IndexLink"/>
                <w:sz w:val="24"/>
              </w:rPr>
              <w:t>第四章</w:t>
            </w:r>
            <w:r>
              <w:rPr>
                <w:rStyle w:val="IndexLink"/>
                <w:rFonts w:eastAsia="Times New Roman"/>
                <w:sz w:val="24"/>
              </w:rPr>
              <w:t xml:space="preserve">  </w:t>
            </w:r>
            <w:r>
              <w:rPr>
                <w:rStyle w:val="IndexLink"/>
                <w:sz w:val="24"/>
              </w:rPr>
              <w:t>年度考核</w:t>
            </w:r>
            <w:r>
              <w:rPr>
                <w:rStyle w:val="IndexLink"/>
                <w:sz w:val="24"/>
              </w:rPr>
              <w:tab/>
            </w:r>
          </w:hyperlink>
        </w:p>
        <w:p>
          <w:pPr>
            <w:pStyle w:val="Contents2"/>
            <w:snapToGrid w:val="false"/>
            <w:spacing w:lineRule="auto" w:line="360"/>
            <w:rPr>
              <w:sz w:val="24"/>
            </w:rPr>
          </w:pPr>
          <w:r>
            <w:rPr>
              <w:sz w:val="24"/>
            </w:rPr>
            <w:t>第五章</w:t>
          </w:r>
          <w:r>
            <w:rPr>
              <w:rFonts w:eastAsia="Times New Roman"/>
              <w:sz w:val="24"/>
            </w:rPr>
            <w:t xml:space="preserve">  </w:t>
          </w:r>
          <w:r>
            <w:rPr>
              <w:sz w:val="24"/>
            </w:rPr>
            <w:t>考核组织与申诉处理</w:t>
          </w:r>
          <w:r>
            <w:rPr>
              <w:sz w:val="24"/>
            </w:rPr>
            <w:tab/>
          </w:r>
        </w:p>
        <w:p>
          <w:pPr>
            <w:pStyle w:val="Contents2"/>
            <w:snapToGrid w:val="false"/>
            <w:spacing w:lineRule="auto" w:line="360"/>
            <w:rPr>
              <w:sz w:val="24"/>
            </w:rPr>
          </w:pPr>
          <w:hyperlink w:anchor="__RefHeading___Toc230237845">
            <w:r>
              <w:rPr>
                <w:rStyle w:val="IndexLink"/>
                <w:sz w:val="24"/>
              </w:rPr>
              <w:t>第六章</w:t>
            </w:r>
            <w:r>
              <w:rPr>
                <w:rStyle w:val="IndexLink"/>
                <w:rFonts w:eastAsia="Times New Roman"/>
                <w:sz w:val="24"/>
              </w:rPr>
              <w:t xml:space="preserve">  </w:t>
            </w:r>
            <w:r>
              <w:rPr>
                <w:rStyle w:val="IndexLink"/>
                <w:sz w:val="24"/>
              </w:rPr>
              <w:t>附则</w:t>
            </w:r>
            <w:r>
              <w:rPr>
                <w:rStyle w:val="IndexLink"/>
                <w:sz w:val="24"/>
              </w:rPr>
              <w:tab/>
            </w:r>
          </w:hyperlink>
        </w:p>
        <w:p>
          <w:pPr>
            <w:pStyle w:val="Contents2"/>
            <w:snapToGrid w:val="false"/>
            <w:spacing w:lineRule="auto" w:line="360"/>
            <w:rPr>
              <w:sz w:val="24"/>
            </w:rPr>
          </w:pPr>
          <w:r>
            <w:rPr>
              <w:sz w:val="24"/>
            </w:rPr>
          </w:r>
          <w:r>
            <w:rPr>
              <w:sz w:val="24"/>
            </w:rPr>
            <w:fldChar w:fldCharType="end"/>
          </w:r>
        </w:p>
      </w:sdtContent>
    </w:sdt>
    <w:p>
      <w:pPr>
        <w:sectPr>
          <w:headerReference w:type="default" r:id="rId4"/>
          <w:footerReference w:type="default" r:id="rId5"/>
          <w:type w:val="nextPage"/>
          <w:pgSz w:w="11906" w:h="16838"/>
          <w:pgMar w:left="1797" w:right="1797" w:header="851" w:top="1440" w:footer="992" w:bottom="1440" w:gutter="0"/>
          <w:pgNumType w:start="1" w:fmt="decimal"/>
          <w:formProt w:val="false"/>
          <w:textDirection w:val="lrTb"/>
          <w:docGrid w:type="linesAndChars" w:linePitch="312" w:charSpace="0"/>
        </w:sectPr>
        <w:pStyle w:val="Normal"/>
        <w:snapToGrid w:val="false"/>
        <w:spacing w:lineRule="auto" w:line="360"/>
        <w:jc w:val="center"/>
        <w:rPr>
          <w:b/>
          <w:b/>
          <w:bCs/>
          <w:caps/>
          <w:sz w:val="30"/>
        </w:rPr>
      </w:pPr>
      <w:r>
        <w:rPr>
          <w:b/>
          <w:bCs/>
          <w:caps/>
          <w:sz w:val="30"/>
        </w:rPr>
      </w:r>
    </w:p>
    <w:p>
      <w:pPr>
        <w:pStyle w:val="Heading2"/>
        <w:keepNext w:val="false"/>
        <w:keepLines w:val="false"/>
        <w:numPr>
          <w:ilvl w:val="0"/>
          <w:numId w:val="0"/>
        </w:numPr>
        <w:spacing w:lineRule="auto" w:line="240" w:before="0" w:after="120"/>
        <w:ind w:start="0" w:hanging="0"/>
        <w:jc w:val="center"/>
        <w:rPr/>
      </w:pPr>
      <w:r>
        <w:rPr/>
        <w:t>第一章</w:t>
      </w:r>
      <w:r>
        <w:rPr>
          <w:rFonts w:eastAsia="Cambria"/>
        </w:rPr>
        <w:t xml:space="preserve">  </w:t>
      </w:r>
      <w:r>
        <w:rPr/>
        <w:t>总则</w:t>
      </w:r>
    </w:p>
    <w:p>
      <w:pPr>
        <w:pStyle w:val="Normal"/>
        <w:numPr>
          <w:ilvl w:val="1"/>
          <w:numId w:val="5"/>
        </w:numPr>
        <w:spacing w:lineRule="auto" w:line="360"/>
        <w:rPr>
          <w:sz w:val="24"/>
        </w:rPr>
      </w:pPr>
      <w:r>
        <w:rPr>
          <w:sz w:val="24"/>
        </w:rPr>
        <w:t>为提高</w:t>
      </w:r>
      <w:r>
        <w:rPr>
          <w:sz w:val="24"/>
          <w:lang w:eastAsia="zh-CN"/>
        </w:rPr>
        <w:t>珠联</w:t>
      </w:r>
      <w:r>
        <w:rPr>
          <w:sz w:val="24"/>
        </w:rPr>
        <w:t>公司基础管理水平，建立科学的现代管理制度，充分调动员工的积极性和创造性，使员工紧紧围绕公司的发展目标，高效地完成工作任务，根据公司目前的实际情况，特制定本管理办法。</w:t>
      </w:r>
    </w:p>
    <w:p>
      <w:pPr>
        <w:pStyle w:val="Normal"/>
        <w:numPr>
          <w:ilvl w:val="1"/>
          <w:numId w:val="5"/>
        </w:numPr>
        <w:spacing w:lineRule="auto" w:line="360"/>
        <w:rPr>
          <w:sz w:val="24"/>
        </w:rPr>
      </w:pPr>
      <w:r>
        <w:rPr>
          <w:sz w:val="24"/>
        </w:rPr>
        <w:t>适用范围</w:t>
      </w:r>
    </w:p>
    <w:p>
      <w:pPr>
        <w:pStyle w:val="Normal"/>
        <w:spacing w:lineRule="auto" w:line="360"/>
        <w:ind w:firstLine="480"/>
        <w:rPr>
          <w:sz w:val="24"/>
        </w:rPr>
      </w:pPr>
      <w:r>
        <w:rPr>
          <w:sz w:val="24"/>
        </w:rPr>
        <w:t>本办法适用于</w:t>
      </w:r>
      <w:r>
        <w:rPr>
          <w:sz w:val="24"/>
          <w:lang w:eastAsia="zh-CN"/>
        </w:rPr>
        <w:t>珠联</w:t>
      </w:r>
      <w:r>
        <w:rPr>
          <w:sz w:val="24"/>
        </w:rPr>
        <w:t>公司全体员工。</w:t>
      </w:r>
    </w:p>
    <w:p>
      <w:pPr>
        <w:pStyle w:val="Normal"/>
        <w:numPr>
          <w:ilvl w:val="1"/>
          <w:numId w:val="5"/>
        </w:numPr>
        <w:spacing w:lineRule="auto" w:line="360"/>
        <w:rPr>
          <w:sz w:val="24"/>
        </w:rPr>
      </w:pPr>
      <w:r>
        <w:rPr>
          <w:sz w:val="24"/>
        </w:rPr>
        <w:t>考核目的</w:t>
      </w:r>
    </w:p>
    <w:p>
      <w:pPr>
        <w:pStyle w:val="Normal"/>
        <w:numPr>
          <w:ilvl w:val="2"/>
          <w:numId w:val="5"/>
        </w:numPr>
        <w:spacing w:lineRule="auto" w:line="360"/>
        <w:rPr>
          <w:sz w:val="24"/>
        </w:rPr>
      </w:pPr>
      <w:r>
        <w:rPr>
          <w:sz w:val="24"/>
        </w:rPr>
        <w:t>通过目标逐级分解和考核，促进公司经营目标的实现；</w:t>
      </w:r>
    </w:p>
    <w:p>
      <w:pPr>
        <w:pStyle w:val="Normal"/>
        <w:numPr>
          <w:ilvl w:val="2"/>
          <w:numId w:val="5"/>
        </w:numPr>
        <w:spacing w:lineRule="auto" w:line="360"/>
        <w:rPr>
          <w:sz w:val="24"/>
        </w:rPr>
      </w:pPr>
      <w:r>
        <w:rPr>
          <w:sz w:val="24"/>
        </w:rPr>
        <w:t>通过考核合理计酬，提高员工的主观能动性；</w:t>
      </w:r>
    </w:p>
    <w:p>
      <w:pPr>
        <w:pStyle w:val="Normal"/>
        <w:numPr>
          <w:ilvl w:val="2"/>
          <w:numId w:val="5"/>
        </w:numPr>
        <w:spacing w:lineRule="auto" w:line="360"/>
        <w:rPr>
          <w:sz w:val="24"/>
        </w:rPr>
      </w:pPr>
      <w:r>
        <w:rPr>
          <w:sz w:val="24"/>
        </w:rPr>
        <w:t>通过绩效考核促进上下级沟通和各部门间的相互协作；</w:t>
      </w:r>
    </w:p>
    <w:p>
      <w:pPr>
        <w:pStyle w:val="Normal"/>
        <w:numPr>
          <w:ilvl w:val="2"/>
          <w:numId w:val="5"/>
        </w:numPr>
        <w:spacing w:lineRule="auto" w:line="360"/>
        <w:rPr>
          <w:sz w:val="24"/>
        </w:rPr>
      </w:pPr>
      <w:r>
        <w:rPr>
          <w:sz w:val="24"/>
        </w:rPr>
        <w:t>通过考核规范工作流程，提高公司的整体管理水平；</w:t>
      </w:r>
    </w:p>
    <w:p>
      <w:pPr>
        <w:pStyle w:val="Normal"/>
        <w:numPr>
          <w:ilvl w:val="2"/>
          <w:numId w:val="5"/>
        </w:numPr>
        <w:spacing w:lineRule="auto" w:line="360"/>
        <w:rPr>
          <w:sz w:val="24"/>
        </w:rPr>
      </w:pPr>
      <w:r>
        <w:rPr>
          <w:sz w:val="24"/>
        </w:rPr>
        <w:t>通过评价员工的工作绩效、态度、能力和素质，帮助员工提升自身工作水平和综合素质水平，从而有效提升公司的整体绩效和整体员工素质。</w:t>
      </w:r>
    </w:p>
    <w:p>
      <w:pPr>
        <w:pStyle w:val="Normal"/>
        <w:numPr>
          <w:ilvl w:val="1"/>
          <w:numId w:val="5"/>
        </w:numPr>
        <w:spacing w:lineRule="auto" w:line="360"/>
        <w:rPr>
          <w:sz w:val="24"/>
        </w:rPr>
      </w:pPr>
      <w:r>
        <w:rPr>
          <w:sz w:val="24"/>
        </w:rPr>
        <w:t>考核原则</w:t>
      </w:r>
    </w:p>
    <w:p>
      <w:pPr>
        <w:pStyle w:val="Normal"/>
        <w:numPr>
          <w:ilvl w:val="2"/>
          <w:numId w:val="5"/>
        </w:numPr>
        <w:spacing w:lineRule="auto" w:line="360"/>
        <w:rPr>
          <w:sz w:val="24"/>
        </w:rPr>
      </w:pPr>
      <w:r>
        <w:rPr>
          <w:sz w:val="24"/>
        </w:rPr>
        <w:t>以提高员工绩效为导向；</w:t>
      </w:r>
    </w:p>
    <w:p>
      <w:pPr>
        <w:pStyle w:val="Normal"/>
        <w:numPr>
          <w:ilvl w:val="2"/>
          <w:numId w:val="5"/>
        </w:numPr>
        <w:spacing w:lineRule="auto" w:line="360"/>
        <w:rPr>
          <w:sz w:val="24"/>
        </w:rPr>
      </w:pPr>
      <w:r>
        <w:rPr>
          <w:sz w:val="24"/>
        </w:rPr>
        <w:t>定性考核与定量考核相结合；</w:t>
      </w:r>
    </w:p>
    <w:p>
      <w:pPr>
        <w:pStyle w:val="Normal"/>
        <w:numPr>
          <w:ilvl w:val="2"/>
          <w:numId w:val="5"/>
        </w:numPr>
        <w:spacing w:lineRule="auto" w:line="360"/>
        <w:rPr>
          <w:color w:val="000000"/>
          <w:sz w:val="24"/>
        </w:rPr>
      </w:pPr>
      <w:r>
        <w:rPr>
          <w:color w:val="000000"/>
          <w:sz w:val="24"/>
        </w:rPr>
        <w:t>多角度考核；</w:t>
      </w:r>
    </w:p>
    <w:p>
      <w:pPr>
        <w:pStyle w:val="Normal"/>
        <w:numPr>
          <w:ilvl w:val="2"/>
          <w:numId w:val="5"/>
        </w:numPr>
        <w:spacing w:lineRule="auto" w:line="360"/>
        <w:rPr>
          <w:sz w:val="24"/>
        </w:rPr>
      </w:pPr>
      <w:r>
        <w:rPr>
          <w:sz w:val="24"/>
        </w:rPr>
        <w:t>公平、公正、公开原则。</w:t>
      </w:r>
    </w:p>
    <w:p>
      <w:pPr>
        <w:pStyle w:val="Normal"/>
        <w:numPr>
          <w:ilvl w:val="1"/>
          <w:numId w:val="5"/>
        </w:numPr>
        <w:spacing w:lineRule="auto" w:line="360"/>
        <w:rPr>
          <w:sz w:val="24"/>
        </w:rPr>
      </w:pPr>
      <w:r>
        <w:rPr>
          <w:sz w:val="24"/>
        </w:rPr>
        <w:t>考核用途</w:t>
      </w:r>
    </w:p>
    <w:p>
      <w:pPr>
        <w:pStyle w:val="Normal"/>
        <w:spacing w:lineRule="auto" w:line="360"/>
        <w:ind w:firstLine="480"/>
        <w:rPr>
          <w:szCs w:val="21"/>
        </w:rPr>
      </w:pPr>
      <w:r>
        <w:rPr>
          <w:sz w:val="24"/>
        </w:rPr>
        <w:t>考核结果的用途主要体现在以下几个方面：</w:t>
      </w:r>
    </w:p>
    <w:p>
      <w:pPr>
        <w:pStyle w:val="Normal"/>
        <w:numPr>
          <w:ilvl w:val="0"/>
          <w:numId w:val="8"/>
        </w:numPr>
        <w:spacing w:lineRule="auto" w:line="360"/>
        <w:rPr>
          <w:sz w:val="24"/>
        </w:rPr>
      </w:pPr>
      <w:r>
        <w:rPr>
          <w:sz w:val="24"/>
        </w:rPr>
        <w:t>月度绩效奖金的发放；</w:t>
      </w:r>
    </w:p>
    <w:p>
      <w:pPr>
        <w:pStyle w:val="Normal"/>
        <w:numPr>
          <w:ilvl w:val="0"/>
          <w:numId w:val="8"/>
        </w:numPr>
        <w:spacing w:lineRule="auto" w:line="360"/>
        <w:rPr>
          <w:sz w:val="24"/>
        </w:rPr>
      </w:pPr>
      <w:r>
        <w:rPr>
          <w:sz w:val="24"/>
        </w:rPr>
        <w:t>年度</w:t>
      </w:r>
      <w:r>
        <w:rPr>
          <w:rFonts w:ascii="宋体" w:hAnsi="宋体" w:cs="宋体"/>
          <w:sz w:val="24"/>
        </w:rPr>
        <w:t>绩效</w:t>
      </w:r>
      <w:r>
        <w:rPr>
          <w:rFonts w:ascii="宋体" w:hAnsi="宋体" w:cs="宋体"/>
          <w:sz w:val="24"/>
          <w:lang w:eastAsia="zh-CN"/>
        </w:rPr>
        <w:t>奖</w:t>
      </w:r>
      <w:r>
        <w:rPr>
          <w:rFonts w:ascii="宋体" w:hAnsi="宋体" w:cs="宋体"/>
          <w:sz w:val="24"/>
        </w:rPr>
        <w:t>金的发放；</w:t>
      </w:r>
    </w:p>
    <w:p>
      <w:pPr>
        <w:pStyle w:val="Normal"/>
        <w:numPr>
          <w:ilvl w:val="0"/>
          <w:numId w:val="8"/>
        </w:numPr>
        <w:spacing w:lineRule="auto" w:line="360"/>
        <w:rPr>
          <w:sz w:val="24"/>
        </w:rPr>
      </w:pPr>
      <w:r>
        <w:rPr>
          <w:sz w:val="24"/>
        </w:rPr>
        <w:t>薪酬等级的调整；</w:t>
      </w:r>
    </w:p>
    <w:p>
      <w:pPr>
        <w:pStyle w:val="Normal"/>
        <w:numPr>
          <w:ilvl w:val="0"/>
          <w:numId w:val="8"/>
        </w:numPr>
        <w:spacing w:lineRule="auto" w:line="360"/>
        <w:rPr>
          <w:sz w:val="24"/>
        </w:rPr>
      </w:pPr>
      <w:r>
        <w:rPr>
          <w:sz w:val="24"/>
        </w:rPr>
        <w:t>岗位晋升及调整；</w:t>
      </w:r>
    </w:p>
    <w:p>
      <w:pPr>
        <w:pStyle w:val="Normal"/>
        <w:numPr>
          <w:ilvl w:val="0"/>
          <w:numId w:val="8"/>
        </w:numPr>
        <w:spacing w:lineRule="auto" w:line="360"/>
        <w:rPr>
          <w:sz w:val="24"/>
        </w:rPr>
      </w:pPr>
      <w:r>
        <w:rPr>
          <w:sz w:val="24"/>
        </w:rPr>
        <w:t>员工培训安排；</w:t>
      </w:r>
    </w:p>
    <w:p>
      <w:pPr>
        <w:pStyle w:val="Normal"/>
        <w:numPr>
          <w:ilvl w:val="0"/>
          <w:numId w:val="8"/>
        </w:numPr>
        <w:spacing w:lineRule="auto" w:line="360"/>
        <w:rPr>
          <w:sz w:val="24"/>
        </w:rPr>
      </w:pPr>
      <w:r>
        <w:rPr>
          <w:sz w:val="24"/>
        </w:rPr>
        <w:t>先进评比</w:t>
      </w:r>
    </w:p>
    <w:p>
      <w:pPr>
        <w:pStyle w:val="Normal"/>
        <w:spacing w:lineRule="auto" w:line="360"/>
        <w:ind w:start="840" w:hanging="0"/>
        <w:rPr>
          <w:sz w:val="24"/>
        </w:rPr>
      </w:pPr>
      <w:r>
        <w:rPr>
          <w:sz w:val="24"/>
        </w:rPr>
        <w:t>具体实施方法参照《</w:t>
      </w:r>
      <w:r>
        <w:rPr>
          <w:sz w:val="24"/>
          <w:lang w:eastAsia="zh-CN"/>
        </w:rPr>
        <w:t>珠联</w:t>
      </w:r>
      <w:r>
        <w:rPr>
          <w:sz w:val="24"/>
        </w:rPr>
        <w:t>公司薪</w:t>
      </w:r>
      <w:r>
        <w:rPr>
          <w:sz w:val="24"/>
          <w:lang w:eastAsia="zh-CN"/>
        </w:rPr>
        <w:t>资</w:t>
      </w:r>
      <w:r>
        <w:rPr>
          <w:sz w:val="24"/>
        </w:rPr>
        <w:t>管理制度》</w:t>
      </w:r>
    </w:p>
    <w:p>
      <w:pPr>
        <w:pStyle w:val="Normal"/>
        <w:spacing w:lineRule="auto" w:line="360"/>
        <w:ind w:start="840" w:hanging="0"/>
        <w:rPr>
          <w:sz w:val="24"/>
        </w:rPr>
      </w:pPr>
      <w:r>
        <w:rPr>
          <w:sz w:val="24"/>
        </w:rPr>
      </w:r>
    </w:p>
    <w:p>
      <w:pPr>
        <w:pStyle w:val="Normal"/>
        <w:spacing w:lineRule="auto" w:line="360"/>
        <w:ind w:start="840" w:hanging="0"/>
        <w:rPr>
          <w:sz w:val="24"/>
          <w:szCs w:val="21"/>
        </w:rPr>
      </w:pPr>
      <w:r>
        <w:rPr>
          <w:sz w:val="24"/>
          <w:szCs w:val="21"/>
        </w:rPr>
      </w:r>
    </w:p>
    <w:p>
      <w:pPr>
        <w:pStyle w:val="Heading2"/>
        <w:keepNext w:val="false"/>
        <w:keepLines w:val="false"/>
        <w:numPr>
          <w:ilvl w:val="0"/>
          <w:numId w:val="0"/>
        </w:numPr>
        <w:spacing w:lineRule="auto" w:line="240" w:before="0" w:after="120"/>
        <w:ind w:start="0" w:hanging="0"/>
        <w:jc w:val="center"/>
        <w:rPr/>
      </w:pPr>
      <w:r>
        <w:rPr/>
        <w:t>第二章</w:t>
      </w:r>
      <w:r>
        <w:rPr>
          <w:rFonts w:eastAsia="Cambria"/>
        </w:rPr>
        <w:t xml:space="preserve">  </w:t>
      </w:r>
      <w:r>
        <w:rPr/>
        <w:t>考核方法</w:t>
      </w:r>
    </w:p>
    <w:p>
      <w:pPr>
        <w:pStyle w:val="Normal"/>
        <w:numPr>
          <w:ilvl w:val="1"/>
          <w:numId w:val="5"/>
        </w:numPr>
        <w:spacing w:lineRule="auto" w:line="360"/>
        <w:rPr>
          <w:rFonts w:ascii="宋体" w:hAnsi="宋体" w:cs="宋体"/>
          <w:sz w:val="24"/>
        </w:rPr>
      </w:pPr>
      <w:r>
        <w:rPr>
          <w:rFonts w:ascii="宋体" w:hAnsi="宋体" w:cs="宋体"/>
          <w:sz w:val="24"/>
        </w:rPr>
        <w:t>考核周期</w:t>
      </w:r>
    </w:p>
    <w:p>
      <w:pPr>
        <w:pStyle w:val="Normal"/>
        <w:spacing w:lineRule="auto" w:line="360"/>
        <w:ind w:firstLine="480"/>
        <w:rPr>
          <w:rFonts w:ascii="宋体" w:hAnsi="宋体" w:cs="宋体"/>
          <w:sz w:val="24"/>
        </w:rPr>
      </w:pPr>
      <w:r>
        <w:rPr>
          <w:rFonts w:ascii="宋体" w:hAnsi="宋体" w:cs="宋体"/>
          <w:sz w:val="24"/>
        </w:rPr>
        <w:t>考核分为月度考核和年度考核。月度考核于每月的</w:t>
      </w:r>
      <w:r>
        <w:rPr>
          <w:rFonts w:cs="宋体" w:ascii="宋体" w:hAnsi="宋体"/>
          <w:sz w:val="24"/>
        </w:rPr>
        <w:t>1-</w:t>
      </w:r>
      <w:r>
        <w:rPr>
          <w:rFonts w:cs="宋体" w:ascii="宋体" w:hAnsi="宋体"/>
          <w:sz w:val="24"/>
          <w:lang w:val="en-US" w:eastAsia="zh-CN"/>
        </w:rPr>
        <w:t>10</w:t>
      </w:r>
      <w:r>
        <w:rPr>
          <w:rFonts w:ascii="宋体" w:hAnsi="宋体" w:cs="宋体"/>
          <w:sz w:val="24"/>
        </w:rPr>
        <w:t>日内完成上月的考核，年度考核于次年元月</w:t>
      </w:r>
      <w:r>
        <w:rPr>
          <w:rFonts w:cs="宋体" w:ascii="宋体" w:hAnsi="宋体"/>
          <w:sz w:val="24"/>
        </w:rPr>
        <w:t>25</w:t>
      </w:r>
      <w:r>
        <w:rPr>
          <w:rFonts w:ascii="宋体" w:hAnsi="宋体" w:cs="宋体"/>
          <w:sz w:val="24"/>
        </w:rPr>
        <w:t>日前完成。</w:t>
      </w:r>
    </w:p>
    <w:p>
      <w:pPr>
        <w:pStyle w:val="Normal"/>
        <w:numPr>
          <w:ilvl w:val="1"/>
          <w:numId w:val="5"/>
        </w:numPr>
        <w:spacing w:lineRule="auto" w:line="360"/>
        <w:rPr>
          <w:rFonts w:ascii="宋体" w:hAnsi="宋体" w:cs="宋体"/>
          <w:sz w:val="24"/>
        </w:rPr>
      </w:pPr>
      <w:r>
        <w:rPr>
          <w:rFonts w:ascii="宋体" w:hAnsi="宋体" w:cs="宋体"/>
          <w:sz w:val="24"/>
        </w:rPr>
        <w:t>月度绩效考核</w:t>
      </w:r>
    </w:p>
    <w:p>
      <w:pPr>
        <w:pStyle w:val="Normal"/>
        <w:spacing w:lineRule="auto" w:line="360"/>
        <w:ind w:firstLine="485"/>
        <w:rPr>
          <w:sz w:val="24"/>
        </w:rPr>
      </w:pPr>
      <w:r>
        <w:rPr>
          <w:rFonts w:eastAsia="Times New Roman"/>
          <w:sz w:val="24"/>
          <w:lang w:val="en-US" w:eastAsia="zh-CN"/>
        </w:rPr>
        <w:t xml:space="preserve">  </w:t>
      </w:r>
      <w:r>
        <w:rPr>
          <w:sz w:val="24"/>
          <w:lang w:val="en-US" w:eastAsia="zh-CN"/>
        </w:rPr>
        <w:t>（一）</w:t>
      </w:r>
      <w:r>
        <w:rPr>
          <w:sz w:val="24"/>
        </w:rPr>
        <w:t>绩效是指被考核人员所取得的工作成果，考核员工本职工作任务完成的情况，包括每个岗位的岗位职责指标和公司年度任务分解到部门及岗位的指标。</w:t>
      </w:r>
    </w:p>
    <w:p>
      <w:pPr>
        <w:pStyle w:val="Normal"/>
        <w:spacing w:lineRule="auto" w:line="360"/>
        <w:ind w:firstLine="485"/>
        <w:rPr>
          <w:rFonts w:ascii="宋体" w:hAnsi="宋体" w:cs="宋体"/>
          <w:sz w:val="24"/>
        </w:rPr>
      </w:pPr>
      <w:r>
        <w:rPr>
          <w:rFonts w:cs="宋体" w:ascii="宋体" w:hAnsi="宋体"/>
          <w:sz w:val="24"/>
          <w:lang w:val="en-US" w:eastAsia="zh-CN"/>
        </w:rPr>
        <w:t xml:space="preserve"> </w:t>
      </w:r>
      <w:r>
        <w:rPr>
          <w:rFonts w:ascii="宋体" w:hAnsi="宋体" w:cs="宋体"/>
          <w:sz w:val="24"/>
          <w:lang w:val="en-US" w:eastAsia="zh-CN"/>
        </w:rPr>
        <w:t>（二）</w:t>
      </w:r>
      <w:r>
        <w:rPr>
          <w:rFonts w:ascii="宋体" w:hAnsi="宋体" w:cs="宋体"/>
          <w:sz w:val="24"/>
        </w:rPr>
        <w:t>月度考核的考核工具为绩效考核表格，各岗位均有岗位相对应的绩效考核表格。</w:t>
      </w:r>
    </w:p>
    <w:p>
      <w:pPr>
        <w:pStyle w:val="Normal"/>
        <w:numPr>
          <w:ilvl w:val="1"/>
          <w:numId w:val="5"/>
        </w:numPr>
        <w:spacing w:lineRule="auto" w:line="360"/>
        <w:rPr>
          <w:rFonts w:ascii="宋体" w:hAnsi="宋体" w:cs="宋体"/>
          <w:color w:val="000000"/>
          <w:sz w:val="24"/>
        </w:rPr>
      </w:pPr>
      <w:r>
        <w:rPr>
          <w:rFonts w:ascii="宋体" w:hAnsi="宋体" w:cs="宋体"/>
          <w:sz w:val="24"/>
        </w:rPr>
        <w:t>考核</w:t>
      </w:r>
      <w:r>
        <w:rPr>
          <w:rFonts w:ascii="宋体" w:hAnsi="宋体" w:cs="宋体"/>
          <w:color w:val="000000"/>
          <w:sz w:val="24"/>
        </w:rPr>
        <w:t>维度</w:t>
      </w:r>
      <w:r>
        <w:rPr>
          <w:rFonts w:ascii="宋体" w:hAnsi="宋体" w:cs="宋体"/>
          <w:color w:val="000000"/>
          <w:sz w:val="24"/>
          <w:lang w:eastAsia="zh-CN"/>
        </w:rPr>
        <w:t>（即所占比例）</w:t>
      </w:r>
    </w:p>
    <w:p>
      <w:pPr>
        <w:pStyle w:val="Normal"/>
        <w:spacing w:lineRule="auto" w:line="360"/>
        <w:ind w:firstLine="420"/>
        <w:rPr>
          <w:rFonts w:ascii="宋体" w:hAnsi="宋体" w:cs="宋体"/>
          <w:sz w:val="24"/>
        </w:rPr>
      </w:pPr>
      <w:r>
        <w:rPr>
          <w:rFonts w:ascii="宋体" w:hAnsi="宋体" w:cs="宋体"/>
          <w:sz w:val="24"/>
        </w:rPr>
        <w:t>考核</w:t>
      </w:r>
      <w:r>
        <w:rPr>
          <w:rFonts w:ascii="宋体" w:hAnsi="宋体" w:cs="宋体"/>
          <w:color w:val="000000"/>
          <w:sz w:val="24"/>
        </w:rPr>
        <w:t>维度是</w:t>
      </w:r>
      <w:r>
        <w:rPr>
          <w:rFonts w:ascii="宋体" w:hAnsi="宋体" w:cs="宋体"/>
          <w:sz w:val="24"/>
        </w:rPr>
        <w:t>考核对象考核的不同角度和不同方面，包括业绩</w:t>
      </w:r>
      <w:r>
        <w:rPr>
          <w:rFonts w:ascii="宋体" w:hAnsi="宋体" w:cs="宋体"/>
          <w:color w:val="000000"/>
          <w:sz w:val="24"/>
        </w:rPr>
        <w:t>维度</w:t>
      </w:r>
      <w:r>
        <w:rPr>
          <w:rFonts w:ascii="宋体" w:hAnsi="宋体" w:cs="宋体"/>
          <w:sz w:val="24"/>
        </w:rPr>
        <w:t>、行为</w:t>
      </w:r>
      <w:r>
        <w:rPr>
          <w:rFonts w:ascii="宋体" w:hAnsi="宋体" w:cs="宋体"/>
          <w:color w:val="000000"/>
          <w:sz w:val="24"/>
        </w:rPr>
        <w:t>维度。</w:t>
      </w:r>
    </w:p>
    <w:p>
      <w:pPr>
        <w:pStyle w:val="Normal"/>
        <w:numPr>
          <w:ilvl w:val="0"/>
          <w:numId w:val="21"/>
        </w:numPr>
        <w:spacing w:lineRule="auto" w:line="360"/>
        <w:rPr>
          <w:rFonts w:ascii="宋体" w:hAnsi="宋体" w:cs="宋体"/>
          <w:sz w:val="24"/>
        </w:rPr>
      </w:pPr>
      <w:r>
        <w:rPr>
          <w:rFonts w:ascii="宋体" w:hAnsi="宋体" w:cs="宋体"/>
          <w:sz w:val="24"/>
        </w:rPr>
        <w:t>业绩维度：业绩指被考核人员所取得的工作成果，考核范围包括每个岗位的岗位职责指标、任务目标完成情况、对下属的管理和工作指导的绩效。</w:t>
      </w:r>
    </w:p>
    <w:p>
      <w:pPr>
        <w:pStyle w:val="Normal"/>
        <w:numPr>
          <w:ilvl w:val="0"/>
          <w:numId w:val="21"/>
        </w:numPr>
        <w:spacing w:lineRule="auto" w:line="360"/>
        <w:rPr>
          <w:rFonts w:ascii="宋体" w:hAnsi="宋体" w:cs="宋体"/>
          <w:sz w:val="24"/>
        </w:rPr>
      </w:pPr>
      <w:r>
        <w:rPr>
          <w:rFonts w:ascii="宋体" w:hAnsi="宋体" w:cs="宋体"/>
          <w:sz w:val="24"/>
        </w:rPr>
        <w:t>行为维度：即品行考核，对被考核人员的品行考核，考核范围为对岗位任职者在工作过程中表现出来的行为情况的考核。</w:t>
      </w:r>
    </w:p>
    <w:p>
      <w:pPr>
        <w:pStyle w:val="Normal"/>
        <w:spacing w:lineRule="auto" w:line="360"/>
        <w:ind w:start="420" w:hanging="0"/>
        <w:rPr>
          <w:rFonts w:ascii="宋体" w:hAnsi="宋体" w:cs="宋体"/>
          <w:sz w:val="24"/>
        </w:rPr>
      </w:pPr>
      <w:r>
        <w:rPr>
          <w:rFonts w:cs="宋体" w:ascii="宋体" w:hAnsi="宋体"/>
          <w:sz w:val="24"/>
          <w:lang w:val="en-US" w:eastAsia="zh-CN"/>
        </w:rPr>
        <w:t xml:space="preserve">      </w:t>
      </w:r>
      <w:r>
        <w:rPr>
          <w:rFonts w:ascii="宋体" w:hAnsi="宋体" w:cs="宋体"/>
          <w:sz w:val="24"/>
        </w:rPr>
        <w:t>不同层级的岗位业绩维度与行为维度占比如下表所示：</w:t>
      </w:r>
    </w:p>
    <w:tbl>
      <w:tblPr>
        <w:tblW w:w="6663" w:type="dxa"/>
        <w:jc w:val="start"/>
        <w:tblInd w:w="1242" w:type="dxa"/>
        <w:tblLayout w:type="fixed"/>
        <w:tblCellMar>
          <w:top w:w="0" w:type="dxa"/>
          <w:start w:w="108" w:type="dxa"/>
          <w:bottom w:w="0" w:type="dxa"/>
          <w:end w:w="108" w:type="dxa"/>
        </w:tblCellMar>
      </w:tblPr>
      <w:tblGrid>
        <w:gridCol w:w="2054"/>
        <w:gridCol w:w="2199"/>
        <w:gridCol w:w="2410"/>
      </w:tblGrid>
      <w:tr>
        <w:trPr/>
        <w:tc>
          <w:tcPr>
            <w:tcW w:w="2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岗位层级</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业绩</w:t>
            </w:r>
            <w:r>
              <w:rPr>
                <w:rFonts w:ascii="宋体" w:hAnsi="宋体" w:cs="宋体"/>
                <w:color w:val="000000"/>
                <w:sz w:val="24"/>
              </w:rPr>
              <w:t>维度</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行为</w:t>
            </w:r>
            <w:r>
              <w:rPr>
                <w:rFonts w:ascii="宋体" w:hAnsi="宋体" w:cs="宋体"/>
                <w:color w:val="000000"/>
                <w:sz w:val="24"/>
              </w:rPr>
              <w:t>维度</w:t>
            </w:r>
          </w:p>
        </w:tc>
      </w:tr>
      <w:tr>
        <w:trPr/>
        <w:tc>
          <w:tcPr>
            <w:tcW w:w="2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基层</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85%</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15%</w:t>
            </w:r>
          </w:p>
        </w:tc>
      </w:tr>
      <w:tr>
        <w:trPr/>
        <w:tc>
          <w:tcPr>
            <w:tcW w:w="2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中层</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80%</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20%</w:t>
            </w:r>
          </w:p>
        </w:tc>
      </w:tr>
      <w:tr>
        <w:trPr/>
        <w:tc>
          <w:tcPr>
            <w:tcW w:w="2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ascii="宋体" w:hAnsi="宋体" w:cs="宋体"/>
                <w:sz w:val="24"/>
              </w:rPr>
              <w:t>高层及决策层</w:t>
            </w:r>
          </w:p>
        </w:tc>
        <w:tc>
          <w:tcPr>
            <w:tcW w:w="219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70%</w:t>
            </w:r>
          </w:p>
        </w:tc>
        <w:tc>
          <w:tcPr>
            <w:tcW w:w="241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sz w:val="24"/>
              </w:rPr>
            </w:pPr>
            <w:r>
              <w:rPr>
                <w:rFonts w:cs="宋体" w:ascii="宋体" w:hAnsi="宋体"/>
                <w:sz w:val="24"/>
              </w:rPr>
              <w:t>30%</w:t>
            </w:r>
          </w:p>
        </w:tc>
      </w:tr>
    </w:tbl>
    <w:p>
      <w:pPr>
        <w:pStyle w:val="Normal"/>
        <w:numPr>
          <w:ilvl w:val="1"/>
          <w:numId w:val="5"/>
        </w:numPr>
        <w:spacing w:lineRule="auto" w:line="360"/>
        <w:rPr>
          <w:rFonts w:ascii="宋体" w:hAnsi="宋体" w:cs="宋体"/>
          <w:sz w:val="24"/>
        </w:rPr>
      </w:pPr>
      <w:r>
        <w:rPr>
          <w:rFonts w:ascii="宋体" w:hAnsi="宋体" w:cs="宋体"/>
          <w:sz w:val="24"/>
        </w:rPr>
        <w:t>考核主体</w:t>
      </w:r>
    </w:p>
    <w:p>
      <w:pPr>
        <w:pStyle w:val="Normal"/>
        <w:spacing w:lineRule="auto" w:line="360"/>
        <w:ind w:firstLine="425"/>
        <w:rPr>
          <w:rFonts w:ascii="宋体" w:hAnsi="宋体" w:cs="宋体"/>
          <w:sz w:val="24"/>
        </w:rPr>
      </w:pPr>
      <w:r>
        <w:rPr>
          <w:rFonts w:cs="宋体" w:ascii="宋体" w:hAnsi="宋体"/>
          <w:sz w:val="24"/>
          <w:lang w:val="en-US" w:eastAsia="zh-CN"/>
        </w:rPr>
        <w:t xml:space="preserve">   </w:t>
      </w:r>
      <w:r>
        <w:rPr>
          <w:rFonts w:ascii="宋体" w:hAnsi="宋体" w:cs="宋体"/>
          <w:sz w:val="24"/>
          <w:lang w:val="en-US" w:eastAsia="zh-CN"/>
        </w:rPr>
        <w:t>（一）</w:t>
      </w:r>
      <w:r>
        <w:rPr>
          <w:rFonts w:ascii="宋体" w:hAnsi="宋体" w:cs="宋体"/>
          <w:sz w:val="24"/>
        </w:rPr>
        <w:t>考核主体分为直接上级考核、自评，其中直接上级考核得分占比</w:t>
      </w:r>
      <w:r>
        <w:rPr>
          <w:rFonts w:cs="宋体" w:ascii="宋体" w:hAnsi="宋体"/>
          <w:sz w:val="24"/>
        </w:rPr>
        <w:t>90%</w:t>
      </w:r>
      <w:r>
        <w:rPr>
          <w:rFonts w:ascii="宋体" w:hAnsi="宋体" w:cs="宋体"/>
          <w:sz w:val="24"/>
        </w:rPr>
        <w:t>，自评得分占比</w:t>
      </w:r>
      <w:r>
        <w:rPr>
          <w:rFonts w:cs="宋体" w:ascii="宋体" w:hAnsi="宋体"/>
          <w:sz w:val="24"/>
        </w:rPr>
        <w:t>10%</w:t>
      </w:r>
      <w:r>
        <w:rPr>
          <w:rFonts w:ascii="宋体" w:hAnsi="宋体" w:cs="宋体"/>
          <w:sz w:val="24"/>
        </w:rPr>
        <w:t>。</w:t>
      </w:r>
    </w:p>
    <w:p>
      <w:pPr>
        <w:pStyle w:val="Normal"/>
        <w:spacing w:lineRule="auto" w:line="360"/>
        <w:ind w:firstLine="425"/>
        <w:rPr>
          <w:rFonts w:ascii="宋体" w:hAnsi="宋体" w:cs="宋体"/>
          <w:sz w:val="24"/>
        </w:rPr>
      </w:pPr>
      <w:r>
        <w:rPr>
          <w:rFonts w:cs="宋体" w:ascii="宋体" w:hAnsi="宋体"/>
          <w:sz w:val="24"/>
          <w:lang w:val="en-US" w:eastAsia="zh-CN"/>
        </w:rPr>
        <w:t xml:space="preserve">  </w:t>
      </w:r>
      <w:r>
        <w:rPr>
          <w:rFonts w:ascii="宋体" w:hAnsi="宋体" w:cs="宋体"/>
          <w:sz w:val="24"/>
          <w:lang w:val="en-US" w:eastAsia="zh-CN"/>
        </w:rPr>
        <w:t>（二）</w:t>
      </w:r>
      <w:r>
        <w:rPr>
          <w:rFonts w:ascii="宋体" w:hAnsi="宋体" w:cs="宋体"/>
          <w:sz w:val="24"/>
        </w:rPr>
        <w:t>月度考核程序为先自我评价，再由直接上级评分。</w:t>
      </w:r>
    </w:p>
    <w:p>
      <w:pPr>
        <w:pStyle w:val="Normal"/>
        <w:numPr>
          <w:ilvl w:val="1"/>
          <w:numId w:val="5"/>
        </w:numPr>
        <w:spacing w:lineRule="auto" w:line="360"/>
        <w:rPr>
          <w:rFonts w:ascii="宋体" w:hAnsi="宋体" w:cs="宋体"/>
          <w:sz w:val="24"/>
        </w:rPr>
      </w:pPr>
      <w:r>
        <w:rPr>
          <w:rFonts w:ascii="宋体" w:hAnsi="宋体" w:cs="宋体"/>
          <w:sz w:val="24"/>
        </w:rPr>
        <w:t>绩效考核评分</w:t>
      </w:r>
    </w:p>
    <w:p>
      <w:pPr>
        <w:pStyle w:val="Normal"/>
        <w:spacing w:lineRule="auto" w:line="360"/>
        <w:ind w:firstLine="476"/>
        <w:rPr>
          <w:sz w:val="24"/>
        </w:rPr>
      </w:pPr>
      <w:r>
        <w:rPr>
          <w:sz w:val="24"/>
        </w:rPr>
        <w:t>考核表中的所有量化的考核指标均按照</w:t>
      </w:r>
      <w:r>
        <w:rPr>
          <w:sz w:val="24"/>
        </w:rPr>
        <w:t>100</w:t>
      </w:r>
      <w:r>
        <w:rPr>
          <w:sz w:val="24"/>
        </w:rPr>
        <w:t>分（满分为</w:t>
      </w:r>
      <w:r>
        <w:rPr>
          <w:sz w:val="24"/>
        </w:rPr>
        <w:t>100</w:t>
      </w:r>
      <w:r>
        <w:rPr>
          <w:sz w:val="24"/>
        </w:rPr>
        <w:t>分）评分，对于不能量化的考核指标，按照以下六个评分等级评分，具体定义和对应关系如表</w:t>
      </w:r>
      <w:r>
        <w:rPr>
          <w:sz w:val="24"/>
        </w:rPr>
        <w:t>1</w:t>
      </w:r>
      <w:r>
        <w:rPr>
          <w:sz w:val="24"/>
        </w:rPr>
        <w:t>：</w:t>
      </w:r>
    </w:p>
    <w:p>
      <w:pPr>
        <w:pStyle w:val="Normal"/>
        <w:spacing w:lineRule="auto" w:line="360"/>
        <w:ind w:firstLine="476"/>
        <w:rPr>
          <w:sz w:val="24"/>
        </w:rPr>
      </w:pPr>
      <w:r>
        <w:rPr>
          <w:sz w:val="24"/>
        </w:rPr>
      </w:r>
    </w:p>
    <w:p>
      <w:pPr>
        <w:pStyle w:val="Normal"/>
        <w:spacing w:lineRule="auto" w:line="360"/>
        <w:ind w:firstLine="476"/>
        <w:rPr>
          <w:sz w:val="24"/>
        </w:rPr>
      </w:pPr>
      <w:r>
        <w:rPr>
          <w:sz w:val="24"/>
        </w:rPr>
      </w:r>
    </w:p>
    <w:p>
      <w:pPr>
        <w:pStyle w:val="Normal"/>
        <w:spacing w:lineRule="auto" w:line="360"/>
        <w:ind w:firstLine="476"/>
        <w:rPr>
          <w:sz w:val="24"/>
        </w:rPr>
      </w:pPr>
      <w:r>
        <w:rPr>
          <w:sz w:val="24"/>
        </w:rPr>
      </w:r>
    </w:p>
    <w:p>
      <w:pPr>
        <w:pStyle w:val="Normal"/>
        <w:spacing w:lineRule="auto" w:line="360"/>
        <w:ind w:firstLine="476"/>
        <w:rPr>
          <w:sz w:val="24"/>
        </w:rPr>
      </w:pPr>
      <w:r>
        <w:rPr>
          <w:sz w:val="24"/>
        </w:rPr>
      </w:r>
    </w:p>
    <w:p>
      <w:pPr>
        <w:pStyle w:val="Normal"/>
        <w:spacing w:lineRule="auto" w:line="360"/>
        <w:ind w:firstLine="476"/>
        <w:rPr>
          <w:sz w:val="24"/>
        </w:rPr>
      </w:pPr>
      <w:r>
        <w:rPr>
          <w:sz w:val="24"/>
        </w:rPr>
      </w:r>
    </w:p>
    <w:p>
      <w:pPr>
        <w:pStyle w:val="Normal"/>
        <w:ind w:end="24" w:hanging="0"/>
        <w:jc w:val="center"/>
        <w:rPr>
          <w:b/>
          <w:b/>
          <w:sz w:val="24"/>
        </w:rPr>
      </w:pPr>
      <w:r>
        <w:rPr>
          <w:b/>
          <w:sz w:val="24"/>
        </w:rPr>
        <w:t>表</w:t>
      </w:r>
      <w:r>
        <w:rPr>
          <w:b/>
          <w:sz w:val="24"/>
        </w:rPr>
        <w:t xml:space="preserve">1 </w:t>
      </w:r>
      <w:r>
        <w:rPr>
          <w:b/>
          <w:sz w:val="24"/>
        </w:rPr>
        <w:t xml:space="preserve"> </w:t>
      </w:r>
      <w:r>
        <w:rPr>
          <w:b/>
          <w:sz w:val="24"/>
        </w:rPr>
        <w:t>评分等级定义和分数表</w:t>
      </w:r>
    </w:p>
    <w:tbl>
      <w:tblPr>
        <w:tblW w:w="9060" w:type="dxa"/>
        <w:jc w:val="center"/>
        <w:tblInd w:w="0" w:type="dxa"/>
        <w:tblLayout w:type="fixed"/>
        <w:tblCellMar>
          <w:top w:w="0" w:type="dxa"/>
          <w:start w:w="108" w:type="dxa"/>
          <w:bottom w:w="0" w:type="dxa"/>
          <w:end w:w="108" w:type="dxa"/>
        </w:tblCellMar>
      </w:tblPr>
      <w:tblGrid>
        <w:gridCol w:w="932"/>
        <w:gridCol w:w="1419"/>
        <w:gridCol w:w="1419"/>
        <w:gridCol w:w="1343"/>
        <w:gridCol w:w="1317"/>
        <w:gridCol w:w="1316"/>
        <w:gridCol w:w="1314"/>
      </w:tblGrid>
      <w:tr>
        <w:trPr>
          <w:cantSplit w:val="true"/>
        </w:trPr>
        <w:tc>
          <w:tcPr>
            <w:tcW w:w="932"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b/>
                <w:b/>
                <w:szCs w:val="21"/>
              </w:rPr>
            </w:pPr>
            <w:r>
              <w:rPr>
                <w:b/>
                <w:szCs w:val="21"/>
              </w:rPr>
              <w:t>等级</w:t>
            </w:r>
          </w:p>
        </w:tc>
        <w:tc>
          <w:tcPr>
            <w:tcW w:w="1419"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A</w:t>
            </w:r>
          </w:p>
        </w:tc>
        <w:tc>
          <w:tcPr>
            <w:tcW w:w="1419"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B</w:t>
            </w:r>
          </w:p>
        </w:tc>
        <w:tc>
          <w:tcPr>
            <w:tcW w:w="1343"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C</w:t>
            </w:r>
          </w:p>
        </w:tc>
        <w:tc>
          <w:tcPr>
            <w:tcW w:w="1317"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D</w:t>
            </w:r>
          </w:p>
        </w:tc>
        <w:tc>
          <w:tcPr>
            <w:tcW w:w="1316"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E</w:t>
            </w:r>
          </w:p>
        </w:tc>
        <w:tc>
          <w:tcPr>
            <w:tcW w:w="1314"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F</w:t>
            </w:r>
          </w:p>
        </w:tc>
      </w:tr>
      <w:tr>
        <w:trPr>
          <w:trHeight w:val="420" w:hRule="atLeast"/>
          <w:cantSplit w:val="true"/>
        </w:trPr>
        <w:tc>
          <w:tcPr>
            <w:tcW w:w="9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24" w:hanging="0"/>
              <w:jc w:val="center"/>
              <w:rPr>
                <w:b/>
                <w:b/>
                <w:szCs w:val="21"/>
              </w:rPr>
            </w:pPr>
            <w:r>
              <w:rPr>
                <w:b/>
                <w:szCs w:val="21"/>
              </w:rPr>
              <w:t>定义</w:t>
            </w:r>
          </w:p>
        </w:tc>
        <w:tc>
          <w:tcPr>
            <w:tcW w:w="1419"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rFonts w:eastAsia="Times New Roman"/>
                <w:szCs w:val="21"/>
              </w:rPr>
              <w:t xml:space="preserve"> </w:t>
            </w:r>
            <w:r>
              <w:rPr>
                <w:szCs w:val="21"/>
              </w:rPr>
              <w:t>卓越</w:t>
            </w:r>
          </w:p>
        </w:tc>
        <w:tc>
          <w:tcPr>
            <w:tcW w:w="1419"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优秀</w:t>
            </w:r>
          </w:p>
        </w:tc>
        <w:tc>
          <w:tcPr>
            <w:tcW w:w="1343"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良好</w:t>
            </w:r>
            <w:r>
              <w:rPr>
                <w:rFonts w:eastAsia="Times New Roman"/>
                <w:szCs w:val="21"/>
              </w:rPr>
              <w:t xml:space="preserve"> </w:t>
            </w:r>
          </w:p>
        </w:tc>
        <w:tc>
          <w:tcPr>
            <w:tcW w:w="1317"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一般</w:t>
            </w:r>
          </w:p>
        </w:tc>
        <w:tc>
          <w:tcPr>
            <w:tcW w:w="1316"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合格</w:t>
            </w:r>
          </w:p>
        </w:tc>
        <w:tc>
          <w:tcPr>
            <w:tcW w:w="1314"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szCs w:val="21"/>
              </w:rPr>
              <w:t>差</w:t>
            </w:r>
          </w:p>
        </w:tc>
      </w:tr>
      <w:tr>
        <w:trPr>
          <w:trHeight w:val="1680" w:hRule="atLeast"/>
          <w:cantSplit w:val="true"/>
        </w:trPr>
        <w:tc>
          <w:tcPr>
            <w:tcW w:w="9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24" w:hanging="0"/>
              <w:jc w:val="center"/>
              <w:rPr>
                <w:szCs w:val="21"/>
              </w:rPr>
            </w:pPr>
            <w:r>
              <w:rPr>
                <w:szCs w:val="21"/>
              </w:rPr>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
              <w:ind w:end="23" w:hanging="0"/>
              <w:rPr>
                <w:szCs w:val="21"/>
              </w:rPr>
            </w:pPr>
            <w:r>
              <w:rPr>
                <w:szCs w:val="21"/>
              </w:rPr>
              <w:t>实际表现显著超出预期计划</w:t>
            </w:r>
            <w:r>
              <w:rPr>
                <w:szCs w:val="21"/>
              </w:rPr>
              <w:t>/</w:t>
            </w:r>
            <w:r>
              <w:rPr>
                <w:szCs w:val="21"/>
              </w:rPr>
              <w:t>目标或岗位职责</w:t>
            </w:r>
            <w:r>
              <w:rPr>
                <w:szCs w:val="21"/>
              </w:rPr>
              <w:t>/</w:t>
            </w:r>
            <w:r>
              <w:rPr>
                <w:szCs w:val="21"/>
              </w:rPr>
              <w:t>分工要求，取得特别出色的成绩</w:t>
            </w:r>
          </w:p>
        </w:tc>
        <w:tc>
          <w:tcPr>
            <w:tcW w:w="1419" w:type="dxa"/>
            <w:tcBorders>
              <w:top w:val="single" w:sz="4" w:space="0" w:color="000000"/>
              <w:start w:val="single" w:sz="4" w:space="0" w:color="000000"/>
              <w:bottom w:val="single" w:sz="4" w:space="0" w:color="000000"/>
              <w:end w:val="single" w:sz="4" w:space="0" w:color="000000"/>
            </w:tcBorders>
            <w:vAlign w:val="center"/>
          </w:tcPr>
          <w:p>
            <w:pPr>
              <w:pStyle w:val="Normal"/>
              <w:ind w:end="23" w:hanging="0"/>
              <w:rPr>
                <w:szCs w:val="21"/>
              </w:rPr>
            </w:pPr>
            <w:r>
              <w:rPr>
                <w:szCs w:val="21"/>
              </w:rPr>
              <w:t>实际表现达到预期计划</w:t>
            </w:r>
            <w:r>
              <w:rPr>
                <w:szCs w:val="21"/>
              </w:rPr>
              <w:t>/</w:t>
            </w:r>
            <w:r>
              <w:rPr>
                <w:szCs w:val="21"/>
              </w:rPr>
              <w:t>目标或岗位职责</w:t>
            </w:r>
            <w:r>
              <w:rPr>
                <w:szCs w:val="21"/>
              </w:rPr>
              <w:t>/</w:t>
            </w:r>
            <w:r>
              <w:rPr>
                <w:szCs w:val="21"/>
              </w:rPr>
              <w:t>分工要求，取得出色的成绩</w:t>
            </w:r>
          </w:p>
        </w:tc>
        <w:tc>
          <w:tcPr>
            <w:tcW w:w="1343" w:type="dxa"/>
            <w:tcBorders>
              <w:top w:val="single" w:sz="4" w:space="0" w:color="000000"/>
              <w:start w:val="single" w:sz="4" w:space="0" w:color="000000"/>
              <w:bottom w:val="single" w:sz="4" w:space="0" w:color="000000"/>
              <w:end w:val="single" w:sz="4" w:space="0" w:color="000000"/>
            </w:tcBorders>
            <w:vAlign w:val="center"/>
          </w:tcPr>
          <w:p>
            <w:pPr>
              <w:pStyle w:val="Contents1"/>
              <w:rPr>
                <w:b w:val="false"/>
                <w:b w:val="false"/>
                <w:sz w:val="21"/>
                <w:szCs w:val="21"/>
              </w:rPr>
            </w:pPr>
            <w:r>
              <w:rPr>
                <w:b w:val="false"/>
                <w:sz w:val="21"/>
                <w:szCs w:val="21"/>
              </w:rPr>
              <w:t>实际表现达到预期计划</w:t>
            </w:r>
            <w:r>
              <w:rPr>
                <w:b w:val="false"/>
                <w:sz w:val="21"/>
                <w:szCs w:val="21"/>
              </w:rPr>
              <w:t>/</w:t>
            </w:r>
            <w:r>
              <w:rPr>
                <w:b w:val="false"/>
                <w:sz w:val="21"/>
                <w:szCs w:val="21"/>
              </w:rPr>
              <w:t>目标或岗位职责</w:t>
            </w:r>
            <w:r>
              <w:rPr>
                <w:b w:val="false"/>
                <w:sz w:val="21"/>
                <w:szCs w:val="21"/>
              </w:rPr>
              <w:t>/</w:t>
            </w:r>
            <w:r>
              <w:rPr>
                <w:b w:val="false"/>
                <w:sz w:val="21"/>
                <w:szCs w:val="21"/>
              </w:rPr>
              <w:t>分工要求，取得比较出色的成绩</w:t>
            </w:r>
          </w:p>
        </w:tc>
        <w:tc>
          <w:tcPr>
            <w:tcW w:w="1317" w:type="dxa"/>
            <w:tcBorders>
              <w:top w:val="single" w:sz="4" w:space="0" w:color="000000"/>
              <w:start w:val="single" w:sz="4" w:space="0" w:color="000000"/>
              <w:bottom w:val="single" w:sz="4" w:space="0" w:color="000000"/>
              <w:end w:val="single" w:sz="4" w:space="0" w:color="000000"/>
            </w:tcBorders>
            <w:vAlign w:val="center"/>
          </w:tcPr>
          <w:p>
            <w:pPr>
              <w:pStyle w:val="Contents1"/>
              <w:rPr>
                <w:b w:val="false"/>
                <w:b w:val="false"/>
                <w:sz w:val="21"/>
                <w:szCs w:val="21"/>
              </w:rPr>
            </w:pPr>
            <w:r>
              <w:rPr>
                <w:b w:val="false"/>
                <w:sz w:val="21"/>
                <w:szCs w:val="21"/>
              </w:rPr>
              <w:t>实际表现基本达到预期计划</w:t>
            </w:r>
            <w:r>
              <w:rPr>
                <w:b w:val="false"/>
                <w:sz w:val="21"/>
                <w:szCs w:val="21"/>
              </w:rPr>
              <w:t>/</w:t>
            </w:r>
            <w:r>
              <w:rPr>
                <w:b w:val="false"/>
                <w:sz w:val="21"/>
                <w:szCs w:val="21"/>
              </w:rPr>
              <w:t>目标或岗位职责</w:t>
            </w:r>
            <w:r>
              <w:rPr>
                <w:b w:val="false"/>
                <w:sz w:val="21"/>
                <w:szCs w:val="21"/>
              </w:rPr>
              <w:t>/</w:t>
            </w:r>
            <w:r>
              <w:rPr>
                <w:b w:val="false"/>
                <w:sz w:val="21"/>
                <w:szCs w:val="21"/>
              </w:rPr>
              <w:t>分工要求，有少量不足或失误</w:t>
            </w:r>
          </w:p>
        </w:tc>
        <w:tc>
          <w:tcPr>
            <w:tcW w:w="1316" w:type="dxa"/>
            <w:tcBorders>
              <w:top w:val="single" w:sz="4" w:space="0" w:color="000000"/>
              <w:start w:val="single" w:sz="4" w:space="0" w:color="000000"/>
              <w:bottom w:val="single" w:sz="4" w:space="0" w:color="000000"/>
              <w:end w:val="single" w:sz="4" w:space="0" w:color="000000"/>
            </w:tcBorders>
            <w:vAlign w:val="center"/>
          </w:tcPr>
          <w:p>
            <w:pPr>
              <w:pStyle w:val="Contents1"/>
              <w:rPr>
                <w:b w:val="false"/>
                <w:b w:val="false"/>
                <w:sz w:val="21"/>
                <w:szCs w:val="21"/>
              </w:rPr>
            </w:pPr>
            <w:r>
              <w:rPr>
                <w:b w:val="false"/>
                <w:sz w:val="21"/>
                <w:szCs w:val="21"/>
              </w:rPr>
              <w:t>实际表现勉强达到预期计划</w:t>
            </w:r>
            <w:r>
              <w:rPr>
                <w:b w:val="false"/>
                <w:sz w:val="21"/>
                <w:szCs w:val="21"/>
              </w:rPr>
              <w:t>/</w:t>
            </w:r>
            <w:r>
              <w:rPr>
                <w:b w:val="false"/>
                <w:sz w:val="21"/>
                <w:szCs w:val="21"/>
              </w:rPr>
              <w:t>目标或岗位职责</w:t>
            </w:r>
            <w:r>
              <w:rPr>
                <w:b w:val="false"/>
                <w:sz w:val="21"/>
                <w:szCs w:val="21"/>
              </w:rPr>
              <w:t>/</w:t>
            </w:r>
            <w:r>
              <w:rPr>
                <w:b w:val="false"/>
                <w:sz w:val="21"/>
                <w:szCs w:val="21"/>
              </w:rPr>
              <w:t>分工要求，有一定不足或失误</w:t>
            </w:r>
          </w:p>
        </w:tc>
        <w:tc>
          <w:tcPr>
            <w:tcW w:w="1314" w:type="dxa"/>
            <w:tcBorders>
              <w:top w:val="single" w:sz="4" w:space="0" w:color="000000"/>
              <w:start w:val="single" w:sz="4" w:space="0" w:color="000000"/>
              <w:bottom w:val="single" w:sz="4" w:space="0" w:color="000000"/>
              <w:end w:val="single" w:sz="4" w:space="0" w:color="000000"/>
            </w:tcBorders>
          </w:tcPr>
          <w:p>
            <w:pPr>
              <w:pStyle w:val="Contents1"/>
              <w:rPr>
                <w:b w:val="false"/>
                <w:b w:val="false"/>
                <w:sz w:val="21"/>
                <w:szCs w:val="21"/>
              </w:rPr>
            </w:pPr>
            <w:r>
              <w:rPr>
                <w:b w:val="false"/>
                <w:sz w:val="21"/>
                <w:szCs w:val="21"/>
              </w:rPr>
              <w:t>实际表现未达到预期计划</w:t>
            </w:r>
            <w:r>
              <w:rPr>
                <w:b w:val="false"/>
                <w:sz w:val="21"/>
                <w:szCs w:val="21"/>
              </w:rPr>
              <w:t>/</w:t>
            </w:r>
            <w:r>
              <w:rPr>
                <w:b w:val="false"/>
                <w:sz w:val="21"/>
                <w:szCs w:val="21"/>
              </w:rPr>
              <w:t>目标或岗位职责</w:t>
            </w:r>
            <w:r>
              <w:rPr>
                <w:b w:val="false"/>
                <w:sz w:val="21"/>
                <w:szCs w:val="21"/>
              </w:rPr>
              <w:t>/</w:t>
            </w:r>
            <w:r>
              <w:rPr>
                <w:b w:val="false"/>
                <w:sz w:val="21"/>
                <w:szCs w:val="21"/>
              </w:rPr>
              <w:t>分工要求，有重大失误</w:t>
            </w:r>
          </w:p>
        </w:tc>
      </w:tr>
      <w:tr>
        <w:trPr>
          <w:trHeight w:val="120" w:hRule="atLeast"/>
          <w:cantSplit w:val="true"/>
        </w:trPr>
        <w:tc>
          <w:tcPr>
            <w:tcW w:w="932" w:type="dxa"/>
            <w:tcBorders>
              <w:top w:val="single" w:sz="4" w:space="0" w:color="000000"/>
              <w:start w:val="single" w:sz="4" w:space="0" w:color="000000"/>
              <w:bottom w:val="single" w:sz="4" w:space="0" w:color="000000"/>
              <w:end w:val="single" w:sz="4" w:space="0" w:color="000000"/>
            </w:tcBorders>
          </w:tcPr>
          <w:p>
            <w:pPr>
              <w:pStyle w:val="Normal"/>
              <w:spacing w:lineRule="auto" w:line="360"/>
              <w:ind w:end="24" w:hanging="0"/>
              <w:jc w:val="center"/>
              <w:rPr>
                <w:szCs w:val="21"/>
              </w:rPr>
            </w:pPr>
            <w:r>
              <w:rPr>
                <w:b/>
                <w:szCs w:val="21"/>
              </w:rPr>
              <w:t>得分</w:t>
            </w:r>
          </w:p>
        </w:tc>
        <w:tc>
          <w:tcPr>
            <w:tcW w:w="1419"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100</w:t>
            </w:r>
            <w:r>
              <w:rPr>
                <w:rFonts w:ascii="宋体" w:hAnsi="宋体" w:cs="宋体"/>
                <w:szCs w:val="21"/>
              </w:rPr>
              <w:t>～</w:t>
            </w:r>
            <w:r>
              <w:rPr>
                <w:rFonts w:cs="宋体" w:ascii="宋体" w:hAnsi="宋体"/>
                <w:szCs w:val="21"/>
              </w:rPr>
              <w:t>90</w:t>
            </w:r>
          </w:p>
        </w:tc>
        <w:tc>
          <w:tcPr>
            <w:tcW w:w="1419"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90</w:t>
            </w:r>
            <w:r>
              <w:rPr>
                <w:rFonts w:ascii="宋体" w:hAnsi="宋体" w:cs="宋体"/>
                <w:szCs w:val="21"/>
              </w:rPr>
              <w:t>～</w:t>
            </w:r>
            <w:r>
              <w:rPr>
                <w:rFonts w:cs="宋体" w:ascii="宋体" w:hAnsi="宋体"/>
                <w:szCs w:val="21"/>
              </w:rPr>
              <w:t>85</w:t>
            </w:r>
          </w:p>
        </w:tc>
        <w:tc>
          <w:tcPr>
            <w:tcW w:w="1343"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85</w:t>
            </w:r>
            <w:r>
              <w:rPr>
                <w:rFonts w:ascii="宋体" w:hAnsi="宋体" w:cs="宋体"/>
                <w:szCs w:val="21"/>
              </w:rPr>
              <w:t>～</w:t>
            </w:r>
            <w:r>
              <w:rPr>
                <w:rFonts w:cs="宋体" w:ascii="宋体" w:hAnsi="宋体"/>
                <w:szCs w:val="21"/>
              </w:rPr>
              <w:t>80</w:t>
            </w:r>
          </w:p>
        </w:tc>
        <w:tc>
          <w:tcPr>
            <w:tcW w:w="1317"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80</w:t>
            </w:r>
            <w:r>
              <w:rPr>
                <w:rFonts w:ascii="宋体" w:hAnsi="宋体" w:cs="宋体"/>
                <w:szCs w:val="21"/>
              </w:rPr>
              <w:t>～</w:t>
            </w:r>
            <w:r>
              <w:rPr>
                <w:rFonts w:cs="宋体" w:ascii="宋体" w:hAnsi="宋体"/>
                <w:szCs w:val="21"/>
              </w:rPr>
              <w:t>70</w:t>
            </w:r>
          </w:p>
        </w:tc>
        <w:tc>
          <w:tcPr>
            <w:tcW w:w="1316"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70</w:t>
            </w:r>
            <w:r>
              <w:rPr>
                <w:rFonts w:ascii="宋体" w:hAnsi="宋体" w:cs="宋体"/>
                <w:szCs w:val="21"/>
              </w:rPr>
              <w:t>～</w:t>
            </w:r>
            <w:r>
              <w:rPr>
                <w:rFonts w:cs="宋体" w:ascii="宋体" w:hAnsi="宋体"/>
                <w:szCs w:val="21"/>
              </w:rPr>
              <w:t>60</w:t>
            </w:r>
          </w:p>
        </w:tc>
        <w:tc>
          <w:tcPr>
            <w:tcW w:w="131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Cs w:val="21"/>
              </w:rPr>
            </w:pPr>
            <w:r>
              <w:rPr>
                <w:rFonts w:cs="宋体" w:ascii="宋体" w:hAnsi="宋体"/>
                <w:szCs w:val="21"/>
              </w:rPr>
              <w:t>60</w:t>
            </w:r>
            <w:r>
              <w:rPr>
                <w:rFonts w:ascii="宋体" w:hAnsi="宋体" w:cs="宋体"/>
                <w:szCs w:val="21"/>
              </w:rPr>
              <w:t>分以下</w:t>
            </w:r>
          </w:p>
        </w:tc>
      </w:tr>
    </w:tbl>
    <w:p>
      <w:pPr>
        <w:pStyle w:val="Normal"/>
        <w:spacing w:lineRule="auto" w:line="360"/>
        <w:rPr>
          <w:rFonts w:ascii="宋体" w:hAnsi="宋体" w:cs="宋体"/>
          <w:sz w:val="24"/>
        </w:rPr>
      </w:pPr>
      <w:r>
        <w:rPr>
          <w:rFonts w:cs="宋体" w:ascii="宋体" w:hAnsi="宋体"/>
          <w:sz w:val="24"/>
        </w:rPr>
      </w:r>
    </w:p>
    <w:p>
      <w:pPr>
        <w:pStyle w:val="Normal"/>
        <w:numPr>
          <w:ilvl w:val="1"/>
          <w:numId w:val="5"/>
        </w:numPr>
        <w:spacing w:lineRule="auto" w:line="360"/>
        <w:rPr>
          <w:rFonts w:ascii="宋体" w:hAnsi="宋体" w:cs="宋体"/>
          <w:sz w:val="24"/>
        </w:rPr>
      </w:pPr>
      <w:r>
        <w:rPr>
          <w:rFonts w:ascii="宋体" w:hAnsi="宋体" w:cs="宋体"/>
          <w:sz w:val="24"/>
        </w:rPr>
        <w:t>年度考核</w:t>
      </w:r>
    </w:p>
    <w:p>
      <w:pPr>
        <w:pStyle w:val="Normal"/>
        <w:spacing w:lineRule="auto" w:line="360"/>
        <w:ind w:firstLine="821"/>
        <w:rPr>
          <w:rFonts w:ascii="宋体" w:hAnsi="宋体" w:cs="宋体"/>
          <w:sz w:val="24"/>
        </w:rPr>
      </w:pPr>
      <w:r>
        <w:rPr>
          <w:rFonts w:cs="宋体" w:ascii="宋体" w:hAnsi="宋体"/>
          <w:sz w:val="24"/>
          <w:lang w:val="en-US" w:eastAsia="zh-CN"/>
        </w:rPr>
        <w:t xml:space="preserve"> </w:t>
      </w:r>
      <w:r>
        <w:rPr>
          <w:rFonts w:ascii="宋体" w:hAnsi="宋体" w:cs="宋体"/>
          <w:sz w:val="24"/>
          <w:lang w:val="en-US" w:eastAsia="zh-CN"/>
        </w:rPr>
        <w:t>（一）</w:t>
      </w:r>
      <w:r>
        <w:rPr>
          <w:rFonts w:ascii="宋体" w:hAnsi="宋体" w:cs="宋体"/>
          <w:sz w:val="24"/>
        </w:rPr>
        <w:t>年度考核是一种综合性的考核，为全方位考核员工，更好地选拔和任用，在年度考核时增加能力考核。</w:t>
      </w:r>
    </w:p>
    <w:p>
      <w:pPr>
        <w:pStyle w:val="Normal"/>
        <w:spacing w:lineRule="auto" w:line="360"/>
        <w:ind w:firstLine="821"/>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w:t>
      </w:r>
      <w:r>
        <w:rPr>
          <w:rFonts w:ascii="宋体" w:hAnsi="宋体" w:cs="宋体"/>
          <w:sz w:val="24"/>
          <w:lang w:val="en-US" w:eastAsia="zh-CN"/>
        </w:rPr>
        <w:t>二）</w:t>
      </w:r>
      <w:r>
        <w:rPr>
          <w:rFonts w:ascii="宋体" w:hAnsi="宋体" w:cs="宋体"/>
          <w:sz w:val="24"/>
        </w:rPr>
        <w:t>能力考核指被考核人完成各项专业性活动所具备的基本能力和岗位所需要的能力。主要包括以下几类：</w:t>
      </w:r>
    </w:p>
    <w:p>
      <w:pPr>
        <w:pStyle w:val="Normal"/>
        <w:spacing w:lineRule="auto" w:line="360"/>
        <w:ind w:firstLine="821"/>
        <w:rPr>
          <w:rFonts w:ascii="宋体" w:hAnsi="宋体" w:cs="宋体"/>
          <w:sz w:val="24"/>
        </w:rPr>
      </w:pPr>
      <w:r>
        <w:rPr>
          <w:rFonts w:ascii="宋体" w:hAnsi="宋体" w:cs="宋体"/>
          <w:sz w:val="24"/>
          <w:lang w:val="en-US" w:eastAsia="zh-CN"/>
        </w:rPr>
        <w:t>（三）</w:t>
      </w:r>
      <w:r>
        <w:rPr>
          <w:rFonts w:ascii="宋体" w:hAnsi="宋体" w:cs="宋体"/>
          <w:sz w:val="24"/>
        </w:rPr>
        <w:t>部门负责人以上级别人员考核指标：</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1</w:t>
      </w:r>
      <w:r>
        <w:rPr>
          <w:rFonts w:ascii="宋体" w:hAnsi="宋体" w:cs="宋体"/>
          <w:sz w:val="24"/>
        </w:rPr>
        <w:t>、人际交往能力</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2</w:t>
      </w:r>
      <w:r>
        <w:rPr>
          <w:rFonts w:ascii="宋体" w:hAnsi="宋体" w:cs="宋体"/>
          <w:sz w:val="24"/>
        </w:rPr>
        <w:t>、影响力</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3</w:t>
      </w:r>
      <w:r>
        <w:rPr>
          <w:rFonts w:ascii="宋体" w:hAnsi="宋体" w:cs="宋体"/>
          <w:sz w:val="24"/>
        </w:rPr>
        <w:t>、领导能力</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4</w:t>
      </w:r>
      <w:r>
        <w:rPr>
          <w:rFonts w:ascii="宋体" w:hAnsi="宋体" w:cs="宋体"/>
          <w:sz w:val="24"/>
        </w:rPr>
        <w:t>、沟通能力</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5</w:t>
      </w:r>
      <w:r>
        <w:rPr>
          <w:rFonts w:ascii="宋体" w:hAnsi="宋体" w:cs="宋体"/>
          <w:sz w:val="24"/>
        </w:rPr>
        <w:t>、判断和决策能力</w:t>
      </w:r>
    </w:p>
    <w:p>
      <w:pPr>
        <w:pStyle w:val="Normal"/>
        <w:spacing w:lineRule="auto" w:line="360"/>
        <w:ind w:start="630" w:hanging="0"/>
        <w:rPr>
          <w:rFonts w:ascii="宋体" w:hAnsi="宋体" w:cs="宋体"/>
          <w:sz w:val="24"/>
        </w:rPr>
      </w:pPr>
      <w:r>
        <w:rPr>
          <w:rFonts w:cs="宋体" w:ascii="宋体" w:hAnsi="宋体"/>
          <w:sz w:val="24"/>
          <w:lang w:val="en-US" w:eastAsia="zh-CN"/>
        </w:rPr>
        <w:t xml:space="preserve">    </w:t>
      </w:r>
      <w:r>
        <w:rPr>
          <w:rFonts w:cs="宋体" w:ascii="宋体" w:hAnsi="宋体"/>
          <w:sz w:val="24"/>
        </w:rPr>
        <w:t>6</w:t>
      </w:r>
      <w:r>
        <w:rPr>
          <w:rFonts w:ascii="宋体" w:hAnsi="宋体" w:cs="宋体"/>
          <w:sz w:val="24"/>
        </w:rPr>
        <w:t>、计划和执行能力</w:t>
      </w:r>
    </w:p>
    <w:p>
      <w:pPr>
        <w:pStyle w:val="Normal"/>
        <w:spacing w:lineRule="auto" w:line="360"/>
        <w:ind w:firstLine="684"/>
        <w:rPr>
          <w:rFonts w:ascii="宋体" w:hAnsi="宋体" w:cs="宋体"/>
          <w:sz w:val="24"/>
        </w:rPr>
      </w:pPr>
      <w:r>
        <w:rPr>
          <w:rFonts w:cs="宋体" w:ascii="宋体" w:hAnsi="宋体"/>
          <w:sz w:val="24"/>
          <w:lang w:val="en-US" w:eastAsia="zh-CN"/>
        </w:rPr>
        <w:t xml:space="preserve">   </w:t>
      </w:r>
      <w:r>
        <w:rPr>
          <w:rFonts w:cs="宋体" w:ascii="宋体" w:hAnsi="宋体"/>
          <w:sz w:val="24"/>
        </w:rPr>
        <w:t>7</w:t>
      </w:r>
      <w:r>
        <w:rPr>
          <w:rFonts w:ascii="宋体" w:hAnsi="宋体" w:cs="宋体"/>
          <w:sz w:val="24"/>
        </w:rPr>
        <w:t>、知识学习能力</w:t>
      </w:r>
    </w:p>
    <w:p>
      <w:pPr>
        <w:pStyle w:val="Normal"/>
        <w:spacing w:lineRule="auto" w:line="360"/>
        <w:ind w:firstLine="821"/>
        <w:rPr>
          <w:rFonts w:ascii="宋体" w:hAnsi="宋体" w:cs="宋体"/>
          <w:sz w:val="24"/>
        </w:rPr>
      </w:pPr>
      <w:r>
        <w:rPr>
          <w:rFonts w:cs="宋体" w:ascii="宋体" w:hAnsi="宋体"/>
          <w:sz w:val="24"/>
          <w:lang w:val="en-US" w:eastAsia="zh-CN"/>
        </w:rPr>
        <w:t xml:space="preserve">  </w:t>
      </w:r>
      <w:r>
        <w:rPr>
          <w:rFonts w:ascii="宋体" w:hAnsi="宋体" w:cs="宋体"/>
          <w:sz w:val="24"/>
          <w:lang w:val="en-US" w:eastAsia="zh-CN"/>
        </w:rPr>
        <w:t>（四）</w:t>
      </w:r>
      <w:r>
        <w:rPr>
          <w:rFonts w:ascii="宋体" w:hAnsi="宋体" w:cs="宋体"/>
          <w:sz w:val="24"/>
        </w:rPr>
        <w:t>一般人员能力考核指标：</w:t>
      </w:r>
    </w:p>
    <w:p>
      <w:pPr>
        <w:pStyle w:val="Normal"/>
        <w:widowControl/>
        <w:numPr>
          <w:ilvl w:val="0"/>
          <w:numId w:val="0"/>
        </w:numPr>
        <w:tabs>
          <w:tab w:val="clear" w:pos="420"/>
          <w:tab w:val="left" w:pos="252" w:leader="none"/>
        </w:tabs>
        <w:spacing w:lineRule="auto" w:line="360"/>
        <w:ind w:start="567" w:hanging="0"/>
        <w:rPr>
          <w:sz w:val="24"/>
        </w:rPr>
      </w:pPr>
      <w:r>
        <w:rPr>
          <w:rFonts w:eastAsia="Times New Roman"/>
          <w:sz w:val="24"/>
          <w:lang w:val="en-US" w:eastAsia="zh-CN"/>
        </w:rPr>
        <w:t xml:space="preserve">    </w:t>
      </w:r>
      <w:r>
        <w:rPr>
          <w:sz w:val="24"/>
          <w:lang w:val="en-US" w:eastAsia="zh-CN"/>
        </w:rPr>
        <w:t>1</w:t>
      </w:r>
      <w:r>
        <w:rPr>
          <w:sz w:val="24"/>
          <w:lang w:val="en-US" w:eastAsia="zh-CN"/>
        </w:rPr>
        <w:t>、</w:t>
      </w:r>
      <w:r>
        <w:rPr>
          <w:sz w:val="24"/>
        </w:rPr>
        <w:t>沟通理解能力</w:t>
      </w:r>
    </w:p>
    <w:p>
      <w:pPr>
        <w:pStyle w:val="Normal"/>
        <w:widowControl/>
        <w:numPr>
          <w:ilvl w:val="0"/>
          <w:numId w:val="0"/>
        </w:numPr>
        <w:tabs>
          <w:tab w:val="clear" w:pos="420"/>
          <w:tab w:val="left" w:pos="252" w:leader="none"/>
        </w:tabs>
        <w:spacing w:lineRule="auto" w:line="360"/>
        <w:ind w:start="567" w:hanging="0"/>
        <w:rPr>
          <w:sz w:val="24"/>
        </w:rPr>
      </w:pPr>
      <w:r>
        <w:rPr>
          <w:rFonts w:eastAsia="Times New Roman"/>
          <w:sz w:val="24"/>
          <w:lang w:val="en-US" w:eastAsia="zh-CN"/>
        </w:rPr>
        <w:t xml:space="preserve">    </w:t>
      </w:r>
      <w:r>
        <w:rPr>
          <w:sz w:val="24"/>
          <w:lang w:val="en-US" w:eastAsia="zh-CN"/>
        </w:rPr>
        <w:t>2</w:t>
      </w:r>
      <w:r>
        <w:rPr>
          <w:sz w:val="24"/>
          <w:lang w:val="en-US" w:eastAsia="zh-CN"/>
        </w:rPr>
        <w:t>、</w:t>
      </w:r>
      <w:r>
        <w:rPr>
          <w:sz w:val="24"/>
        </w:rPr>
        <w:t>计划和执行能力</w:t>
      </w:r>
    </w:p>
    <w:p>
      <w:pPr>
        <w:pStyle w:val="Normal"/>
        <w:widowControl/>
        <w:numPr>
          <w:ilvl w:val="0"/>
          <w:numId w:val="0"/>
        </w:numPr>
        <w:tabs>
          <w:tab w:val="clear" w:pos="420"/>
          <w:tab w:val="left" w:pos="252" w:leader="none"/>
        </w:tabs>
        <w:spacing w:lineRule="auto" w:line="360"/>
        <w:ind w:start="567" w:hanging="0"/>
        <w:rPr>
          <w:sz w:val="24"/>
        </w:rPr>
      </w:pPr>
      <w:r>
        <w:rPr>
          <w:rFonts w:eastAsia="Times New Roman"/>
          <w:sz w:val="24"/>
          <w:lang w:val="en-US" w:eastAsia="zh-CN"/>
        </w:rPr>
        <w:t xml:space="preserve">    </w:t>
      </w:r>
      <w:r>
        <w:rPr>
          <w:sz w:val="24"/>
          <w:lang w:val="en-US" w:eastAsia="zh-CN"/>
        </w:rPr>
        <w:t>3</w:t>
      </w:r>
      <w:r>
        <w:rPr>
          <w:sz w:val="24"/>
          <w:lang w:val="en-US" w:eastAsia="zh-CN"/>
        </w:rPr>
        <w:t>、</w:t>
      </w:r>
      <w:r>
        <w:rPr>
          <w:sz w:val="24"/>
        </w:rPr>
        <w:t>专业技能</w:t>
      </w:r>
    </w:p>
    <w:p>
      <w:pPr>
        <w:pStyle w:val="Normal"/>
        <w:numPr>
          <w:ilvl w:val="0"/>
          <w:numId w:val="0"/>
        </w:numPr>
        <w:tabs>
          <w:tab w:val="clear" w:pos="420"/>
          <w:tab w:val="left" w:pos="252" w:leader="none"/>
        </w:tabs>
        <w:spacing w:lineRule="auto" w:line="360"/>
        <w:ind w:start="567" w:hanging="0"/>
        <w:rPr>
          <w:rFonts w:ascii="宋体" w:hAnsi="宋体" w:cs="宋体"/>
          <w:sz w:val="24"/>
        </w:rPr>
      </w:pPr>
      <w:r>
        <w:rPr>
          <w:rFonts w:eastAsia="Times New Roman"/>
          <w:sz w:val="24"/>
          <w:lang w:val="en-US" w:eastAsia="zh-CN"/>
        </w:rPr>
        <w:t xml:space="preserve">   </w:t>
      </w:r>
      <w:r>
        <w:rPr>
          <w:sz w:val="24"/>
          <w:lang w:val="en-US" w:eastAsia="zh-CN"/>
        </w:rPr>
        <w:t>4</w:t>
      </w:r>
      <w:r>
        <w:rPr>
          <w:sz w:val="24"/>
          <w:lang w:val="en-US" w:eastAsia="zh-CN"/>
        </w:rPr>
        <w:t>、</w:t>
      </w:r>
      <w:r>
        <w:rPr>
          <w:sz w:val="24"/>
        </w:rPr>
        <w:t>知识学习能力</w:t>
      </w:r>
    </w:p>
    <w:p>
      <w:pPr>
        <w:pStyle w:val="Normal"/>
        <w:numPr>
          <w:ilvl w:val="1"/>
          <w:numId w:val="5"/>
        </w:numPr>
        <w:spacing w:lineRule="auto" w:line="360"/>
        <w:rPr>
          <w:rFonts w:ascii="宋体" w:hAnsi="宋体" w:cs="宋体"/>
          <w:sz w:val="24"/>
        </w:rPr>
      </w:pPr>
      <w:r>
        <w:rPr>
          <w:rFonts w:ascii="宋体" w:hAnsi="宋体" w:cs="宋体"/>
          <w:sz w:val="24"/>
        </w:rPr>
        <w:t>考核指标的设立</w:t>
      </w:r>
    </w:p>
    <w:p>
      <w:pPr>
        <w:pStyle w:val="Normal"/>
        <w:widowControl/>
        <w:numPr>
          <w:ilvl w:val="0"/>
          <w:numId w:val="0"/>
        </w:numPr>
        <w:spacing w:lineRule="auto" w:line="360"/>
        <w:ind w:start="510" w:hanging="0"/>
        <w:jc w:val="start"/>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w:t>
      </w:r>
      <w:r>
        <w:rPr>
          <w:rFonts w:ascii="宋体" w:hAnsi="宋体" w:cs="宋体"/>
          <w:sz w:val="24"/>
          <w:lang w:eastAsia="zh-CN"/>
        </w:rPr>
        <w:t>一</w:t>
      </w:r>
      <w:r>
        <w:rPr>
          <w:rFonts w:cs="宋体" w:ascii="宋体" w:hAnsi="宋体"/>
          <w:sz w:val="24"/>
          <w:lang w:val="en-US" w:eastAsia="zh-CN"/>
        </w:rPr>
        <w:t>)</w:t>
      </w:r>
      <w:r>
        <w:rPr>
          <w:rFonts w:ascii="宋体" w:hAnsi="宋体" w:cs="宋体"/>
          <w:sz w:val="24"/>
        </w:rPr>
        <w:t>考核指标根据岗位职责、工作计划、部门重点、年度计划等，由上下级之间共同协商，形成考核表，报上一级主管领导审批后实施；</w:t>
      </w:r>
    </w:p>
    <w:p>
      <w:pPr>
        <w:pStyle w:val="Normal"/>
        <w:widowControl/>
        <w:numPr>
          <w:ilvl w:val="0"/>
          <w:numId w:val="0"/>
        </w:numPr>
        <w:spacing w:lineRule="auto" w:line="360"/>
        <w:ind w:start="510" w:hanging="0"/>
        <w:jc w:val="start"/>
        <w:rPr>
          <w:rFonts w:ascii="宋体" w:hAnsi="宋体" w:cs="宋体"/>
          <w:sz w:val="24"/>
        </w:rPr>
      </w:pPr>
      <w:r>
        <w:rPr>
          <w:rFonts w:cs="宋体" w:ascii="宋体" w:hAnsi="宋体"/>
          <w:sz w:val="24"/>
          <w:lang w:val="en-US" w:eastAsia="zh-CN"/>
        </w:rPr>
        <w:t xml:space="preserve">  </w:t>
      </w:r>
      <w:r>
        <w:rPr>
          <w:rFonts w:ascii="宋体" w:hAnsi="宋体" w:cs="宋体"/>
          <w:sz w:val="24"/>
          <w:lang w:eastAsia="zh-CN"/>
        </w:rPr>
        <w:t>（二）</w:t>
      </w:r>
      <w:r>
        <w:rPr>
          <w:rFonts w:ascii="宋体" w:hAnsi="宋体" w:cs="宋体"/>
          <w:sz w:val="24"/>
        </w:rPr>
        <w:t>工作计划和考核指标的更改需经被考核者及其直接上级商定，并报上一级主管领导批准方可生效。如有争议，考核管理委员会有最终裁决权。</w:t>
      </w:r>
    </w:p>
    <w:p>
      <w:pPr>
        <w:pStyle w:val="Normal"/>
        <w:widowControl/>
        <w:numPr>
          <w:ilvl w:val="0"/>
          <w:numId w:val="0"/>
        </w:numPr>
        <w:spacing w:lineRule="auto" w:line="360"/>
        <w:ind w:start="510" w:hanging="0"/>
        <w:jc w:val="start"/>
        <w:rPr>
          <w:rFonts w:ascii="宋体" w:hAnsi="宋体" w:cs="宋体"/>
          <w:sz w:val="24"/>
        </w:rPr>
      </w:pPr>
      <w:r>
        <w:rPr>
          <w:rFonts w:cs="宋体" w:ascii="宋体" w:hAnsi="宋体"/>
          <w:sz w:val="24"/>
          <w:lang w:val="en-US" w:eastAsia="zh-CN"/>
        </w:rPr>
        <w:t xml:space="preserve">  </w:t>
      </w:r>
      <w:r>
        <w:rPr>
          <w:rFonts w:ascii="宋体" w:hAnsi="宋体" w:cs="宋体"/>
          <w:sz w:val="24"/>
          <w:lang w:eastAsia="zh-CN"/>
        </w:rPr>
        <w:t>（三）</w:t>
      </w:r>
      <w:r>
        <w:rPr>
          <w:rFonts w:ascii="宋体" w:hAnsi="宋体" w:cs="宋体"/>
          <w:sz w:val="24"/>
        </w:rPr>
        <w:t>依不同层级、类型岗位而定，基层</w:t>
      </w:r>
      <w:r>
        <w:rPr>
          <w:rFonts w:cs="宋体" w:ascii="宋体" w:hAnsi="宋体"/>
          <w:sz w:val="24"/>
        </w:rPr>
        <w:t>3-7</w:t>
      </w:r>
      <w:r>
        <w:rPr>
          <w:rFonts w:ascii="宋体" w:hAnsi="宋体" w:cs="宋体"/>
          <w:sz w:val="24"/>
        </w:rPr>
        <w:t>个，中层干部</w:t>
      </w:r>
      <w:r>
        <w:rPr>
          <w:rFonts w:cs="宋体" w:ascii="宋体" w:hAnsi="宋体"/>
          <w:sz w:val="24"/>
        </w:rPr>
        <w:t>7-11</w:t>
      </w:r>
      <w:r>
        <w:rPr>
          <w:rFonts w:ascii="宋体" w:hAnsi="宋体" w:cs="宋体"/>
          <w:sz w:val="24"/>
        </w:rPr>
        <w:t>个，高层干部</w:t>
      </w:r>
      <w:r>
        <w:rPr>
          <w:rFonts w:cs="宋体" w:ascii="宋体" w:hAnsi="宋体"/>
          <w:sz w:val="24"/>
        </w:rPr>
        <w:t>11-14</w:t>
      </w:r>
      <w:r>
        <w:rPr>
          <w:rFonts w:ascii="宋体" w:hAnsi="宋体" w:cs="宋体"/>
          <w:sz w:val="24"/>
        </w:rPr>
        <w:t>个，结合岗位自身职责与公司各层次目标制定，选择考核周期内的工作重点或岗位职责中的关键性工作做为考核指标；</w:t>
      </w:r>
      <w:r>
        <w:rPr>
          <w:rFonts w:ascii="宋体" w:hAnsi="宋体" w:cs="宋体"/>
          <w:color w:val="FF0000"/>
          <w:sz w:val="32"/>
          <w:szCs w:val="32"/>
        </w:rPr>
        <w:t xml:space="preserve"> </w:t>
      </w:r>
    </w:p>
    <w:p>
      <w:pPr>
        <w:pStyle w:val="Normal"/>
        <w:widowControl/>
        <w:numPr>
          <w:ilvl w:val="0"/>
          <w:numId w:val="0"/>
        </w:numPr>
        <w:spacing w:lineRule="auto" w:line="360"/>
        <w:ind w:start="510" w:hanging="0"/>
        <w:jc w:val="start"/>
        <w:rPr>
          <w:rFonts w:ascii="宋体" w:hAnsi="宋体" w:cs="宋体"/>
          <w:sz w:val="24"/>
        </w:rPr>
      </w:pPr>
      <w:r>
        <w:rPr>
          <w:rFonts w:cs="宋体" w:ascii="宋体" w:hAnsi="宋体"/>
          <w:sz w:val="24"/>
          <w:lang w:val="en-US" w:eastAsia="zh-CN"/>
        </w:rPr>
        <w:t xml:space="preserve"> </w:t>
      </w:r>
      <w:r>
        <w:rPr>
          <w:rFonts w:ascii="宋体" w:hAnsi="宋体" w:cs="宋体"/>
          <w:sz w:val="24"/>
          <w:lang w:eastAsia="zh-CN"/>
        </w:rPr>
        <w:t>（四）</w:t>
      </w:r>
      <w:r>
        <w:rPr>
          <w:rFonts w:ascii="宋体" w:hAnsi="宋体" w:cs="宋体"/>
          <w:sz w:val="24"/>
        </w:rPr>
        <w:t>工作绩效指标由上、下级共同协商制定，报上一级主管领导审批后实施；</w:t>
      </w:r>
    </w:p>
    <w:p>
      <w:pPr>
        <w:pStyle w:val="Normal"/>
        <w:widowControl/>
        <w:numPr>
          <w:ilvl w:val="0"/>
          <w:numId w:val="0"/>
        </w:numPr>
        <w:spacing w:lineRule="auto" w:line="360"/>
        <w:ind w:start="510" w:hanging="0"/>
        <w:jc w:val="start"/>
        <w:rPr>
          <w:rFonts w:ascii="宋体" w:hAnsi="宋体" w:cs="宋体"/>
          <w:sz w:val="24"/>
        </w:rPr>
      </w:pPr>
      <w:r>
        <w:rPr>
          <w:rFonts w:cs="宋体" w:ascii="宋体" w:hAnsi="宋体"/>
          <w:sz w:val="24"/>
          <w:lang w:val="en-US" w:eastAsia="zh-CN"/>
        </w:rPr>
        <w:t xml:space="preserve"> </w:t>
      </w:r>
      <w:r>
        <w:rPr>
          <w:rFonts w:ascii="宋体" w:hAnsi="宋体" w:cs="宋体"/>
          <w:sz w:val="24"/>
          <w:lang w:eastAsia="zh-CN"/>
        </w:rPr>
        <w:t>（五）</w:t>
      </w:r>
      <w:r>
        <w:rPr>
          <w:rFonts w:ascii="宋体" w:hAnsi="宋体" w:cs="宋体"/>
          <w:sz w:val="24"/>
        </w:rPr>
        <w:t>工作绩效考核指标的更改需经被考核者及其直接上级商定，并报上一级主管领导批准方可生效。如有争议，考核管理委员会有最终裁决权。</w:t>
      </w:r>
    </w:p>
    <w:p>
      <w:pPr>
        <w:pStyle w:val="Normal"/>
        <w:numPr>
          <w:ilvl w:val="1"/>
          <w:numId w:val="5"/>
        </w:numPr>
        <w:spacing w:lineRule="auto" w:line="360"/>
        <w:rPr>
          <w:rFonts w:ascii="宋体" w:hAnsi="宋体" w:cs="宋体"/>
          <w:sz w:val="24"/>
        </w:rPr>
      </w:pPr>
      <w:r>
        <w:rPr>
          <w:rFonts w:ascii="宋体" w:hAnsi="宋体" w:cs="宋体"/>
          <w:sz w:val="24"/>
        </w:rPr>
        <w:t>考核指标设立的要求</w:t>
      </w:r>
    </w:p>
    <w:p>
      <w:pPr>
        <w:pStyle w:val="Normal"/>
        <w:numPr>
          <w:ilvl w:val="0"/>
          <w:numId w:val="16"/>
        </w:numPr>
        <w:spacing w:lineRule="auto" w:line="360"/>
        <w:rPr>
          <w:rFonts w:ascii="宋体" w:hAnsi="宋体" w:cs="宋体"/>
          <w:sz w:val="24"/>
        </w:rPr>
      </w:pPr>
      <w:r>
        <w:rPr>
          <w:rFonts w:ascii="宋体" w:hAnsi="宋体" w:cs="宋体"/>
          <w:sz w:val="24"/>
        </w:rPr>
        <w:t>重要性：项目不宜过多，选择考核周期内的工作重点或岗位职责中的关键性工作作为考核指标；</w:t>
      </w:r>
    </w:p>
    <w:p>
      <w:pPr>
        <w:pStyle w:val="Normal"/>
        <w:numPr>
          <w:ilvl w:val="0"/>
          <w:numId w:val="16"/>
        </w:numPr>
        <w:spacing w:lineRule="auto" w:line="360"/>
        <w:rPr>
          <w:rFonts w:ascii="宋体" w:hAnsi="宋体" w:cs="宋体"/>
          <w:sz w:val="24"/>
        </w:rPr>
      </w:pPr>
      <w:r>
        <w:rPr>
          <w:rFonts w:ascii="宋体" w:hAnsi="宋体" w:cs="宋体"/>
          <w:sz w:val="24"/>
        </w:rPr>
        <w:t>挑战性：考核标准的制定</w:t>
      </w:r>
      <w:r>
        <w:rPr>
          <w:rFonts w:ascii="宋体" w:hAnsi="宋体" w:cs="宋体"/>
          <w:sz w:val="24"/>
          <w:lang w:eastAsia="zh-CN"/>
        </w:rPr>
        <w:t>要</w:t>
      </w:r>
      <w:r>
        <w:rPr>
          <w:rFonts w:ascii="宋体" w:hAnsi="宋体" w:cs="宋体"/>
          <w:sz w:val="24"/>
        </w:rPr>
        <w:t>接近实际，以使目标可以达到，并具有一定的挑战性；</w:t>
      </w:r>
    </w:p>
    <w:p>
      <w:pPr>
        <w:pStyle w:val="Normal"/>
        <w:numPr>
          <w:ilvl w:val="0"/>
          <w:numId w:val="16"/>
        </w:numPr>
        <w:spacing w:lineRule="auto" w:line="360"/>
        <w:rPr>
          <w:rFonts w:ascii="宋体" w:hAnsi="宋体" w:cs="宋体"/>
          <w:sz w:val="24"/>
        </w:rPr>
      </w:pPr>
      <w:r>
        <w:rPr>
          <w:rFonts w:ascii="宋体" w:hAnsi="宋体" w:cs="宋体"/>
          <w:sz w:val="24"/>
        </w:rPr>
        <w:t>一致性：各层次目标应保持一致，下一级目标要以分解、保证上一级目标为基础；</w:t>
      </w:r>
    </w:p>
    <w:p>
      <w:pPr>
        <w:pStyle w:val="Normal"/>
        <w:numPr>
          <w:ilvl w:val="0"/>
          <w:numId w:val="16"/>
        </w:numPr>
        <w:spacing w:lineRule="auto" w:line="360"/>
        <w:rPr>
          <w:rFonts w:ascii="宋体" w:hAnsi="宋体" w:cs="宋体"/>
          <w:sz w:val="24"/>
        </w:rPr>
      </w:pPr>
      <w:r>
        <w:rPr>
          <w:rFonts w:cs="宋体" w:ascii="宋体" w:hAnsi="宋体"/>
          <w:sz w:val="24"/>
        </w:rPr>
        <w:t xml:space="preserve"> </w:t>
      </w:r>
      <w:r>
        <w:rPr>
          <w:rFonts w:ascii="宋体" w:hAnsi="宋体" w:cs="宋体"/>
          <w:sz w:val="24"/>
        </w:rPr>
        <w:t>民主性：考核指标的制定应由上下级人员共同商定，而不单单由上级指定。</w:t>
      </w:r>
    </w:p>
    <w:p>
      <w:pPr>
        <w:pStyle w:val="Normal"/>
        <w:numPr>
          <w:ilvl w:val="1"/>
          <w:numId w:val="5"/>
        </w:numPr>
        <w:spacing w:lineRule="auto" w:line="360"/>
        <w:rPr>
          <w:rFonts w:ascii="宋体" w:hAnsi="宋体" w:cs="宋体"/>
          <w:sz w:val="24"/>
        </w:rPr>
      </w:pPr>
      <w:r>
        <w:rPr>
          <w:rFonts w:ascii="宋体" w:hAnsi="宋体" w:cs="宋体"/>
          <w:sz w:val="24"/>
        </w:rPr>
        <w:t>考核指标的权重</w:t>
      </w:r>
    </w:p>
    <w:p>
      <w:pPr>
        <w:pStyle w:val="Normal"/>
        <w:spacing w:lineRule="auto" w:line="360"/>
        <w:ind w:start="510" w:firstLine="482"/>
        <w:rPr>
          <w:rFonts w:ascii="宋体" w:hAnsi="宋体" w:cs="宋体"/>
          <w:sz w:val="24"/>
        </w:rPr>
      </w:pPr>
      <w:r>
        <w:rPr>
          <w:rFonts w:ascii="宋体" w:hAnsi="宋体" w:cs="宋体"/>
          <w:sz w:val="24"/>
          <w:lang w:eastAsia="zh-CN"/>
        </w:rPr>
        <w:t>（一）</w:t>
      </w:r>
      <w:r>
        <w:rPr>
          <w:rFonts w:ascii="宋体" w:hAnsi="宋体" w:cs="宋体"/>
          <w:sz w:val="24"/>
        </w:rPr>
        <w:t>权重表示单个考核指标在指标体系中的相对重要程度，以及该指标由不同的考核人评价时的相对重要程度。</w:t>
      </w:r>
    </w:p>
    <w:p>
      <w:pPr>
        <w:pStyle w:val="Normal"/>
        <w:spacing w:lineRule="auto" w:line="360"/>
        <w:ind w:start="510" w:firstLine="482"/>
        <w:rPr>
          <w:rFonts w:ascii="宋体" w:hAnsi="宋体" w:cs="宋体"/>
          <w:sz w:val="24"/>
        </w:rPr>
      </w:pPr>
      <w:r>
        <w:rPr>
          <w:rFonts w:ascii="宋体" w:hAnsi="宋体" w:cs="宋体"/>
          <w:sz w:val="24"/>
          <w:lang w:val="en-US" w:eastAsia="zh-CN"/>
        </w:rPr>
        <w:t>（二）</w:t>
      </w:r>
      <w:r>
        <w:rPr>
          <w:rFonts w:ascii="宋体" w:hAnsi="宋体" w:cs="宋体"/>
          <w:sz w:val="24"/>
        </w:rPr>
        <w:t>具体权重见月度考核、年度考核的相关内容。</w:t>
      </w:r>
    </w:p>
    <w:p>
      <w:pPr>
        <w:pStyle w:val="Normal"/>
        <w:numPr>
          <w:ilvl w:val="1"/>
          <w:numId w:val="5"/>
        </w:numPr>
        <w:spacing w:lineRule="auto" w:line="360"/>
        <w:rPr>
          <w:rFonts w:ascii="宋体" w:hAnsi="宋体" w:cs="宋体"/>
          <w:sz w:val="24"/>
        </w:rPr>
      </w:pPr>
      <w:r>
        <w:rPr>
          <w:rFonts w:ascii="宋体" w:hAnsi="宋体" w:cs="宋体"/>
          <w:sz w:val="24"/>
        </w:rPr>
        <w:t>考核记录</w:t>
      </w:r>
    </w:p>
    <w:p>
      <w:pPr>
        <w:pStyle w:val="Normal"/>
        <w:spacing w:lineRule="auto" w:line="360"/>
        <w:ind w:start="510" w:firstLine="482"/>
        <w:rPr>
          <w:rFonts w:ascii="宋体" w:hAnsi="宋体" w:cs="宋体"/>
          <w:sz w:val="24"/>
        </w:rPr>
      </w:pPr>
      <w:r>
        <w:rPr>
          <w:rFonts w:ascii="宋体" w:hAnsi="宋体" w:cs="宋体"/>
          <w:sz w:val="24"/>
        </w:rPr>
        <w:t>考核周期的期初，被考核人的考核维度、指标和权重由被考核者上级向其说明并相互认可。同时，由被考核人上级建立日常考核记录，将考核内容进行记录，作为考核打分的依据，同时作为考核结果反馈和考核申诉处理的依据。</w:t>
      </w:r>
    </w:p>
    <w:p>
      <w:pPr>
        <w:pStyle w:val="Normal"/>
        <w:spacing w:lineRule="auto" w:line="360"/>
        <w:ind w:start="510" w:firstLine="482"/>
        <w:rPr>
          <w:rFonts w:ascii="宋体" w:hAnsi="宋体" w:cs="宋体"/>
          <w:sz w:val="24"/>
        </w:rPr>
      </w:pPr>
      <w:r>
        <w:rPr>
          <w:rFonts w:cs="宋体" w:ascii="宋体" w:hAnsi="宋体"/>
          <w:sz w:val="24"/>
        </w:rPr>
      </w:r>
    </w:p>
    <w:p>
      <w:pPr>
        <w:pStyle w:val="Normal"/>
        <w:numPr>
          <w:ilvl w:val="1"/>
          <w:numId w:val="5"/>
        </w:numPr>
        <w:spacing w:lineRule="auto" w:line="360"/>
        <w:rPr>
          <w:rFonts w:ascii="宋体" w:hAnsi="宋体" w:cs="宋体"/>
          <w:sz w:val="24"/>
        </w:rPr>
      </w:pPr>
      <w:r>
        <w:rPr>
          <w:rFonts w:ascii="宋体" w:hAnsi="宋体" w:cs="宋体"/>
          <w:sz w:val="24"/>
        </w:rPr>
        <w:t>考核程序</w:t>
      </w:r>
    </w:p>
    <w:p>
      <w:pPr>
        <w:pStyle w:val="Normal"/>
        <w:numPr>
          <w:ilvl w:val="0"/>
          <w:numId w:val="0"/>
        </w:numPr>
        <w:tabs>
          <w:tab w:val="clear" w:pos="420"/>
          <w:tab w:val="left" w:pos="851" w:leader="none"/>
          <w:tab w:val="left" w:pos="993" w:leader="none"/>
        </w:tabs>
        <w:spacing w:lineRule="auto" w:line="360"/>
        <w:ind w:start="510" w:hanging="0"/>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1</w:t>
      </w:r>
      <w:r>
        <w:rPr>
          <w:rFonts w:ascii="宋体" w:hAnsi="宋体" w:cs="宋体"/>
          <w:sz w:val="24"/>
          <w:lang w:val="en-US" w:eastAsia="zh-CN"/>
        </w:rPr>
        <w:t>、</w:t>
      </w:r>
      <w:r>
        <w:rPr>
          <w:rFonts w:ascii="宋体" w:hAnsi="宋体" w:cs="宋体"/>
          <w:sz w:val="24"/>
        </w:rPr>
        <w:t xml:space="preserve">各级考核主体进行逐级考核，并进行评分； </w:t>
      </w:r>
    </w:p>
    <w:p>
      <w:pPr>
        <w:pStyle w:val="Normal"/>
        <w:numPr>
          <w:ilvl w:val="0"/>
          <w:numId w:val="0"/>
        </w:numPr>
        <w:tabs>
          <w:tab w:val="clear" w:pos="420"/>
          <w:tab w:val="left" w:pos="851" w:leader="none"/>
          <w:tab w:val="left" w:pos="993" w:leader="none"/>
        </w:tabs>
        <w:spacing w:lineRule="auto" w:line="360"/>
        <w:ind w:start="510" w:hanging="0"/>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2</w:t>
      </w:r>
      <w:r>
        <w:rPr>
          <w:rFonts w:ascii="宋体" w:hAnsi="宋体" w:cs="宋体"/>
          <w:sz w:val="24"/>
          <w:lang w:val="en-US" w:eastAsia="zh-CN"/>
        </w:rPr>
        <w:t>、</w:t>
      </w:r>
      <w:r>
        <w:rPr>
          <w:rFonts w:ascii="宋体" w:hAnsi="宋体" w:cs="宋体"/>
          <w:sz w:val="24"/>
        </w:rPr>
        <w:t xml:space="preserve">直接上级对直接下级进行考核面谈，下级人员对上级进行述职； </w:t>
      </w:r>
    </w:p>
    <w:p>
      <w:pPr>
        <w:pStyle w:val="Normal"/>
        <w:numPr>
          <w:ilvl w:val="0"/>
          <w:numId w:val="0"/>
        </w:numPr>
        <w:tabs>
          <w:tab w:val="clear" w:pos="420"/>
          <w:tab w:val="left" w:pos="851" w:leader="none"/>
          <w:tab w:val="left" w:pos="993" w:leader="none"/>
        </w:tabs>
        <w:spacing w:lineRule="auto" w:line="360"/>
        <w:ind w:start="510" w:hanging="0"/>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3</w:t>
      </w:r>
      <w:r>
        <w:rPr>
          <w:rFonts w:ascii="宋体" w:hAnsi="宋体" w:cs="宋体"/>
          <w:sz w:val="24"/>
          <w:lang w:val="en-US" w:eastAsia="zh-CN"/>
        </w:rPr>
        <w:t>、</w:t>
      </w:r>
      <w:r>
        <w:rPr>
          <w:rFonts w:ascii="宋体" w:hAnsi="宋体" w:cs="宋体"/>
          <w:sz w:val="24"/>
        </w:rPr>
        <w:t xml:space="preserve">各部门向人力资源部递交考核结果，计算结果并汇总公布； </w:t>
      </w:r>
    </w:p>
    <w:p>
      <w:pPr>
        <w:pStyle w:val="Normal"/>
        <w:numPr>
          <w:ilvl w:val="0"/>
          <w:numId w:val="0"/>
        </w:numPr>
        <w:tabs>
          <w:tab w:val="clear" w:pos="420"/>
          <w:tab w:val="left" w:pos="851" w:leader="none"/>
          <w:tab w:val="left" w:pos="993" w:leader="none"/>
        </w:tabs>
        <w:spacing w:lineRule="auto" w:line="360"/>
        <w:ind w:start="510" w:hanging="0"/>
        <w:rPr>
          <w:rFonts w:ascii="宋体" w:hAnsi="宋体" w:cs="宋体"/>
          <w:sz w:val="24"/>
        </w:rPr>
      </w:pPr>
      <w:r>
        <w:rPr>
          <w:rFonts w:cs="宋体" w:ascii="宋体" w:hAnsi="宋体"/>
          <w:sz w:val="24"/>
          <w:lang w:val="en-US" w:eastAsia="zh-CN"/>
        </w:rPr>
        <w:t xml:space="preserve">    </w:t>
      </w:r>
      <w:r>
        <w:rPr>
          <w:rFonts w:cs="宋体" w:ascii="宋体" w:hAnsi="宋体"/>
          <w:sz w:val="24"/>
          <w:lang w:val="en-US" w:eastAsia="zh-CN"/>
        </w:rPr>
        <w:t>4</w:t>
      </w:r>
      <w:r>
        <w:rPr>
          <w:rFonts w:ascii="宋体" w:hAnsi="宋体" w:cs="宋体"/>
          <w:sz w:val="24"/>
          <w:lang w:val="en-US" w:eastAsia="zh-CN"/>
        </w:rPr>
        <w:t>、</w:t>
      </w:r>
      <w:r>
        <w:rPr>
          <w:rFonts w:ascii="宋体" w:hAnsi="宋体" w:cs="宋体"/>
          <w:sz w:val="24"/>
        </w:rPr>
        <w:t>各部门进行绩效改进计划。</w:t>
      </w:r>
    </w:p>
    <w:p>
      <w:pPr>
        <w:pStyle w:val="Normal"/>
        <w:numPr>
          <w:ilvl w:val="0"/>
          <w:numId w:val="0"/>
        </w:numPr>
        <w:spacing w:lineRule="auto" w:line="360"/>
        <w:ind w:start="0" w:hanging="0"/>
        <w:rPr>
          <w:rFonts w:ascii="宋体" w:hAnsi="宋体" w:cs="宋体"/>
          <w:color w:val="000000"/>
          <w:sz w:val="24"/>
        </w:rPr>
      </w:pPr>
      <w:r>
        <w:rPr>
          <w:rFonts w:cs="宋体" w:ascii="宋体" w:hAnsi="宋体"/>
          <w:b/>
          <w:bCs/>
          <w:sz w:val="24"/>
          <w:lang w:val="en-US" w:eastAsia="zh-CN"/>
        </w:rPr>
        <w:t xml:space="preserve">   </w:t>
      </w:r>
      <w:r>
        <w:rPr>
          <w:rFonts w:ascii="宋体" w:hAnsi="宋体" w:cs="宋体"/>
          <w:b/>
          <w:bCs/>
          <w:sz w:val="24"/>
          <w:lang w:val="en-US" w:eastAsia="zh-CN"/>
        </w:rPr>
        <w:t>第十七条</w:t>
      </w:r>
      <w:r>
        <w:rPr>
          <w:rFonts w:ascii="宋体" w:hAnsi="宋体" w:cs="宋体"/>
          <w:sz w:val="24"/>
          <w:lang w:val="en-US" w:eastAsia="zh-CN"/>
        </w:rPr>
        <w:t xml:space="preserve"> </w:t>
      </w:r>
      <w:r>
        <w:rPr>
          <w:rFonts w:ascii="宋体" w:hAnsi="宋体" w:cs="宋体"/>
          <w:sz w:val="24"/>
        </w:rPr>
        <w:t>人力资源部门</w:t>
      </w:r>
      <w:r>
        <w:rPr>
          <w:sz w:val="24"/>
        </w:rPr>
        <w:t>将考核结果整理归档，根据个人得分系数与部门得分系数计算员工的月度绩效工资、年底奖金。具体绩效奖金发放标准</w:t>
      </w:r>
      <w:r>
        <w:rPr>
          <w:sz w:val="24"/>
          <w:lang w:eastAsia="zh-CN"/>
        </w:rPr>
        <w:t>造册</w:t>
      </w:r>
      <w:r>
        <w:rPr>
          <w:color w:val="000000"/>
          <w:sz w:val="24"/>
        </w:rPr>
        <w:t>《绩效奖金发放</w:t>
      </w:r>
      <w:r>
        <w:rPr>
          <w:color w:val="000000"/>
          <w:sz w:val="24"/>
          <w:lang w:eastAsia="zh-CN"/>
        </w:rPr>
        <w:t>标准</w:t>
      </w:r>
      <w:r>
        <w:rPr>
          <w:color w:val="000000"/>
          <w:sz w:val="24"/>
        </w:rPr>
        <w:t>》。</w:t>
      </w:r>
    </w:p>
    <w:p>
      <w:pPr>
        <w:pStyle w:val="Normal"/>
        <w:spacing w:lineRule="auto" w:line="360"/>
        <w:rPr>
          <w:rFonts w:ascii="宋体" w:hAnsi="宋体" w:cs="宋体"/>
          <w:bCs/>
          <w:color w:val="000000"/>
          <w:sz w:val="24"/>
          <w:szCs w:val="21"/>
        </w:rPr>
      </w:pPr>
      <w:r>
        <w:rPr>
          <w:rFonts w:cs="宋体" w:ascii="宋体" w:hAnsi="宋体"/>
          <w:bCs/>
          <w:color w:val="000000"/>
          <w:sz w:val="24"/>
          <w:szCs w:val="21"/>
        </w:rPr>
      </w:r>
    </w:p>
    <w:p>
      <w:pPr>
        <w:pStyle w:val="Heading2"/>
        <w:keepNext w:val="false"/>
        <w:keepLines w:val="false"/>
        <w:numPr>
          <w:ilvl w:val="0"/>
          <w:numId w:val="0"/>
        </w:numPr>
        <w:spacing w:lineRule="auto" w:line="240" w:before="156" w:after="240"/>
        <w:ind w:start="0" w:hanging="0"/>
        <w:jc w:val="center"/>
        <w:rPr>
          <w:b w:val="false"/>
          <w:b w:val="false"/>
          <w:bCs w:val="false"/>
          <w:sz w:val="24"/>
          <w:szCs w:val="24"/>
        </w:rPr>
      </w:pPr>
      <w:bookmarkStart w:id="0" w:name="__RefHeading___Toc230237842"/>
      <w:bookmarkEnd w:id="0"/>
      <w:r>
        <w:rPr>
          <w:b w:val="false"/>
          <w:bCs w:val="false"/>
          <w:sz w:val="24"/>
          <w:szCs w:val="24"/>
        </w:rPr>
        <w:t>第三章</w:t>
      </w:r>
      <w:r>
        <w:rPr>
          <w:rFonts w:eastAsia="Cambria"/>
          <w:b w:val="false"/>
          <w:bCs w:val="false"/>
          <w:sz w:val="24"/>
          <w:szCs w:val="24"/>
        </w:rPr>
        <w:t xml:space="preserve">  </w:t>
      </w:r>
      <w:r>
        <w:rPr>
          <w:b w:val="false"/>
          <w:bCs w:val="false"/>
          <w:sz w:val="24"/>
          <w:szCs w:val="24"/>
        </w:rPr>
        <w:t>月度考核</w:t>
      </w:r>
    </w:p>
    <w:p>
      <w:pPr>
        <w:pStyle w:val="Normal"/>
        <w:numPr>
          <w:ilvl w:val="0"/>
          <w:numId w:val="0"/>
        </w:numPr>
        <w:spacing w:lineRule="auto" w:line="360"/>
        <w:ind w:start="510" w:hanging="0"/>
        <w:rPr>
          <w:sz w:val="24"/>
        </w:rPr>
      </w:pPr>
      <w:r>
        <w:rPr>
          <w:b/>
          <w:bCs/>
          <w:sz w:val="24"/>
          <w:lang w:eastAsia="zh-CN"/>
        </w:rPr>
        <w:t>第十八条</w:t>
      </w:r>
      <w:r>
        <w:rPr>
          <w:rFonts w:eastAsia="Times New Roman"/>
          <w:b w:val="false"/>
          <w:bCs w:val="false"/>
          <w:sz w:val="24"/>
          <w:lang w:val="en-US" w:eastAsia="zh-CN"/>
        </w:rPr>
        <w:t xml:space="preserve"> </w:t>
      </w:r>
      <w:r>
        <w:rPr>
          <w:rFonts w:eastAsia="Times New Roman"/>
          <w:sz w:val="24"/>
          <w:lang w:val="en-US" w:eastAsia="zh-CN"/>
        </w:rPr>
        <w:t xml:space="preserve"> </w:t>
      </w:r>
      <w:r>
        <w:rPr>
          <w:sz w:val="24"/>
        </w:rPr>
        <w:t>公司（包括总经理</w:t>
      </w:r>
      <w:r>
        <w:rPr>
          <w:sz w:val="24"/>
          <w:lang w:eastAsia="zh-CN"/>
        </w:rPr>
        <w:t>在内</w:t>
      </w:r>
      <w:r>
        <w:rPr>
          <w:sz w:val="24"/>
        </w:rPr>
        <w:t>）的全体员工均需进行月度考核。</w:t>
      </w:r>
    </w:p>
    <w:p>
      <w:pPr>
        <w:pStyle w:val="Normal"/>
        <w:numPr>
          <w:ilvl w:val="0"/>
          <w:numId w:val="0"/>
        </w:numPr>
        <w:spacing w:lineRule="auto" w:line="360"/>
        <w:ind w:start="510" w:hanging="0"/>
        <w:rPr>
          <w:sz w:val="24"/>
        </w:rPr>
      </w:pPr>
      <w:r>
        <w:rPr>
          <w:b/>
          <w:bCs/>
          <w:sz w:val="24"/>
          <w:lang w:eastAsia="zh-CN"/>
        </w:rPr>
        <w:t>第十九条</w:t>
      </w:r>
      <w:r>
        <w:rPr>
          <w:rFonts w:eastAsia="Times New Roman"/>
          <w:sz w:val="24"/>
          <w:lang w:val="en-US" w:eastAsia="zh-CN"/>
        </w:rPr>
        <w:t xml:space="preserve">  </w:t>
      </w:r>
      <w:r>
        <w:rPr>
          <w:sz w:val="24"/>
        </w:rPr>
        <w:t>月度考核由考核主体同时逐级进行考核。</w:t>
      </w:r>
    </w:p>
    <w:p>
      <w:pPr>
        <w:pStyle w:val="Normal"/>
        <w:numPr>
          <w:ilvl w:val="0"/>
          <w:numId w:val="0"/>
        </w:numPr>
        <w:spacing w:lineRule="auto" w:line="360"/>
        <w:ind w:start="510" w:hanging="0"/>
        <w:rPr>
          <w:sz w:val="24"/>
        </w:rPr>
      </w:pPr>
      <w:r>
        <w:rPr>
          <w:b/>
          <w:bCs/>
          <w:sz w:val="24"/>
          <w:lang w:eastAsia="zh-CN"/>
        </w:rPr>
        <w:t>第二十条</w:t>
      </w:r>
      <w:r>
        <w:rPr>
          <w:rFonts w:eastAsia="Times New Roman"/>
          <w:sz w:val="24"/>
          <w:lang w:val="en-US" w:eastAsia="zh-CN"/>
        </w:rPr>
        <w:t xml:space="preserve"> </w:t>
      </w:r>
      <w:r>
        <w:rPr>
          <w:sz w:val="24"/>
        </w:rPr>
        <w:t>月度考核的结果作为发放该月绩效工资的依据，同时，作为年度考核的基础数据。</w:t>
      </w:r>
    </w:p>
    <w:p>
      <w:pPr>
        <w:pStyle w:val="Normal"/>
        <w:numPr>
          <w:ilvl w:val="0"/>
          <w:numId w:val="0"/>
        </w:numPr>
        <w:spacing w:lineRule="auto" w:line="360"/>
        <w:ind w:start="510" w:hanging="0"/>
        <w:rPr>
          <w:sz w:val="24"/>
        </w:rPr>
      </w:pPr>
      <w:r>
        <w:rPr>
          <w:b/>
          <w:bCs/>
          <w:sz w:val="24"/>
          <w:lang w:eastAsia="zh-CN"/>
        </w:rPr>
        <w:t>第二十一条</w:t>
      </w:r>
      <w:r>
        <w:rPr>
          <w:rFonts w:eastAsia="Times New Roman"/>
          <w:b/>
          <w:bCs/>
          <w:sz w:val="24"/>
          <w:lang w:val="en-US" w:eastAsia="zh-CN"/>
        </w:rPr>
        <w:t xml:space="preserve"> </w:t>
      </w:r>
      <w:r>
        <w:rPr>
          <w:sz w:val="24"/>
        </w:rPr>
        <w:t>月度考核由人力资源部门组织实施，每月</w:t>
      </w:r>
      <w:r>
        <w:rPr>
          <w:sz w:val="24"/>
        </w:rPr>
        <w:t>1-</w:t>
      </w:r>
      <w:r>
        <w:rPr>
          <w:sz w:val="24"/>
          <w:lang w:val="en-US" w:eastAsia="zh-CN"/>
        </w:rPr>
        <w:t>10</w:t>
      </w:r>
      <w:r>
        <w:rPr>
          <w:sz w:val="24"/>
        </w:rPr>
        <w:t>日对上月进行考核评分。考核过程中依据</w:t>
      </w:r>
      <w:r>
        <w:rPr>
          <w:rFonts w:ascii="宋体" w:hAnsi="宋体" w:cs="宋体"/>
          <w:sz w:val="24"/>
        </w:rPr>
        <w:t>考核表逐级管理，逐级考核，人力资源管理部门监督，并对考核结果进行记录。</w:t>
      </w:r>
    </w:p>
    <w:p>
      <w:pPr>
        <w:pStyle w:val="Normal"/>
        <w:numPr>
          <w:ilvl w:val="0"/>
          <w:numId w:val="0"/>
        </w:numPr>
        <w:spacing w:lineRule="auto" w:line="360"/>
        <w:ind w:start="510" w:hanging="0"/>
        <w:rPr>
          <w:sz w:val="24"/>
        </w:rPr>
      </w:pPr>
      <w:r>
        <w:rPr>
          <w:b/>
          <w:bCs/>
          <w:sz w:val="24"/>
          <w:lang w:eastAsia="zh-CN"/>
        </w:rPr>
        <w:t>第二十二条</w:t>
      </w:r>
      <w:r>
        <w:rPr>
          <w:rFonts w:eastAsia="Times New Roman"/>
          <w:b/>
          <w:bCs/>
          <w:sz w:val="24"/>
          <w:lang w:val="en-US" w:eastAsia="zh-CN"/>
        </w:rPr>
        <w:t xml:space="preserve"> </w:t>
      </w:r>
      <w:r>
        <w:rPr>
          <w:sz w:val="24"/>
        </w:rPr>
        <w:t>每月</w:t>
      </w:r>
      <w:r>
        <w:rPr>
          <w:sz w:val="24"/>
        </w:rPr>
        <w:t>2</w:t>
      </w:r>
      <w:r>
        <w:rPr>
          <w:sz w:val="24"/>
          <w:lang w:val="en-US" w:eastAsia="zh-CN"/>
        </w:rPr>
        <w:t>8--30</w:t>
      </w:r>
      <w:r>
        <w:rPr>
          <w:sz w:val="24"/>
        </w:rPr>
        <w:t>日各部门负责人确定相关被考核人的考核表格，正式公布，并报人力资源部备案。</w:t>
      </w:r>
    </w:p>
    <w:p>
      <w:pPr>
        <w:pStyle w:val="Normal"/>
        <w:numPr>
          <w:ilvl w:val="0"/>
          <w:numId w:val="0"/>
        </w:numPr>
        <w:spacing w:lineRule="auto" w:line="360"/>
        <w:ind w:start="510" w:hanging="0"/>
        <w:rPr>
          <w:sz w:val="24"/>
        </w:rPr>
      </w:pPr>
      <w:r>
        <w:rPr>
          <w:b/>
          <w:bCs/>
          <w:sz w:val="24"/>
          <w:lang w:eastAsia="zh-CN"/>
        </w:rPr>
        <w:t>第二十三条</w:t>
      </w:r>
      <w:r>
        <w:rPr>
          <w:rFonts w:eastAsia="Times New Roman"/>
          <w:b/>
          <w:bCs/>
          <w:sz w:val="24"/>
          <w:lang w:val="en-US" w:eastAsia="zh-CN"/>
        </w:rPr>
        <w:t xml:space="preserve"> </w:t>
      </w:r>
      <w:r>
        <w:rPr>
          <w:sz w:val="24"/>
        </w:rPr>
        <w:t>月度考核详细流程见下图所示。</w:t>
      </w:r>
    </w:p>
    <w:p>
      <w:pPr>
        <w:pStyle w:val="Normal"/>
        <w:spacing w:lineRule="auto" w:line="360"/>
        <w:ind w:firstLine="617"/>
        <w:rPr>
          <w:sz w:val="24"/>
        </w:rPr>
      </w:pPr>
      <w:r>
        <w:rPr>
          <w:sz w:val="24"/>
        </w:rPr>
      </w:r>
    </w:p>
    <w:p>
      <w:pPr>
        <w:pStyle w:val="Normal"/>
        <w:spacing w:lineRule="auto" w:line="360"/>
        <w:ind w:firstLine="420"/>
        <w:rPr>
          <w:sz w:val="24"/>
          <w:szCs w:val="21"/>
        </w:rPr>
      </w:pPr>
      <w:r>
        <w:rPr>
          <w:sz w:val="24"/>
          <w:szCs w:val="21"/>
        </w:rPr>
      </w:r>
      <w:r>
        <w:br w:type="page"/>
      </w:r>
    </w:p>
    <w:p>
      <w:pPr>
        <w:pStyle w:val="Normal"/>
        <w:spacing w:lineRule="auto" w:line="360"/>
        <w:rPr>
          <w:rFonts w:ascii="宋体" w:hAnsi="宋体" w:cs="宋体"/>
          <w:b/>
          <w:b/>
          <w:szCs w:val="21"/>
        </w:rPr>
      </w:pPr>
      <w:r>
        <w:rPr>
          <w:rFonts w:ascii="宋体" w:hAnsi="宋体" w:cs="宋体"/>
          <w:b/>
          <w:szCs w:val="21"/>
        </w:rPr>
        <w:t>图</w:t>
      </w:r>
      <w:r>
        <w:rPr>
          <w:rFonts w:cs="宋体" w:ascii="宋体" w:hAnsi="宋体"/>
          <w:b/>
          <w:szCs w:val="21"/>
        </w:rPr>
        <w:t>3-1</w:t>
      </w:r>
      <w:r>
        <w:rPr>
          <w:rFonts w:ascii="宋体" w:hAnsi="宋体" w:cs="宋体"/>
          <w:b/>
          <w:szCs w:val="21"/>
        </w:rPr>
        <w:t>： 月度考核流程图</w:t>
      </w:r>
    </w:p>
    <w:p>
      <w:pPr>
        <w:pStyle w:val="Normal"/>
        <w:spacing w:lineRule="auto" w:line="360"/>
        <w:rPr>
          <w:rFonts w:ascii="宋体" w:hAnsi="宋体" w:cs="宋体"/>
          <w:b/>
          <w:b/>
          <w:szCs w:val="21"/>
        </w:rPr>
      </w:pPr>
      <w:r>
        <w:rPr>
          <w:rFonts w:cs="宋体" w:ascii="宋体" w:hAnsi="宋体"/>
          <w:b/>
          <w:szCs w:val="21"/>
        </w:rPr>
      </w:r>
    </w:p>
    <w:p>
      <w:pPr>
        <w:pStyle w:val="Normal"/>
        <w:spacing w:lineRule="auto" w:line="360"/>
        <w:rPr>
          <w:rFonts w:ascii="宋体" w:hAnsi="宋体" w:cs="宋体"/>
          <w:b/>
          <w:b/>
          <w:sz w:val="20"/>
          <w:lang w:val="en-US" w:eastAsia="en-US"/>
        </w:rPr>
      </w:pPr>
      <w:r>
        <w:rPr>
          <w:rFonts w:cs="宋体" w:ascii="宋体" w:hAnsi="宋体"/>
          <w:b/>
          <w:sz w:val="20"/>
          <w:lang w:val="en-US" w:eastAsia="en-US"/>
        </w:rPr>
      </w:r>
      <w:r>
        <mc:AlternateContent>
          <mc:Choice Requires="wps">
            <w:drawing>
              <wp:anchor behindDoc="0" distT="0" distB="0" distL="114935" distR="114935" simplePos="0" locked="0" layoutInCell="0" allowOverlap="1" relativeHeight="32">
                <wp:simplePos x="0" y="0"/>
                <wp:positionH relativeFrom="column">
                  <wp:posOffset>788670</wp:posOffset>
                </wp:positionH>
                <wp:positionV relativeFrom="paragraph">
                  <wp:posOffset>264795</wp:posOffset>
                </wp:positionV>
                <wp:extent cx="4133850" cy="302260"/>
                <wp:effectExtent l="0" t="0" r="0" b="0"/>
                <wp:wrapNone/>
                <wp:docPr id="3" name="Frame3"/>
                <a:graphic xmlns:a="http://schemas.openxmlformats.org/drawingml/2006/main">
                  <a:graphicData uri="http://schemas.microsoft.com/office/word/2010/wordprocessingShape">
                    <wps:wsp>
                      <wps:cNvSpPr txBox="1"/>
                      <wps:spPr>
                        <a:xfrm>
                          <a:off x="0" y="0"/>
                          <a:ext cx="4133850" cy="302260"/>
                        </a:xfrm>
                        <a:prstGeom prst="rect"/>
                        <a:solidFill>
                          <a:srgbClr val="FFFFFF"/>
                        </a:solidFill>
                        <a:ln w="9525">
                          <a:solidFill>
                            <a:srgbClr val="000000"/>
                          </a:solidFill>
                        </a:ln>
                      </wps:spPr>
                      <wps:txbx>
                        <w:txbxContent>
                          <w:p>
                            <w:pPr>
                              <w:pStyle w:val="Normal"/>
                              <w:jc w:val="center"/>
                              <w:rPr/>
                            </w:pPr>
                            <w:r>
                              <w:rPr/>
                              <w:t>期末启动下月月度考核</w:t>
                            </w:r>
                          </w:p>
                          <w:p>
                            <w:pPr>
                              <w:pStyle w:val="Normal"/>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325.5pt;height:23.8pt;mso-wrap-distance-left:9.05pt;mso-wrap-distance-right:9.05pt;mso-wrap-distance-top:0pt;mso-wrap-distance-bottom:0pt;margin-top:20.85pt;mso-position-vertical-relative:text;margin-left:62.1pt;mso-position-horizontal-relative:text">
                <v:textbox>
                  <w:txbxContent>
                    <w:p>
                      <w:pPr>
                        <w:pStyle w:val="Normal"/>
                        <w:jc w:val="center"/>
                        <w:rPr/>
                      </w:pPr>
                      <w:r>
                        <w:rPr/>
                        <w:t>期末启动下月月度考核</w:t>
                      </w:r>
                    </w:p>
                    <w:p>
                      <w:pPr>
                        <w:pStyle w:val="Normal"/>
                        <w:jc w:val="center"/>
                        <w:rPr/>
                      </w:pPr>
                      <w:r>
                        <w:rPr/>
                      </w:r>
                    </w:p>
                  </w:txbxContent>
                </v:textbox>
                <w10:wrap type="none"/>
              </v:rect>
            </w:pict>
          </mc:Fallback>
        </mc:AlternateContent>
      </w:r>
    </w:p>
    <w:p>
      <w:pPr>
        <w:pStyle w:val="Normal"/>
        <w:spacing w:lineRule="auto" w:line="360"/>
        <w:rPr>
          <w:rFonts w:ascii="宋体" w:hAnsi="宋体" w:cs="宋体"/>
          <w:b/>
          <w:b/>
        </w:rPr>
      </w:pPr>
      <w:r>
        <w:rPr>
          <w:rFonts w:cs="宋体" w:ascii="宋体" w:hAnsi="宋体"/>
          <w:b/>
        </w:rPr>
      </w:r>
    </w:p>
    <w:p>
      <w:pPr>
        <w:pStyle w:val="Normal"/>
        <w:rPr>
          <w:rFonts w:ascii="宋体" w:hAnsi="宋体" w:cs="宋体"/>
          <w:sz w:val="20"/>
          <w:lang w:val="en-US" w:eastAsia="en-US"/>
        </w:rPr>
      </w:pPr>
      <w:r>
        <w:rPr>
          <w:rFonts w:cs="宋体" w:ascii="宋体" w:hAnsi="宋体"/>
          <w:sz w:val="20"/>
          <w:lang w:val="en-US" w:eastAsia="en-US"/>
        </w:rPr>
        <mc:AlternateContent>
          <mc:Choice Requires="wps">
            <w:drawing>
              <wp:anchor behindDoc="0" distT="4445" distB="4445" distL="119380" distR="119380" simplePos="0" locked="0" layoutInCell="0" allowOverlap="1" relativeHeight="8">
                <wp:simplePos x="0" y="0"/>
                <wp:positionH relativeFrom="column">
                  <wp:posOffset>2856865</wp:posOffset>
                </wp:positionH>
                <wp:positionV relativeFrom="paragraph">
                  <wp:posOffset>635</wp:posOffset>
                </wp:positionV>
                <wp:extent cx="1270" cy="297815"/>
                <wp:effectExtent l="0" t="0" r="0" b="0"/>
                <wp:wrapNone/>
                <wp:docPr id="4" name=""/>
                <a:graphic xmlns:a="http://schemas.openxmlformats.org/drawingml/2006/main">
                  <a:graphicData uri="http://schemas.microsoft.com/office/word/2010/wordprocessingShape">
                    <wps:wsp>
                      <wps:cNvSpPr/>
                      <wps:spPr>
                        <a:xfrm flipH="1">
                          <a:off x="0" y="0"/>
                          <a:ext cx="72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24.95pt,0pt" to="224.95pt,23.35pt" stroked="t" style="position:absolute;flip:x">
                <v:stroke color="black" weight="9360" endarrow="block" endarrowwidth="medium" endarrowlength="medium" joinstyle="miter" endcap="flat"/>
                <v:fill o:detectmouseclick="t" on="false"/>
                <w10:wrap type="none"/>
              </v:line>
            </w:pict>
          </mc:Fallback>
        </mc:AlternateContent>
      </w:r>
    </w:p>
    <w:p>
      <w:pPr>
        <w:pStyle w:val="Normal"/>
        <w:rPr>
          <w:rFonts w:ascii="宋体" w:hAnsi="宋体" w:cs="宋体"/>
          <w:sz w:val="20"/>
          <w:lang w:val="en-US" w:eastAsia="en-US"/>
        </w:rPr>
      </w:pPr>
      <w:r>
        <w:rPr>
          <w:rFonts w:cs="宋体" w:ascii="宋体" w:hAnsi="宋体"/>
          <w:sz w:val="20"/>
          <w:lang w:val="en-US" w:eastAsia="en-US"/>
        </w:rPr>
      </w:r>
      <w:r>
        <mc:AlternateContent>
          <mc:Choice Requires="wps">
            <w:drawing>
              <wp:anchor behindDoc="0" distT="0" distB="0" distL="114935" distR="114935" simplePos="0" locked="0" layoutInCell="0" allowOverlap="1" relativeHeight="4">
                <wp:simplePos x="0" y="0"/>
                <wp:positionH relativeFrom="column">
                  <wp:posOffset>219075</wp:posOffset>
                </wp:positionH>
                <wp:positionV relativeFrom="paragraph">
                  <wp:posOffset>51435</wp:posOffset>
                </wp:positionV>
                <wp:extent cx="5276850" cy="302260"/>
                <wp:effectExtent l="0" t="0" r="0" b="0"/>
                <wp:wrapNone/>
                <wp:docPr id="5" name="Frame4"/>
                <a:graphic xmlns:a="http://schemas.openxmlformats.org/drawingml/2006/main">
                  <a:graphicData uri="http://schemas.microsoft.com/office/word/2010/wordprocessingShape">
                    <wps:wsp>
                      <wps:cNvSpPr txBox="1"/>
                      <wps:spPr>
                        <a:xfrm>
                          <a:off x="0" y="0"/>
                          <a:ext cx="5276850" cy="302260"/>
                        </a:xfrm>
                        <a:prstGeom prst="rect"/>
                        <a:solidFill>
                          <a:srgbClr val="FFFFFF"/>
                        </a:solidFill>
                        <a:ln w="9525">
                          <a:solidFill>
                            <a:srgbClr val="000000"/>
                          </a:solidFill>
                        </a:ln>
                      </wps:spPr>
                      <wps:txbx>
                        <w:txbxContent>
                          <w:p>
                            <w:pPr>
                              <w:pStyle w:val="Normal"/>
                              <w:jc w:val="center"/>
                              <w:rPr/>
                            </w:pPr>
                            <w:r>
                              <w:rPr/>
                              <w:t>直接上级和下级讨论月度工作计划、考核指标和权重，制定当月考核表</w:t>
                            </w:r>
                          </w:p>
                        </w:txbxContent>
                      </wps:txbx>
                      <wps:bodyPr anchor="t" lIns="91440" tIns="45720" rIns="91440" bIns="45720">
                        <a:noAutofit/>
                      </wps:bodyPr>
                    </wps:wsp>
                  </a:graphicData>
                </a:graphic>
              </wp:anchor>
            </w:drawing>
          </mc:Choice>
          <mc:Fallback>
            <w:pict>
              <v:rect fillcolor="#FFFFFF" strokecolor="#000000" strokeweight="0pt" style="position:absolute;rotation:0;width:415.5pt;height:23.8pt;mso-wrap-distance-left:9.05pt;mso-wrap-distance-right:9.05pt;mso-wrap-distance-top:0pt;mso-wrap-distance-bottom:0pt;margin-top:4.05pt;mso-position-vertical-relative:text;margin-left:17.25pt;mso-position-horizontal-relative:text">
                <v:textbox>
                  <w:txbxContent>
                    <w:p>
                      <w:pPr>
                        <w:pStyle w:val="Normal"/>
                        <w:jc w:val="center"/>
                        <w:rPr/>
                      </w:pPr>
                      <w:r>
                        <w:rPr/>
                        <w:t>直接上级和下级讨论月度工作计划、考核指标和权重，制定当月考核表</w:t>
                      </w:r>
                    </w:p>
                  </w:txbxContent>
                </v:textbox>
                <w10:wrap type="none"/>
              </v:rect>
            </w:pict>
          </mc:Fallback>
        </mc:AlternateContent>
      </w:r>
    </w:p>
    <w:p>
      <w:pPr>
        <w:pStyle w:val="Normal"/>
        <w:rPr>
          <w:rFonts w:ascii="宋体" w:hAnsi="宋体" w:cs="宋体"/>
        </w:rPr>
      </w:pPr>
      <w:r>
        <w:rPr>
          <w:rFonts w:cs="宋体" w:ascii="宋体" w:hAnsi="宋体"/>
        </w:rPr>
      </w:r>
    </w:p>
    <w:p>
      <w:pPr>
        <w:pStyle w:val="Normal"/>
        <w:rPr>
          <w:rFonts w:ascii="宋体" w:hAnsi="宋体" w:cs="宋体"/>
          <w:sz w:val="20"/>
          <w:lang w:val="en-US" w:eastAsia="en-US"/>
        </w:rPr>
      </w:pPr>
      <w:r>
        <w:rPr>
          <w:rFonts w:cs="宋体" w:ascii="宋体" w:hAnsi="宋体"/>
          <w:sz w:val="20"/>
          <w:lang w:val="en-US" w:eastAsia="en-US"/>
        </w:rPr>
        <mc:AlternateContent>
          <mc:Choice Requires="wps">
            <w:drawing>
              <wp:anchor behindDoc="0" distT="4445" distB="4445" distL="119380" distR="119380" simplePos="0" locked="0" layoutInCell="0" allowOverlap="1" relativeHeight="9">
                <wp:simplePos x="0" y="0"/>
                <wp:positionH relativeFrom="column">
                  <wp:posOffset>2867025</wp:posOffset>
                </wp:positionH>
                <wp:positionV relativeFrom="paragraph">
                  <wp:posOffset>-635</wp:posOffset>
                </wp:positionV>
                <wp:extent cx="1270" cy="198755"/>
                <wp:effectExtent l="0" t="0" r="0" b="0"/>
                <wp:wrapNone/>
                <wp:docPr id="6" name=""/>
                <a:graphic xmlns:a="http://schemas.openxmlformats.org/drawingml/2006/main">
                  <a:graphicData uri="http://schemas.microsoft.com/office/word/2010/wordprocessingShape">
                    <wps:wsp>
                      <wps:cNvSpPr/>
                      <wps:spPr>
                        <a:xfrm>
                          <a:off x="0" y="0"/>
                          <a:ext cx="72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25.75pt,-0.05pt" to="225.75pt,15.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0" distT="0" distB="0" distL="114935" distR="114935" simplePos="0" locked="0" layoutInCell="0" allowOverlap="1" relativeHeight="5">
                <wp:simplePos x="0" y="0"/>
                <wp:positionH relativeFrom="column">
                  <wp:posOffset>790575</wp:posOffset>
                </wp:positionH>
                <wp:positionV relativeFrom="paragraph">
                  <wp:posOffset>169545</wp:posOffset>
                </wp:positionV>
                <wp:extent cx="4133850" cy="316230"/>
                <wp:effectExtent l="0" t="0" r="0" b="0"/>
                <wp:wrapNone/>
                <wp:docPr id="7" name="Frame5"/>
                <a:graphic xmlns:a="http://schemas.openxmlformats.org/drawingml/2006/main">
                  <a:graphicData uri="http://schemas.microsoft.com/office/word/2010/wordprocessingShape">
                    <wps:wsp>
                      <wps:cNvSpPr txBox="1"/>
                      <wps:spPr>
                        <a:xfrm>
                          <a:off x="0" y="0"/>
                          <a:ext cx="4133850" cy="316230"/>
                        </a:xfrm>
                        <a:prstGeom prst="rect"/>
                        <a:solidFill>
                          <a:srgbClr val="FFFFFF"/>
                        </a:solidFill>
                        <a:ln w="9525">
                          <a:solidFill>
                            <a:srgbClr val="000000"/>
                          </a:solidFill>
                        </a:ln>
                      </wps:spPr>
                      <wps:txbx>
                        <w:txbxContent>
                          <w:p>
                            <w:pPr>
                              <w:pStyle w:val="Normal"/>
                              <w:jc w:val="center"/>
                              <w:rPr/>
                            </w:pPr>
                            <w:r>
                              <w:rPr/>
                              <w:t>考核过程中上级和下级视情况调整考核指标，并报人力资源部备案</w:t>
                            </w:r>
                          </w:p>
                        </w:txbxContent>
                      </wps:txbx>
                      <wps:bodyPr anchor="t" lIns="91440" tIns="45720" rIns="91440" bIns="45720">
                        <a:noAutofit/>
                      </wps:bodyPr>
                    </wps:wsp>
                  </a:graphicData>
                </a:graphic>
              </wp:anchor>
            </w:drawing>
          </mc:Choice>
          <mc:Fallback>
            <w:pict>
              <v:rect fillcolor="#FFFFFF" strokecolor="#000000" strokeweight="0pt" style="position:absolute;rotation:0;width:325.5pt;height:24.9pt;mso-wrap-distance-left:9.05pt;mso-wrap-distance-right:9.05pt;mso-wrap-distance-top:0pt;mso-wrap-distance-bottom:0pt;margin-top:13.35pt;mso-position-vertical-relative:text;margin-left:62.25pt;mso-position-horizontal-relative:text">
                <v:textbox>
                  <w:txbxContent>
                    <w:p>
                      <w:pPr>
                        <w:pStyle w:val="Normal"/>
                        <w:jc w:val="center"/>
                        <w:rPr/>
                      </w:pPr>
                      <w:r>
                        <w:rPr/>
                        <w:t>考核过程中上级和下级视情况调整考核指标，并报人力资源部备案</w:t>
                      </w:r>
                    </w:p>
                  </w:txbxContent>
                </v:textbox>
                <w10:wrap type="none"/>
              </v:rect>
            </w:pict>
          </mc:Fallback>
        </mc:AlternateContent>
      </w:r>
    </w:p>
    <w:p>
      <w:pPr>
        <w:pStyle w:val="Normal"/>
        <w:rPr>
          <w:rFonts w:ascii="宋体" w:hAnsi="宋体" w:cs="宋体"/>
        </w:rPr>
      </w:pPr>
      <w:r>
        <w:rPr>
          <w:rFonts w:cs="宋体" w:ascii="宋体" w:hAnsi="宋体"/>
        </w:rPr>
      </w:r>
    </w:p>
    <w:p>
      <w:pPr>
        <w:pStyle w:val="Normal"/>
        <w:rPr>
          <w:rFonts w:ascii="宋体" w:hAnsi="宋体" w:cs="宋体"/>
          <w:sz w:val="20"/>
          <w:lang w:val="en-US" w:eastAsia="en-US"/>
        </w:rPr>
      </w:pPr>
      <w:r>
        <w:rPr>
          <w:rFonts w:cs="宋体" w:ascii="宋体" w:hAnsi="宋体"/>
          <w:sz w:val="20"/>
          <w:lang w:val="en-US" w:eastAsia="en-US"/>
        </w:rPr>
        <mc:AlternateContent>
          <mc:Choice Requires="wps">
            <w:drawing>
              <wp:anchor behindDoc="0" distT="4445" distB="4445" distL="119380" distR="119380" simplePos="0" locked="0" layoutInCell="0" allowOverlap="1" relativeHeight="10">
                <wp:simplePos x="0" y="0"/>
                <wp:positionH relativeFrom="column">
                  <wp:posOffset>2876550</wp:posOffset>
                </wp:positionH>
                <wp:positionV relativeFrom="paragraph">
                  <wp:posOffset>98425</wp:posOffset>
                </wp:positionV>
                <wp:extent cx="1270" cy="198755"/>
                <wp:effectExtent l="0" t="0" r="0" b="0"/>
                <wp:wrapNone/>
                <wp:docPr id="8" name=""/>
                <a:graphic xmlns:a="http://schemas.openxmlformats.org/drawingml/2006/main">
                  <a:graphicData uri="http://schemas.microsoft.com/office/word/2010/wordprocessingShape">
                    <wps:wsp>
                      <wps:cNvSpPr/>
                      <wps:spPr>
                        <a:xfrm>
                          <a:off x="0" y="0"/>
                          <a:ext cx="72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26.5pt,7.75pt" to="226.5pt,23.3pt" stroked="t" style="position:absolute">
                <v:stroke color="black" weight="9360" endarrow="block" endarrowwidth="medium" endarrowlength="medium" joinstyle="miter" endcap="flat"/>
                <v:fill o:detectmouseclick="t" on="false"/>
                <w10:wrap type="none"/>
              </v:line>
            </w:pict>
          </mc:Fallback>
        </mc:AlternateContent>
      </w:r>
    </w:p>
    <w:p>
      <w:pPr>
        <w:pStyle w:val="Normal"/>
        <w:rPr>
          <w:rFonts w:ascii="宋体" w:hAnsi="宋体" w:cs="宋体"/>
          <w:sz w:val="20"/>
          <w:lang w:val="en-US" w:eastAsia="en-US"/>
        </w:rPr>
      </w:pPr>
      <w:r>
        <w:rPr>
          <w:rFonts w:cs="宋体" w:ascii="宋体" w:hAnsi="宋体"/>
          <w:sz w:val="20"/>
          <w:lang w:val="en-US" w:eastAsia="en-US"/>
        </w:rPr>
      </w:r>
      <w:r>
        <mc:AlternateContent>
          <mc:Choice Requires="wps">
            <w:drawing>
              <wp:anchor behindDoc="0" distT="0" distB="0" distL="114935" distR="114935" simplePos="0" locked="0" layoutInCell="0" allowOverlap="1" relativeHeight="6">
                <wp:simplePos x="0" y="0"/>
                <wp:positionH relativeFrom="column">
                  <wp:posOffset>790575</wp:posOffset>
                </wp:positionH>
                <wp:positionV relativeFrom="paragraph">
                  <wp:posOffset>80010</wp:posOffset>
                </wp:positionV>
                <wp:extent cx="4133850" cy="302260"/>
                <wp:effectExtent l="0" t="0" r="0" b="0"/>
                <wp:wrapNone/>
                <wp:docPr id="9" name="Frame6"/>
                <a:graphic xmlns:a="http://schemas.openxmlformats.org/drawingml/2006/main">
                  <a:graphicData uri="http://schemas.microsoft.com/office/word/2010/wordprocessingShape">
                    <wps:wsp>
                      <wps:cNvSpPr txBox="1"/>
                      <wps:spPr>
                        <a:xfrm>
                          <a:off x="0" y="0"/>
                          <a:ext cx="4133850" cy="302260"/>
                        </a:xfrm>
                        <a:prstGeom prst="rect"/>
                        <a:solidFill>
                          <a:srgbClr val="FFFFFF"/>
                        </a:solidFill>
                        <a:ln w="9525">
                          <a:solidFill>
                            <a:srgbClr val="000000"/>
                          </a:solidFill>
                        </a:ln>
                      </wps:spPr>
                      <wps:txbx>
                        <w:txbxContent>
                          <w:p>
                            <w:pPr>
                              <w:pStyle w:val="Normal"/>
                              <w:jc w:val="center"/>
                              <w:rPr/>
                            </w:pPr>
                            <w:r>
                              <w:rPr/>
                              <w:t>各考核主体逐级考核</w:t>
                            </w:r>
                          </w:p>
                        </w:txbxContent>
                      </wps:txbx>
                      <wps:bodyPr anchor="t" lIns="91440" tIns="45720" rIns="91440" bIns="45720">
                        <a:noAutofit/>
                      </wps:bodyPr>
                    </wps:wsp>
                  </a:graphicData>
                </a:graphic>
              </wp:anchor>
            </w:drawing>
          </mc:Choice>
          <mc:Fallback>
            <w:pict>
              <v:rect fillcolor="#FFFFFF" strokecolor="#000000" strokeweight="0pt" style="position:absolute;rotation:0;width:325.5pt;height:23.8pt;mso-wrap-distance-left:9.05pt;mso-wrap-distance-right:9.05pt;mso-wrap-distance-top:0pt;mso-wrap-distance-bottom:0pt;margin-top:6.3pt;mso-position-vertical-relative:text;margin-left:62.25pt;mso-position-horizontal-relative:text">
                <v:textbox>
                  <w:txbxContent>
                    <w:p>
                      <w:pPr>
                        <w:pStyle w:val="Normal"/>
                        <w:jc w:val="center"/>
                        <w:rPr/>
                      </w:pPr>
                      <w:r>
                        <w:rPr/>
                        <w:t>各考核主体逐级考核</w:t>
                      </w:r>
                    </w:p>
                  </w:txbxContent>
                </v:textbox>
                <w10:wrap type="none"/>
              </v:rect>
            </w:pict>
          </mc:Fallback>
        </mc:AlternateContent>
      </w:r>
    </w:p>
    <w:p>
      <w:pPr>
        <w:pStyle w:val="Normal"/>
        <w:rPr>
          <w:rFonts w:ascii="宋体" w:hAnsi="宋体" w:cs="宋体"/>
          <w:sz w:val="20"/>
          <w:lang w:val="en-US" w:eastAsia="en-US"/>
        </w:rPr>
      </w:pPr>
      <w:r>
        <w:rPr>
          <w:rFonts w:cs="宋体" w:ascii="宋体" w:hAnsi="宋体"/>
          <w:sz w:val="20"/>
          <w:lang w:val="en-US" w:eastAsia="en-US"/>
        </w:rPr>
        <mc:AlternateContent>
          <mc:Choice Requires="wps">
            <w:drawing>
              <wp:anchor behindDoc="0" distT="4445" distB="4445" distL="119380" distR="119380" simplePos="0" locked="0" layoutInCell="0" allowOverlap="1" relativeHeight="11">
                <wp:simplePos x="0" y="0"/>
                <wp:positionH relativeFrom="column">
                  <wp:posOffset>2857500</wp:posOffset>
                </wp:positionH>
                <wp:positionV relativeFrom="paragraph">
                  <wp:posOffset>165100</wp:posOffset>
                </wp:positionV>
                <wp:extent cx="1270" cy="198755"/>
                <wp:effectExtent l="0" t="0" r="0" b="0"/>
                <wp:wrapNone/>
                <wp:docPr id="10" name=""/>
                <a:graphic xmlns:a="http://schemas.openxmlformats.org/drawingml/2006/main">
                  <a:graphicData uri="http://schemas.microsoft.com/office/word/2010/wordprocessingShape">
                    <wps:wsp>
                      <wps:cNvSpPr/>
                      <wps:spPr>
                        <a:xfrm>
                          <a:off x="0" y="0"/>
                          <a:ext cx="720" cy="1980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25pt,13pt" to="225pt,28.55pt" stroked="t" style="position:absolute">
                <v:stroke color="black" weight="9360" endarrow="block" endarrowwidth="medium" endarrowlength="medium" joinstyle="miter" endcap="flat"/>
                <v:fill o:detectmouseclick="t" on="false"/>
                <w10:wrap type="none"/>
              </v:line>
            </w:pict>
          </mc:Fallback>
        </mc:AlternateContent>
      </w:r>
    </w:p>
    <w:p>
      <w:pPr>
        <w:pStyle w:val="Style14"/>
        <w:rPr>
          <w:rFonts w:ascii="宋体" w:hAnsi="宋体" w:cs="宋体"/>
          <w:bCs w:val="false"/>
          <w:szCs w:val="24"/>
        </w:rPr>
      </w:pPr>
      <w:r>
        <w:rPr>
          <w:rFonts w:cs="宋体"/>
          <w:bCs w:val="false"/>
          <w:szCs w:val="24"/>
        </w:rPr>
      </w:r>
    </w:p>
    <w:p>
      <w:pPr>
        <w:pStyle w:val="Normal"/>
        <w:rPr>
          <w:rFonts w:ascii="宋体" w:hAnsi="宋体" w:cs="宋体"/>
          <w:bCs/>
          <w:sz w:val="20"/>
          <w:szCs w:val="24"/>
          <w:lang w:val="en-US" w:eastAsia="en-US"/>
        </w:rPr>
      </w:pPr>
      <w:r>
        <w:rPr>
          <w:rFonts w:cs="宋体" w:ascii="宋体" w:hAnsi="宋体"/>
          <w:bCs/>
          <w:sz w:val="20"/>
          <w:szCs w:val="24"/>
          <w:lang w:val="en-US" w:eastAsia="en-US"/>
        </w:rPr>
      </w:r>
      <w:r>
        <mc:AlternateContent>
          <mc:Choice Requires="wps">
            <w:drawing>
              <wp:anchor behindDoc="0" distT="0" distB="0" distL="114935" distR="114935" simplePos="0" locked="0" layoutInCell="0" allowOverlap="1" relativeHeight="7">
                <wp:simplePos x="0" y="0"/>
                <wp:positionH relativeFrom="column">
                  <wp:posOffset>790575</wp:posOffset>
                </wp:positionH>
                <wp:positionV relativeFrom="paragraph">
                  <wp:posOffset>-14605</wp:posOffset>
                </wp:positionV>
                <wp:extent cx="4133850" cy="514985"/>
                <wp:effectExtent l="0" t="0" r="0" b="0"/>
                <wp:wrapNone/>
                <wp:docPr id="11" name="Frame7"/>
                <a:graphic xmlns:a="http://schemas.openxmlformats.org/drawingml/2006/main">
                  <a:graphicData uri="http://schemas.microsoft.com/office/word/2010/wordprocessingShape">
                    <wps:wsp>
                      <wps:cNvSpPr txBox="1"/>
                      <wps:spPr>
                        <a:xfrm>
                          <a:off x="0" y="0"/>
                          <a:ext cx="4133850" cy="514985"/>
                        </a:xfrm>
                        <a:prstGeom prst="rect"/>
                        <a:solidFill>
                          <a:srgbClr val="FFFFFF"/>
                        </a:solidFill>
                        <a:ln w="9525">
                          <a:solidFill>
                            <a:srgbClr val="000000"/>
                          </a:solidFill>
                        </a:ln>
                      </wps:spPr>
                      <wps:txbx>
                        <w:txbxContent>
                          <w:p>
                            <w:pPr>
                              <w:pStyle w:val="Normal"/>
                              <w:jc w:val="center"/>
                              <w:rPr/>
                            </w:pPr>
                            <w:r>
                              <w:rPr/>
                              <w:t>各部门将考核结果报人力资源部</w:t>
                            </w:r>
                          </w:p>
                        </w:txbxContent>
                      </wps:txbx>
                      <wps:bodyPr anchor="t" lIns="91440" tIns="45720" rIns="91440" bIns="45720">
                        <a:noAutofit/>
                      </wps:bodyPr>
                    </wps:wsp>
                  </a:graphicData>
                </a:graphic>
              </wp:anchor>
            </w:drawing>
          </mc:Choice>
          <mc:Fallback>
            <w:pict>
              <v:rect fillcolor="#FFFFFF" strokecolor="#000000" strokeweight="0pt" style="position:absolute;rotation:0;width:325.5pt;height:40.55pt;mso-wrap-distance-left:9.05pt;mso-wrap-distance-right:9.05pt;mso-wrap-distance-top:0pt;mso-wrap-distance-bottom:0pt;margin-top:-1.15pt;mso-position-vertical-relative:text;margin-left:62.25pt;mso-position-horizontal-relative:text">
                <v:textbox>
                  <w:txbxContent>
                    <w:p>
                      <w:pPr>
                        <w:pStyle w:val="Normal"/>
                        <w:jc w:val="center"/>
                        <w:rPr/>
                      </w:pPr>
                      <w:r>
                        <w:rPr/>
                        <w:t>各部门将考核结果报人力资源部</w:t>
                      </w:r>
                    </w:p>
                  </w:txbxContent>
                </v:textbox>
                <w10:wrap type="none"/>
              </v:rect>
            </w:pict>
          </mc:Fallback>
        </mc:AlternateContent>
      </w:r>
    </w:p>
    <w:p>
      <w:pPr>
        <w:pStyle w:val="Normal"/>
        <w:rPr>
          <w:rFonts w:ascii="宋体" w:hAnsi="宋体" w:cs="宋体"/>
        </w:rPr>
      </w:pPr>
      <w:r>
        <w:rPr>
          <w:rFonts w:cs="宋体" w:ascii="宋体" w:hAnsi="宋体"/>
        </w:rPr>
      </w:r>
    </w:p>
    <w:p>
      <w:pPr>
        <w:pStyle w:val="Normal"/>
        <w:rPr>
          <w:rFonts w:ascii="宋体" w:hAnsi="宋体" w:cs="宋体"/>
          <w:lang w:val="en-US" w:eastAsia="en-US"/>
        </w:rPr>
      </w:pPr>
      <w:r>
        <w:rPr>
          <w:rFonts w:cs="宋体" w:ascii="宋体" w:hAnsi="宋体"/>
          <w:lang w:val="en-US" w:eastAsia="en-US"/>
        </w:rPr>
        <mc:AlternateContent>
          <mc:Choice Requires="wpg">
            <w:drawing>
              <wp:anchor behindDoc="0" distT="0" distB="0" distL="114935" distR="114935" simplePos="0" locked="0" layoutInCell="0" allowOverlap="1" relativeHeight="31">
                <wp:simplePos x="0" y="0"/>
                <wp:positionH relativeFrom="column">
                  <wp:posOffset>800100</wp:posOffset>
                </wp:positionH>
                <wp:positionV relativeFrom="paragraph">
                  <wp:posOffset>94615</wp:posOffset>
                </wp:positionV>
                <wp:extent cx="4115435" cy="3452495"/>
                <wp:effectExtent l="0" t="0" r="0" b="0"/>
                <wp:wrapNone/>
                <wp:docPr id="12" name=""/>
                <a:graphic xmlns:a="http://schemas.openxmlformats.org/drawingml/2006/main">
                  <a:graphicData uri="http://schemas.microsoft.com/office/word/2010/wordprocessingGroup">
                    <wpg:wgp>
                      <wpg:cNvGrpSpPr/>
                      <wpg:grpSpPr>
                        <a:xfrm>
                          <a:off x="0" y="0"/>
                          <a:ext cx="4114800" cy="3452040"/>
                          <a:chOff x="800280" y="94680"/>
                          <a:chExt cx="4114800" cy="3452040"/>
                        </a:xfrm>
                      </wpg:grpSpPr>
                      <wps:wsp>
                        <wps:cNvSpPr txBox="1"/>
                        <wps:spPr>
                          <a:xfrm>
                            <a:off x="1714680" y="1894320"/>
                            <a:ext cx="343080" cy="295200"/>
                          </a:xfrm>
                          <a:prstGeom prst="rect">
                            <a:avLst/>
                          </a:prstGeom>
                          <a:solidFill>
                            <a:srgbClr val="ffffff"/>
                          </a:solidFill>
                          <a:ln w="0">
                            <a:noFill/>
                          </a:ln>
                        </wps:spPr>
                        <wps:txbx>
                          <w:txbxContent>
                            <w:p>
                              <w:pPr>
                                <w:overflowPunct w:val="false"/>
                                <w:bidi w:val="0"/>
                                <w:jc w:val="both"/>
                                <w:rPr/>
                              </w:pPr>
                              <w:r>
                                <w:rPr>
                                  <w:kern w:val="2"/>
                                  <w:sz w:val="21"/>
                                  <w:szCs w:val="20"/>
                                  <w:rFonts w:ascii="Times New Roman" w:hAnsi="Times New Roman" w:eastAsia="宋体" w:cs="Times New Roman"/>
                                  <w:color w:val="auto"/>
                                  <w:lang w:val="en-US" w:eastAsia="zh-CN" w:bidi="ar-SA"/>
                                </w:rPr>
                                <w:t>是</w:t>
                              </w:r>
                            </w:p>
                          </w:txbxContent>
                        </wps:txbx>
                        <wps:bodyPr wrap="square">
                          <a:noAutofit/>
                        </wps:bodyPr>
                      </wps:wsp>
                      <wps:wsp>
                        <wps:cNvSpPr txBox="1"/>
                        <wps:spPr>
                          <a:xfrm>
                            <a:off x="0" y="207000"/>
                            <a:ext cx="4114800" cy="32076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bCs w:val="false"/>
                                  <w:rFonts w:ascii="Times New Roman" w:hAnsi="Times New Roman" w:eastAsia="宋体" w:cs="Times New Roman"/>
                                  <w:color w:val="auto"/>
                                  <w:lang w:val="en-US" w:eastAsia="zh-CN" w:bidi="ar-SA"/>
                                </w:rPr>
                                <w:t>人力资源部将考核结果报考核管理委员会审核</w:t>
                              </w:r>
                            </w:p>
                          </w:txbxContent>
                        </wps:txbx>
                        <wps:bodyPr wrap="square">
                          <a:noAutofit/>
                        </wps:bodyPr>
                      </wps:wsp>
                      <wps:wsp>
                        <wps:cNvSpPr txBox="1"/>
                        <wps:spPr>
                          <a:xfrm>
                            <a:off x="0" y="720720"/>
                            <a:ext cx="4114800" cy="49536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人力资源部将考核结果反馈给各部门，各相关负责人根据考核结果与员工进行沟通，并帮助员工制定改进计划</w:t>
                              </w:r>
                            </w:p>
                          </w:txbxContent>
                        </wps:txbx>
                        <wps:bodyPr wrap="square">
                          <a:noAutofit/>
                        </wps:bodyPr>
                      </wps:wsp>
                      <wps:wsp>
                        <wps:cNvSpPr/>
                        <wps:spPr>
                          <a:xfrm>
                            <a:off x="1143000" y="1399680"/>
                            <a:ext cx="1830600" cy="495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员工是否接受受</w:t>
                              </w:r>
                            </w:p>
                          </w:txbxContent>
                        </wps:txbx>
                        <wps:bodyPr>
                          <a:noAutofit/>
                        </wps:bodyPr>
                      </wps:wsp>
                      <wps:wsp>
                        <wps:cNvSpPr txBox="1"/>
                        <wps:spPr>
                          <a:xfrm>
                            <a:off x="3428280" y="1399680"/>
                            <a:ext cx="684000" cy="561240"/>
                          </a:xfrm>
                          <a:prstGeom prst="rect">
                            <a:avLst/>
                          </a:prstGeom>
                          <a:solidFill>
                            <a:srgbClr val="ffffff"/>
                          </a:solidFill>
                          <a:ln w="9360">
                            <a:solidFill>
                              <a:srgbClr val="000000"/>
                            </a:solidFill>
                            <a:miter/>
                          </a:ln>
                        </wps:spPr>
                        <wps:txbx>
                          <w:txbxContent>
                            <w:p>
                              <w:pPr>
                                <w:overflowPunct w:val="false"/>
                                <w:bidi w:val="0"/>
                                <w:jc w:val="both"/>
                                <w:rPr/>
                              </w:pPr>
                              <w:r>
                                <w:rPr>
                                  <w:kern w:val="2"/>
                                  <w:sz w:val="21"/>
                                  <w:szCs w:val="20"/>
                                  <w:rFonts w:ascii="Times New Roman" w:hAnsi="Times New Roman" w:eastAsia="宋体" w:cs="Times New Roman"/>
                                  <w:color w:val="auto"/>
                                  <w:lang w:val="en-US" w:eastAsia="zh-CN" w:bidi="ar-SA"/>
                                </w:rPr>
                                <w:t>考核申</w:t>
                              </w:r>
                            </w:p>
                            <w:p>
                              <w:pPr>
                                <w:overflowPunct w:val="false"/>
                                <w:bidi w:val="0"/>
                                <w:jc w:val="both"/>
                                <w:rPr/>
                              </w:pPr>
                              <w:r>
                                <w:rPr>
                                  <w:kern w:val="2"/>
                                  <w:sz w:val="21"/>
                                  <w:szCs w:val="20"/>
                                  <w:rFonts w:ascii="Times New Roman" w:hAnsi="Times New Roman" w:eastAsia="宋体" w:cs="Times New Roman"/>
                                  <w:color w:val="auto"/>
                                  <w:lang w:val="en-US" w:eastAsia="zh-CN" w:bidi="ar-SA"/>
                                </w:rPr>
                                <w:t>诉流程</w:t>
                              </w:r>
                            </w:p>
                          </w:txbxContent>
                        </wps:txbx>
                        <wps:bodyPr wrap="square">
                          <a:noAutofit/>
                        </wps:bodyPr>
                      </wps:wsp>
                      <wps:wsp>
                        <wps:cNvSpPr/>
                        <wps:spPr>
                          <a:xfrm>
                            <a:off x="1257480" y="3083400"/>
                            <a:ext cx="1712520" cy="368280"/>
                          </a:xfrm>
                          <a:custGeom>
                            <a:avLst/>
                            <a:gdLst/>
                            <a:ahLst/>
                            <a:rect l="0" t="0" r="r" b="b"/>
                            <a:pathLst>
                              <a:path w="2699" h="582">
                                <a:moveTo>
                                  <a:pt x="96" y="0"/>
                                </a:moveTo>
                                <a:lnTo>
                                  <a:pt x="97" y="0"/>
                                </a:lnTo>
                                <a:cubicBezTo>
                                  <a:pt x="80" y="0"/>
                                  <a:pt x="63" y="4"/>
                                  <a:pt x="48" y="13"/>
                                </a:cubicBezTo>
                                <a:cubicBezTo>
                                  <a:pt x="34" y="21"/>
                                  <a:pt x="21" y="34"/>
                                  <a:pt x="13" y="48"/>
                                </a:cubicBezTo>
                                <a:cubicBezTo>
                                  <a:pt x="4" y="63"/>
                                  <a:pt x="0" y="80"/>
                                  <a:pt x="0" y="97"/>
                                </a:cubicBezTo>
                                <a:lnTo>
                                  <a:pt x="0" y="484"/>
                                </a:lnTo>
                                <a:lnTo>
                                  <a:pt x="0" y="484"/>
                                </a:lnTo>
                                <a:cubicBezTo>
                                  <a:pt x="0" y="501"/>
                                  <a:pt x="4" y="518"/>
                                  <a:pt x="13" y="533"/>
                                </a:cubicBezTo>
                                <a:cubicBezTo>
                                  <a:pt x="21" y="547"/>
                                  <a:pt x="34" y="560"/>
                                  <a:pt x="48" y="568"/>
                                </a:cubicBezTo>
                                <a:cubicBezTo>
                                  <a:pt x="63" y="577"/>
                                  <a:pt x="80" y="581"/>
                                  <a:pt x="97" y="581"/>
                                </a:cubicBezTo>
                                <a:lnTo>
                                  <a:pt x="2601" y="581"/>
                                </a:lnTo>
                                <a:lnTo>
                                  <a:pt x="2601" y="581"/>
                                </a:lnTo>
                                <a:cubicBezTo>
                                  <a:pt x="2618" y="581"/>
                                  <a:pt x="2635" y="577"/>
                                  <a:pt x="2650" y="568"/>
                                </a:cubicBezTo>
                                <a:cubicBezTo>
                                  <a:pt x="2664" y="560"/>
                                  <a:pt x="2677" y="547"/>
                                  <a:pt x="2685" y="533"/>
                                </a:cubicBezTo>
                                <a:cubicBezTo>
                                  <a:pt x="2694" y="518"/>
                                  <a:pt x="2698" y="501"/>
                                  <a:pt x="2698" y="484"/>
                                </a:cubicBezTo>
                                <a:lnTo>
                                  <a:pt x="2698" y="96"/>
                                </a:lnTo>
                                <a:lnTo>
                                  <a:pt x="2698" y="97"/>
                                </a:lnTo>
                                <a:lnTo>
                                  <a:pt x="2698" y="97"/>
                                </a:lnTo>
                                <a:cubicBezTo>
                                  <a:pt x="2698" y="80"/>
                                  <a:pt x="2694" y="63"/>
                                  <a:pt x="2685" y="48"/>
                                </a:cubicBezTo>
                                <a:cubicBezTo>
                                  <a:pt x="2677" y="34"/>
                                  <a:pt x="2664" y="21"/>
                                  <a:pt x="2650" y="13"/>
                                </a:cubicBezTo>
                                <a:cubicBezTo>
                                  <a:pt x="2635" y="4"/>
                                  <a:pt x="2618" y="0"/>
                                  <a:pt x="2601" y="0"/>
                                </a:cubicBezTo>
                                <a:lnTo>
                                  <a:pt x="96"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月度考核结束</w:t>
                              </w:r>
                            </w:p>
                          </w:txbxContent>
                        </wps:txbx>
                        <wps:bodyPr>
                          <a:noAutofit/>
                        </wps:bodyPr>
                      </wps:wsp>
                      <wps:wsp>
                        <wps:cNvSpPr/>
                        <wps:spPr>
                          <a:xfrm>
                            <a:off x="2057400" y="0"/>
                            <a:ext cx="0" cy="1980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057400" y="523080"/>
                            <a:ext cx="0" cy="1980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057400" y="1216080"/>
                            <a:ext cx="0" cy="1836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971800" y="1399680"/>
                            <a:ext cx="343080" cy="297360"/>
                          </a:xfrm>
                          <a:prstGeom prst="rect">
                            <a:avLst/>
                          </a:prstGeom>
                          <a:solidFill>
                            <a:srgbClr val="ffffff"/>
                          </a:solidFill>
                          <a:ln w="0">
                            <a:noFill/>
                          </a:ln>
                        </wps:spPr>
                        <wps:txbx>
                          <w:txbxContent>
                            <w:p>
                              <w:pPr>
                                <w:overflowPunct w:val="false"/>
                                <w:bidi w:val="0"/>
                                <w:jc w:val="both"/>
                                <w:rPr/>
                              </w:pPr>
                              <w:r>
                                <w:rPr>
                                  <w:kern w:val="2"/>
                                  <w:sz w:val="21"/>
                                  <w:szCs w:val="20"/>
                                  <w:rFonts w:ascii="Times New Roman" w:hAnsi="Times New Roman" w:eastAsia="宋体" w:cs="Times New Roman"/>
                                  <w:color w:val="auto"/>
                                  <w:lang w:val="en-US" w:eastAsia="zh-CN" w:bidi="ar-SA"/>
                                </w:rPr>
                                <w:t>否</w:t>
                              </w:r>
                            </w:p>
                          </w:txbxContent>
                        </wps:txbx>
                        <wps:bodyPr wrap="square">
                          <a:noAutofit/>
                        </wps:bodyPr>
                      </wps:wsp>
                      <wps:wsp>
                        <wps:cNvSpPr/>
                        <wps:spPr>
                          <a:xfrm>
                            <a:off x="2971800" y="1652760"/>
                            <a:ext cx="4572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057400" y="1894680"/>
                            <a:ext cx="0" cy="118872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63pt;margin-top:7.45pt;width:324pt;height:271.8pt" coordorigin="1260,149" coordsize="6480,5436">
                <v:shapetype id="_x0000_t202" coordsize="21600,21600" o:spt="202" path="m,l,21600l21600,21600l21600,xe">
                  <v:stroke joinstyle="miter"/>
                  <v:path gradientshapeok="t" o:connecttype="rect"/>
                </v:shapetype>
                <v:shape id="shape_0" fillcolor="white" stroked="f" style="position:absolute;left:3961;top:3132;width:539;height:464;mso-wrap-style:square;v-text-anchor:top" type="shapetype_202">
                  <v:textbox>
                    <w:txbxContent>
                      <w:p>
                        <w:pPr>
                          <w:overflowPunct w:val="false"/>
                          <w:bidi w:val="0"/>
                          <w:jc w:val="both"/>
                          <w:rPr/>
                        </w:pPr>
                        <w:r>
                          <w:rPr>
                            <w:kern w:val="2"/>
                            <w:sz w:val="21"/>
                            <w:szCs w:val="20"/>
                            <w:rFonts w:ascii="Times New Roman" w:hAnsi="Times New Roman" w:eastAsia="宋体" w:cs="Times New Roman"/>
                            <w:color w:val="auto"/>
                            <w:lang w:val="en-US" w:eastAsia="zh-CN" w:bidi="ar-SA"/>
                          </w:rPr>
                          <w:t>是</w:t>
                        </w:r>
                      </w:p>
                    </w:txbxContent>
                  </v:textbox>
                  <v:fill o:detectmouseclick="t" type="solid" color2="black"/>
                  <v:stroke color="#3465a4" joinstyle="round" endcap="flat"/>
                  <w10:wrap type="none"/>
                </v:shape>
                <v:shape id="shape_0" fillcolor="white" stroked="t" style="position:absolute;left:1260;top:475;width:6479;height:504;mso-wrap-style:square;v-text-anchor:top" type="shapetype_202">
                  <v:textbox>
                    <w:txbxContent>
                      <w:p>
                        <w:pPr>
                          <w:overflowPunct w:val="false"/>
                          <w:bidi w:val="0"/>
                          <w:jc w:val="center"/>
                          <w:rPr/>
                        </w:pPr>
                        <w:r>
                          <w:rPr>
                            <w:kern w:val="2"/>
                            <w:sz w:val="21"/>
                            <w:szCs w:val="24"/>
                            <w:bCs w:val="false"/>
                            <w:rFonts w:ascii="Times New Roman" w:hAnsi="Times New Roman" w:eastAsia="宋体" w:cs="Times New Roman"/>
                            <w:color w:val="auto"/>
                            <w:lang w:val="en-US" w:eastAsia="zh-CN" w:bidi="ar-SA"/>
                          </w:rPr>
                          <w:t>人力资源部将考核结果报考核管理委员会审核</w:t>
                        </w:r>
                      </w:p>
                    </w:txbxContent>
                  </v:textbox>
                  <v:fill o:detectmouseclick="t" type="solid" color2="black"/>
                  <v:stroke color="black" weight="9360" joinstyle="miter" endcap="flat"/>
                </v:shape>
                <v:shape id="shape_0" fillcolor="white" stroked="t" style="position:absolute;left:1260;top:1284;width:6479;height:779;mso-wrap-style:square;v-text-anchor:top" type="shapetype_202">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人力资源部将考核结果反馈给各部门，各相关负责人根据考核结果与员工进行沟通，并帮助员工制定改进计划</w:t>
                        </w:r>
                      </w:p>
                    </w:txbxContent>
                  </v:textbox>
                  <v:fill o:detectmouseclick="t" type="solid" color2="black"/>
                  <v:stroke color="black" weight="9360" joinstyle="miter" endcap="flat"/>
                </v:shape>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left:3060;top:2353;width:2882;height:779;mso-wrap-style:square;v-text-anchor:top" type="shapetype_110">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员工是否接受受</w:t>
                        </w:r>
                      </w:p>
                    </w:txbxContent>
                  </v:textbox>
                  <v:fill o:detectmouseclick="t" type="solid" color2="black"/>
                  <v:stroke color="black" weight="9360" joinstyle="miter" endcap="flat"/>
                </v:shape>
                <v:shape id="shape_0" fillcolor="white" stroked="t" style="position:absolute;left:6659;top:2353;width:1076;height:883;mso-wrap-style:square;v-text-anchor:top" type="shapetype_202">
                  <v:textbox>
                    <w:txbxContent>
                      <w:p>
                        <w:pPr>
                          <w:overflowPunct w:val="false"/>
                          <w:bidi w:val="0"/>
                          <w:jc w:val="both"/>
                          <w:rPr/>
                        </w:pPr>
                        <w:r>
                          <w:rPr>
                            <w:kern w:val="2"/>
                            <w:sz w:val="21"/>
                            <w:szCs w:val="20"/>
                            <w:rFonts w:ascii="Times New Roman" w:hAnsi="Times New Roman" w:eastAsia="宋体" w:cs="Times New Roman"/>
                            <w:color w:val="auto"/>
                            <w:lang w:val="en-US" w:eastAsia="zh-CN" w:bidi="ar-SA"/>
                          </w:rPr>
                          <w:t>考核申</w:t>
                        </w:r>
                      </w:p>
                      <w:p>
                        <w:pPr>
                          <w:overflowPunct w:val="false"/>
                          <w:bidi w:val="0"/>
                          <w:jc w:val="both"/>
                          <w:rPr/>
                        </w:pPr>
                        <w:r>
                          <w:rPr>
                            <w:kern w:val="2"/>
                            <w:sz w:val="21"/>
                            <w:szCs w:val="20"/>
                            <w:rFonts w:ascii="Times New Roman" w:hAnsi="Times New Roman" w:eastAsia="宋体" w:cs="Times New Roman"/>
                            <w:color w:val="auto"/>
                            <w:lang w:val="en-US" w:eastAsia="zh-CN" w:bidi="ar-SA"/>
                          </w:rPr>
                          <w:t>诉流程</w:t>
                        </w:r>
                      </w:p>
                    </w:txbxContent>
                  </v:textbox>
                  <v:fill o:detectmouseclick="t" type="solid" color2="black"/>
                  <v:stroke color="black" weight="9360" joinstyle="miter" endcap="flat"/>
                </v:shape>
                <v:roundrect id="shape_0" fillcolor="white" stroked="t" style="position:absolute;left:3241;top:5005;width:2696;height:579;mso-wrap-style:square;v-text-anchor:top">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月度考核结束</w:t>
                        </w:r>
                      </w:p>
                    </w:txbxContent>
                  </v:textbox>
                  <v:fill o:detectmouseclick="t" type="solid" color2="black"/>
                  <v:stroke color="black" weight="9360" joinstyle="miter" endcap="flat"/>
                </v:roundrect>
                <v:line id="shape_0" from="4500,149" to="4500,460" stroked="t" style="position:absolute">
                  <v:stroke color="black" weight="9360" endarrow="block" endarrowwidth="medium" endarrowlength="medium" joinstyle="miter" endcap="flat"/>
                  <v:fill o:detectmouseclick="t" on="false"/>
                </v:line>
                <v:line id="shape_0" from="4500,973" to="4500,1284" stroked="t" style="position:absolute">
                  <v:stroke color="black" weight="9360" endarrow="block" endarrowwidth="medium" endarrowlength="medium" joinstyle="miter" endcap="flat"/>
                  <v:fill o:detectmouseclick="t" on="false"/>
                </v:line>
                <v:line id="shape_0" from="4500,2064" to="4500,2352" stroked="t" style="position:absolute">
                  <v:stroke color="black" weight="9360" endarrow="block" endarrowwidth="medium" endarrowlength="medium" joinstyle="miter" endcap="flat"/>
                  <v:fill o:detectmouseclick="t" on="false"/>
                </v:line>
                <v:shape id="shape_0" fillcolor="white" stroked="f" style="position:absolute;left:5940;top:2353;width:539;height:467;mso-wrap-style:square;v-text-anchor:top" type="shapetype_202">
                  <v:textbox>
                    <w:txbxContent>
                      <w:p>
                        <w:pPr>
                          <w:overflowPunct w:val="false"/>
                          <w:bidi w:val="0"/>
                          <w:jc w:val="both"/>
                          <w:rPr/>
                        </w:pPr>
                        <w:r>
                          <w:rPr>
                            <w:kern w:val="2"/>
                            <w:sz w:val="21"/>
                            <w:szCs w:val="20"/>
                            <w:rFonts w:ascii="Times New Roman" w:hAnsi="Times New Roman" w:eastAsia="宋体" w:cs="Times New Roman"/>
                            <w:color w:val="auto"/>
                            <w:lang w:val="en-US" w:eastAsia="zh-CN" w:bidi="ar-SA"/>
                          </w:rPr>
                          <w:t>否</w:t>
                        </w:r>
                      </w:p>
                    </w:txbxContent>
                  </v:textbox>
                  <v:fill o:detectmouseclick="t" type="solid" color2="black"/>
                  <v:stroke color="#3465a4" joinstyle="round" endcap="flat"/>
                </v:shape>
                <v:line id="shape_0" from="5940,2752" to="6659,2752" stroked="t" style="position:absolute">
                  <v:stroke color="black" weight="9360" endarrow="block" endarrowwidth="medium" endarrowlength="medium" joinstyle="miter" endcap="flat"/>
                  <v:fill o:detectmouseclick="t" on="false"/>
                </v:line>
                <v:line id="shape_0" from="4500,3133" to="4500,5004" stroked="t" style="position:absolute">
                  <v:stroke color="black" weight="9360" endarrow="block" endarrowwidth="medium" endarrowlength="medium" joinstyle="miter" endcap="flat"/>
                  <v:fill o:detectmouseclick="t" on="false"/>
                </v:line>
              </v:group>
            </w:pict>
          </mc:Fallback>
        </mc:AlternateContent>
      </w:r>
    </w:p>
    <w:p>
      <w:pPr>
        <w:pStyle w:val="Normal"/>
        <w:rPr>
          <w:rFonts w:ascii="宋体" w:hAnsi="宋体" w:cs="宋体"/>
        </w:rPr>
      </w:pPr>
      <w:r>
        <w:rPr>
          <w:rFonts w:cs="宋体" w:ascii="宋体" w:hAnsi="宋体"/>
        </w:rPr>
      </w:r>
    </w:p>
    <w:p>
      <w:pPr>
        <w:pStyle w:val="Normal"/>
        <w:jc w:val="end"/>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Style14"/>
        <w:rPr>
          <w:rFonts w:ascii="宋体" w:hAnsi="宋体" w:cs="宋体"/>
          <w:bCs w:val="false"/>
          <w:szCs w:val="24"/>
        </w:rPr>
      </w:pPr>
      <w:r>
        <w:rPr>
          <w:rFonts w:cs="宋体"/>
          <w:bCs w:val="false"/>
          <w:szCs w:val="24"/>
        </w:rPr>
      </w:r>
    </w:p>
    <w:p>
      <w:pPr>
        <w:pStyle w:val="Normal"/>
        <w:rPr>
          <w:rFonts w:ascii="宋体" w:hAnsi="宋体" w:cs="宋体"/>
          <w:bCs/>
          <w:szCs w:val="24"/>
        </w:rPr>
      </w:pPr>
      <w:r>
        <w:rPr>
          <w:rFonts w:cs="宋体" w:ascii="宋体" w:hAnsi="宋体"/>
          <w:bCs/>
          <w:szCs w:val="24"/>
        </w:rPr>
      </w:r>
    </w:p>
    <w:p>
      <w:pPr>
        <w:pStyle w:val="Style14"/>
        <w:rPr>
          <w:rFonts w:ascii="宋体" w:hAnsi="宋体" w:cs="宋体"/>
          <w:bCs w:val="false"/>
          <w:szCs w:val="24"/>
        </w:rPr>
      </w:pPr>
      <w:r>
        <w:rPr>
          <w:rFonts w:cs="宋体"/>
          <w:bCs w:val="false"/>
          <w:szCs w:val="24"/>
        </w:rPr>
      </w:r>
    </w:p>
    <w:p>
      <w:pPr>
        <w:pStyle w:val="Normal"/>
        <w:rPr>
          <w:rFonts w:ascii="宋体" w:hAnsi="宋体" w:cs="宋体"/>
          <w:bCs/>
          <w:szCs w:val="24"/>
        </w:rPr>
      </w:pPr>
      <w:r>
        <w:rPr>
          <w:rFonts w:cs="宋体" w:ascii="宋体" w:hAnsi="宋体"/>
          <w:bCs/>
          <w:szCs w:val="24"/>
        </w:rPr>
      </w:r>
    </w:p>
    <w:p>
      <w:pPr>
        <w:pStyle w:val="Normal"/>
        <w:rPr>
          <w:rFonts w:ascii="宋体" w:hAnsi="宋体" w:cs="宋体"/>
        </w:rPr>
      </w:pPr>
      <w:r>
        <w:rPr>
          <w:rFonts w:cs="宋体" w:ascii="宋体" w:hAnsi="宋体"/>
        </w:rPr>
      </w:r>
    </w:p>
    <w:p>
      <w:pPr>
        <w:sectPr>
          <w:headerReference w:type="default" r:id="rId6"/>
          <w:footerReference w:type="default" r:id="rId7"/>
          <w:type w:val="nextPage"/>
          <w:pgSz w:w="11906" w:h="16838"/>
          <w:pgMar w:left="1531" w:right="1531" w:header="851" w:top="1440" w:footer="992" w:bottom="1440" w:gutter="0"/>
          <w:pgNumType w:fmt="decimal"/>
          <w:formProt w:val="false"/>
          <w:textDirection w:val="lrTb"/>
          <w:docGrid w:type="linesAndChars" w:linePitch="312" w:charSpace="0"/>
        </w:sectPr>
        <w:pStyle w:val="Normal"/>
        <w:rPr>
          <w:rFonts w:ascii="宋体" w:hAnsi="宋体" w:cs="宋体"/>
        </w:rPr>
      </w:pPr>
      <w:r>
        <w:rPr>
          <w:rFonts w:cs="宋体" w:ascii="宋体" w:hAnsi="宋体"/>
        </w:rPr>
      </w:r>
    </w:p>
    <w:p>
      <w:pPr>
        <w:pStyle w:val="Heading2"/>
        <w:keepNext w:val="false"/>
        <w:keepLines w:val="false"/>
        <w:numPr>
          <w:ilvl w:val="0"/>
          <w:numId w:val="0"/>
        </w:numPr>
        <w:spacing w:lineRule="auto" w:line="240" w:before="156" w:after="240"/>
        <w:ind w:start="0" w:hanging="0"/>
        <w:jc w:val="center"/>
        <w:rPr>
          <w:sz w:val="24"/>
          <w:szCs w:val="24"/>
        </w:rPr>
      </w:pPr>
      <w:bookmarkStart w:id="1" w:name="__RefHeading___Toc230237843"/>
      <w:bookmarkEnd w:id="1"/>
      <w:r>
        <w:rPr>
          <w:sz w:val="28"/>
          <w:szCs w:val="28"/>
        </w:rPr>
        <w:t>第四章</w:t>
      </w:r>
      <w:r>
        <w:rPr>
          <w:rFonts w:eastAsia="Cambria"/>
          <w:sz w:val="28"/>
          <w:szCs w:val="28"/>
        </w:rPr>
        <w:t xml:space="preserve">  </w:t>
      </w:r>
      <w:r>
        <w:rPr>
          <w:sz w:val="28"/>
          <w:szCs w:val="28"/>
        </w:rPr>
        <w:t>年度考核</w:t>
      </w:r>
    </w:p>
    <w:p>
      <w:pPr>
        <w:pStyle w:val="Normal"/>
        <w:numPr>
          <w:ilvl w:val="0"/>
          <w:numId w:val="0"/>
        </w:numPr>
        <w:spacing w:lineRule="auto" w:line="360"/>
        <w:ind w:start="510" w:hanging="0"/>
        <w:rPr>
          <w:sz w:val="24"/>
        </w:rPr>
      </w:pPr>
      <w:r>
        <w:rPr>
          <w:b/>
          <w:bCs/>
          <w:sz w:val="24"/>
          <w:lang w:eastAsia="zh-CN"/>
        </w:rPr>
        <w:t>第二十四条</w:t>
      </w:r>
      <w:r>
        <w:rPr>
          <w:rFonts w:eastAsia="Times New Roman"/>
          <w:sz w:val="24"/>
          <w:lang w:val="en-US" w:eastAsia="zh-CN"/>
        </w:rPr>
        <w:t xml:space="preserve"> </w:t>
      </w:r>
      <w:r>
        <w:rPr>
          <w:sz w:val="24"/>
        </w:rPr>
        <w:t>每年元月</w:t>
      </w:r>
      <w:r>
        <w:rPr>
          <w:sz w:val="24"/>
        </w:rPr>
        <w:t>1</w:t>
      </w:r>
      <w:r>
        <w:rPr>
          <w:sz w:val="24"/>
          <w:lang w:val="en-US" w:eastAsia="zh-CN"/>
        </w:rPr>
        <w:t>0</w:t>
      </w:r>
      <w:r>
        <w:rPr>
          <w:sz w:val="24"/>
        </w:rPr>
        <w:t>-20</w:t>
      </w:r>
      <w:r>
        <w:rPr>
          <w:sz w:val="24"/>
        </w:rPr>
        <w:t>日间同步开展各级人员能力考核，元月</w:t>
      </w:r>
      <w:r>
        <w:rPr>
          <w:sz w:val="24"/>
        </w:rPr>
        <w:t>30</w:t>
      </w:r>
      <w:r>
        <w:rPr>
          <w:sz w:val="24"/>
        </w:rPr>
        <w:t>日前完成年度考核的统计分析工作。</w:t>
      </w:r>
    </w:p>
    <w:p>
      <w:pPr>
        <w:pStyle w:val="Normal"/>
        <w:spacing w:lineRule="auto" w:line="360"/>
        <w:ind w:start="105" w:firstLine="420"/>
        <w:rPr>
          <w:rFonts w:ascii="宋体" w:hAnsi="宋体" w:cs="宋体"/>
          <w:sz w:val="24"/>
        </w:rPr>
      </w:pPr>
      <w:r>
        <w:rPr>
          <w:rFonts w:cs="宋体" w:ascii="宋体" w:hAnsi="宋体"/>
          <w:sz w:val="24"/>
          <w:lang w:val="en-US" w:eastAsia="zh-CN"/>
        </w:rPr>
        <w:t xml:space="preserve">  </w:t>
      </w:r>
      <w:r>
        <w:rPr>
          <w:rFonts w:ascii="宋体" w:hAnsi="宋体" w:cs="宋体"/>
          <w:sz w:val="24"/>
        </w:rPr>
        <w:t>下一年度计划的制定于</w:t>
      </w:r>
      <w:r>
        <w:rPr>
          <w:rFonts w:cs="宋体" w:ascii="宋体" w:hAnsi="宋体"/>
          <w:sz w:val="24"/>
        </w:rPr>
        <w:t>1</w:t>
      </w:r>
      <w:r>
        <w:rPr>
          <w:rFonts w:cs="宋体" w:ascii="宋体" w:hAnsi="宋体"/>
          <w:sz w:val="24"/>
          <w:lang w:val="en-US" w:eastAsia="zh-CN"/>
        </w:rPr>
        <w:t>1</w:t>
      </w:r>
      <w:r>
        <w:rPr>
          <w:rFonts w:ascii="宋体" w:hAnsi="宋体" w:cs="宋体"/>
          <w:sz w:val="24"/>
        </w:rPr>
        <w:t>月</w:t>
      </w:r>
      <w:r>
        <w:rPr>
          <w:rFonts w:cs="宋体" w:ascii="宋体" w:hAnsi="宋体"/>
          <w:sz w:val="24"/>
        </w:rPr>
        <w:t>1</w:t>
      </w:r>
      <w:r>
        <w:rPr>
          <w:rFonts w:ascii="宋体" w:hAnsi="宋体" w:cs="宋体"/>
          <w:sz w:val="24"/>
        </w:rPr>
        <w:t>日启动，</w:t>
      </w:r>
      <w:r>
        <w:rPr>
          <w:rFonts w:cs="宋体" w:ascii="宋体" w:hAnsi="宋体"/>
          <w:sz w:val="24"/>
        </w:rPr>
        <w:t>12</w:t>
      </w:r>
      <w:r>
        <w:rPr>
          <w:rFonts w:ascii="宋体" w:hAnsi="宋体" w:cs="宋体"/>
          <w:sz w:val="24"/>
        </w:rPr>
        <w:t>月</w:t>
      </w:r>
      <w:r>
        <w:rPr>
          <w:rFonts w:cs="宋体" w:ascii="宋体" w:hAnsi="宋体"/>
          <w:sz w:val="24"/>
          <w:lang w:val="en-US" w:eastAsia="zh-CN"/>
        </w:rPr>
        <w:t>15</w:t>
      </w:r>
      <w:r>
        <w:rPr>
          <w:rFonts w:ascii="宋体" w:hAnsi="宋体" w:cs="宋体"/>
          <w:sz w:val="24"/>
        </w:rPr>
        <w:t>日完成。各部门</w:t>
      </w:r>
      <w:r>
        <w:rPr>
          <w:rFonts w:ascii="宋体" w:hAnsi="宋体" w:cs="宋体"/>
          <w:sz w:val="24"/>
          <w:lang w:eastAsia="zh-CN"/>
        </w:rPr>
        <w:t>、各车间</w:t>
      </w:r>
      <w:r>
        <w:rPr>
          <w:rFonts w:ascii="宋体" w:hAnsi="宋体" w:cs="宋体"/>
          <w:sz w:val="24"/>
        </w:rPr>
        <w:t>于</w:t>
      </w:r>
      <w:r>
        <w:rPr>
          <w:rFonts w:cs="宋体" w:ascii="宋体" w:hAnsi="宋体"/>
          <w:sz w:val="24"/>
        </w:rPr>
        <w:t>12</w:t>
      </w:r>
      <w:r>
        <w:rPr>
          <w:rFonts w:ascii="宋体" w:hAnsi="宋体" w:cs="宋体"/>
          <w:sz w:val="24"/>
        </w:rPr>
        <w:t>月</w:t>
      </w:r>
      <w:r>
        <w:rPr>
          <w:rFonts w:cs="宋体" w:ascii="宋体" w:hAnsi="宋体"/>
          <w:sz w:val="24"/>
          <w:lang w:val="en-US" w:eastAsia="zh-CN"/>
        </w:rPr>
        <w:t>20</w:t>
      </w:r>
      <w:r>
        <w:rPr>
          <w:rFonts w:ascii="宋体" w:hAnsi="宋体" w:cs="宋体"/>
          <w:sz w:val="24"/>
        </w:rPr>
        <w:t>日提交下年度工作计划及目标，经公司</w:t>
      </w:r>
      <w:r>
        <w:rPr>
          <w:rFonts w:ascii="宋体" w:hAnsi="宋体" w:cs="宋体"/>
          <w:sz w:val="24"/>
          <w:lang w:eastAsia="zh-CN"/>
        </w:rPr>
        <w:t>董事会</w:t>
      </w:r>
      <w:r>
        <w:rPr>
          <w:rFonts w:ascii="宋体" w:hAnsi="宋体" w:cs="宋体"/>
          <w:sz w:val="24"/>
        </w:rPr>
        <w:t>批准后执行。</w:t>
      </w:r>
    </w:p>
    <w:p>
      <w:pPr>
        <w:pStyle w:val="Normal"/>
        <w:numPr>
          <w:ilvl w:val="0"/>
          <w:numId w:val="0"/>
        </w:numPr>
        <w:spacing w:lineRule="auto" w:line="360"/>
        <w:ind w:start="510" w:hanging="0"/>
        <w:rPr>
          <w:sz w:val="24"/>
        </w:rPr>
      </w:pPr>
      <w:r>
        <w:rPr>
          <w:b/>
          <w:bCs/>
          <w:sz w:val="24"/>
          <w:lang w:eastAsia="zh-CN"/>
        </w:rPr>
        <w:t>第二十五条</w:t>
      </w:r>
      <w:r>
        <w:rPr>
          <w:rFonts w:eastAsia="Times New Roman"/>
          <w:sz w:val="24"/>
          <w:lang w:val="en-US" w:eastAsia="zh-CN"/>
        </w:rPr>
        <w:t xml:space="preserve"> </w:t>
      </w:r>
      <w:r>
        <w:rPr>
          <w:sz w:val="24"/>
        </w:rPr>
        <w:t>个人年度考核</w:t>
      </w:r>
    </w:p>
    <w:p>
      <w:pPr>
        <w:pStyle w:val="Normal"/>
        <w:numPr>
          <w:ilvl w:val="0"/>
          <w:numId w:val="0"/>
        </w:numPr>
        <w:spacing w:lineRule="auto" w:line="360"/>
        <w:ind w:start="397" w:firstLine="480"/>
        <w:rPr>
          <w:sz w:val="24"/>
        </w:rPr>
      </w:pPr>
      <w:r>
        <w:rPr>
          <w:sz w:val="24"/>
          <w:lang w:val="en-US" w:eastAsia="zh-CN"/>
        </w:rPr>
        <w:t>（一）</w:t>
      </w:r>
      <w:r>
        <w:rPr>
          <w:sz w:val="24"/>
        </w:rPr>
        <w:t>个人年度综合考核：主要是对员工本年度的业绩绩效、行为指标、工作能力进行全面综合考核。业绩绩效、行为指标考核不再单独进行，以全年月度考核为基础得出年度绩效考核综合得分；</w:t>
      </w:r>
    </w:p>
    <w:p>
      <w:pPr>
        <w:pStyle w:val="Normal"/>
        <w:numPr>
          <w:ilvl w:val="0"/>
          <w:numId w:val="0"/>
        </w:numPr>
        <w:spacing w:lineRule="auto" w:line="360"/>
        <w:ind w:start="397" w:firstLine="480"/>
        <w:rPr>
          <w:sz w:val="24"/>
        </w:rPr>
      </w:pPr>
      <w:r>
        <w:rPr>
          <w:sz w:val="24"/>
          <w:lang w:eastAsia="zh-CN"/>
        </w:rPr>
        <w:t>（二）</w:t>
      </w:r>
      <w:r>
        <w:rPr>
          <w:sz w:val="24"/>
        </w:rPr>
        <w:t>年度综合考核对员工的长期发展和能力长期表现进行评价，作为晋升、岗位调动以及培训的依据，能力考核占年度考核的总比重为</w:t>
      </w:r>
      <w:r>
        <w:rPr>
          <w:sz w:val="24"/>
        </w:rPr>
        <w:t>20%</w:t>
      </w:r>
      <w:r>
        <w:rPr>
          <w:sz w:val="24"/>
        </w:rPr>
        <w:t>。</w:t>
      </w:r>
    </w:p>
    <w:p>
      <w:pPr>
        <w:pStyle w:val="Normal"/>
        <w:spacing w:lineRule="auto" w:line="360"/>
        <w:ind w:firstLine="617"/>
        <w:rPr>
          <w:sz w:val="24"/>
        </w:rPr>
      </w:pPr>
      <w:r>
        <w:rPr>
          <w:sz w:val="24"/>
        </w:rPr>
        <w:t>年度绩效考核作为计算</w:t>
      </w:r>
      <w:r>
        <w:rPr>
          <w:sz w:val="24"/>
        </w:rPr>
        <w:t>年底奖金</w:t>
      </w:r>
      <w:r>
        <w:rPr>
          <w:sz w:val="24"/>
        </w:rPr>
        <w:t>的依据。</w:t>
      </w:r>
    </w:p>
    <w:p>
      <w:pPr>
        <w:pStyle w:val="Normal"/>
        <w:numPr>
          <w:ilvl w:val="0"/>
          <w:numId w:val="0"/>
        </w:numPr>
        <w:spacing w:lineRule="auto" w:line="360"/>
        <w:ind w:start="397" w:hanging="0"/>
        <w:rPr>
          <w:sz w:val="24"/>
        </w:rPr>
      </w:pPr>
      <w:r>
        <w:rPr>
          <w:rFonts w:eastAsia="Times New Roman"/>
          <w:sz w:val="24"/>
          <w:lang w:val="en-US" w:eastAsia="zh-CN"/>
        </w:rPr>
        <w:t xml:space="preserve">   </w:t>
      </w:r>
      <w:r>
        <w:rPr>
          <w:sz w:val="24"/>
          <w:lang w:val="en-US" w:eastAsia="zh-CN"/>
        </w:rPr>
        <w:t>（三）</w:t>
      </w:r>
      <w:r>
        <w:rPr>
          <w:sz w:val="24"/>
        </w:rPr>
        <w:t>对在公司工作时间不足六个月或有其它特殊原因的员工，经</w:t>
      </w:r>
      <w:r>
        <w:rPr>
          <w:color w:val="000000"/>
          <w:sz w:val="24"/>
        </w:rPr>
        <w:t>考核管理委员会批准</w:t>
      </w:r>
      <w:r>
        <w:rPr>
          <w:sz w:val="24"/>
        </w:rPr>
        <w:t>可以不参加年度考核，考核结果视为良。</w:t>
      </w:r>
    </w:p>
    <w:p>
      <w:pPr>
        <w:pStyle w:val="Normal"/>
        <w:numPr>
          <w:ilvl w:val="0"/>
          <w:numId w:val="0"/>
        </w:numPr>
        <w:spacing w:lineRule="auto" w:line="360"/>
        <w:ind w:start="510" w:hanging="0"/>
        <w:rPr>
          <w:sz w:val="24"/>
        </w:rPr>
      </w:pPr>
      <w:r>
        <w:rPr>
          <w:b/>
          <w:bCs/>
          <w:sz w:val="24"/>
          <w:lang w:eastAsia="zh-CN"/>
        </w:rPr>
        <w:t>第二十六条</w:t>
      </w:r>
      <w:r>
        <w:rPr>
          <w:rFonts w:eastAsia="Times New Roman"/>
          <w:sz w:val="24"/>
          <w:lang w:val="en-US" w:eastAsia="zh-CN"/>
        </w:rPr>
        <w:t xml:space="preserve"> </w:t>
      </w:r>
      <w:r>
        <w:rPr>
          <w:sz w:val="24"/>
        </w:rPr>
        <w:t>个人年度考核步骤</w:t>
      </w:r>
    </w:p>
    <w:p>
      <w:pPr>
        <w:pStyle w:val="Normal"/>
        <w:tabs>
          <w:tab w:val="clear" w:pos="420"/>
          <w:tab w:val="left" w:pos="1638" w:leader="none"/>
        </w:tabs>
        <w:spacing w:lineRule="auto" w:line="360"/>
        <w:ind w:firstLine="480"/>
        <w:rPr>
          <w:sz w:val="24"/>
        </w:rPr>
      </w:pPr>
      <w:r>
        <w:rPr>
          <w:rFonts w:eastAsia="Times New Roman"/>
          <w:sz w:val="24"/>
          <w:lang w:val="en-US" w:eastAsia="zh-CN"/>
        </w:rPr>
        <w:t xml:space="preserve">   </w:t>
      </w:r>
      <w:r>
        <w:rPr>
          <w:sz w:val="24"/>
        </w:rPr>
        <w:t>个人年度考核过程分为以下几个步骤：</w:t>
      </w:r>
    </w:p>
    <w:p>
      <w:pPr>
        <w:pStyle w:val="Normal"/>
        <w:widowControl/>
        <w:numPr>
          <w:ilvl w:val="0"/>
          <w:numId w:val="17"/>
        </w:numPr>
        <w:tabs>
          <w:tab w:val="clear" w:pos="420"/>
          <w:tab w:val="left" w:pos="1190" w:leader="none"/>
          <w:tab w:val="left" w:pos="1230" w:leader="none"/>
        </w:tabs>
        <w:spacing w:lineRule="auto" w:line="360"/>
        <w:ind w:start="0" w:firstLine="397"/>
        <w:jc w:val="start"/>
        <w:rPr>
          <w:sz w:val="24"/>
        </w:rPr>
      </w:pPr>
      <w:r>
        <w:rPr>
          <w:sz w:val="24"/>
        </w:rPr>
        <w:t>个人年度考核增加能力考核指标，年度考核的具体得分为：</w:t>
      </w:r>
    </w:p>
    <w:p>
      <w:pPr>
        <w:pStyle w:val="Normal"/>
        <w:tabs>
          <w:tab w:val="clear" w:pos="420"/>
          <w:tab w:val="left" w:pos="1190" w:leader="none"/>
        </w:tabs>
        <w:spacing w:lineRule="auto" w:line="360"/>
        <w:ind w:firstLine="480"/>
        <w:rPr>
          <w:sz w:val="24"/>
        </w:rPr>
      </w:pPr>
      <w:r>
        <w:rPr>
          <w:sz w:val="24"/>
        </w:rPr>
        <w:t>个人年度绩效考核综合得分</w:t>
      </w:r>
      <w:r>
        <w:rPr>
          <w:sz w:val="24"/>
        </w:rPr>
        <w:t>=</w:t>
      </w:r>
      <w:r>
        <w:rPr>
          <w:sz w:val="24"/>
        </w:rPr>
        <w:t>（∑每月考核综合得分）</w:t>
      </w:r>
      <w:r>
        <w:rPr>
          <w:sz w:val="24"/>
        </w:rPr>
        <w:t>/12</w:t>
      </w:r>
    </w:p>
    <w:p>
      <w:pPr>
        <w:pStyle w:val="Normal"/>
        <w:tabs>
          <w:tab w:val="clear" w:pos="420"/>
          <w:tab w:val="left" w:pos="1190" w:leader="none"/>
        </w:tabs>
        <w:spacing w:lineRule="auto" w:line="360"/>
        <w:ind w:firstLine="480"/>
        <w:rPr>
          <w:sz w:val="24"/>
          <w:u w:val="single"/>
        </w:rPr>
      </w:pPr>
      <w:r>
        <w:rPr>
          <w:sz w:val="24"/>
        </w:rPr>
        <w:t>个人年度综合考核得分</w:t>
      </w:r>
      <w:r>
        <w:rPr>
          <w:sz w:val="24"/>
        </w:rPr>
        <w:t>=</w:t>
      </w:r>
      <w:r>
        <w:rPr>
          <w:sz w:val="24"/>
        </w:rPr>
        <w:t>（∑每月考核综合得分）</w:t>
      </w:r>
      <w:r>
        <w:rPr>
          <w:sz w:val="24"/>
        </w:rPr>
        <w:t>/12×80%+</w:t>
      </w:r>
      <w:r>
        <w:rPr>
          <w:sz w:val="24"/>
        </w:rPr>
        <w:t>年度能力考核得分</w:t>
      </w:r>
      <w:r>
        <w:rPr>
          <w:sz w:val="24"/>
        </w:rPr>
        <w:t>×20%</w:t>
      </w:r>
    </w:p>
    <w:p>
      <w:pPr>
        <w:pStyle w:val="Normal"/>
        <w:widowControl/>
        <w:numPr>
          <w:ilvl w:val="0"/>
          <w:numId w:val="17"/>
        </w:numPr>
        <w:tabs>
          <w:tab w:val="clear" w:pos="420"/>
          <w:tab w:val="left" w:pos="1190" w:leader="none"/>
          <w:tab w:val="left" w:pos="1230" w:leader="none"/>
        </w:tabs>
        <w:spacing w:lineRule="auto" w:line="360"/>
        <w:ind w:start="0" w:firstLine="397"/>
        <w:jc w:val="start"/>
        <w:rPr>
          <w:sz w:val="24"/>
        </w:rPr>
      </w:pPr>
      <w:r>
        <w:rPr>
          <w:sz w:val="24"/>
        </w:rPr>
        <w:t>参加年度考核的部门负责人，由其直接上级在每年度元月</w:t>
      </w:r>
      <w:r>
        <w:rPr>
          <w:sz w:val="24"/>
        </w:rPr>
        <w:t>1</w:t>
      </w:r>
      <w:r>
        <w:rPr>
          <w:sz w:val="24"/>
          <w:lang w:val="en-US" w:eastAsia="zh-CN"/>
        </w:rPr>
        <w:t>0</w:t>
      </w:r>
      <w:r>
        <w:rPr>
          <w:sz w:val="24"/>
        </w:rPr>
        <w:t>－</w:t>
      </w:r>
      <w:r>
        <w:rPr>
          <w:sz w:val="24"/>
        </w:rPr>
        <w:t>20</w:t>
      </w:r>
      <w:r>
        <w:rPr>
          <w:sz w:val="24"/>
        </w:rPr>
        <w:t>日对有关能力指标评分。</w:t>
      </w:r>
    </w:p>
    <w:p>
      <w:pPr>
        <w:pStyle w:val="Normal"/>
        <w:widowControl/>
        <w:numPr>
          <w:ilvl w:val="0"/>
          <w:numId w:val="17"/>
        </w:numPr>
        <w:tabs>
          <w:tab w:val="clear" w:pos="420"/>
          <w:tab w:val="left" w:pos="1190" w:leader="none"/>
          <w:tab w:val="left" w:pos="1230" w:leader="none"/>
        </w:tabs>
        <w:spacing w:lineRule="auto" w:line="360"/>
        <w:ind w:start="0" w:firstLine="397"/>
        <w:jc w:val="start"/>
        <w:rPr>
          <w:sz w:val="24"/>
        </w:rPr>
      </w:pPr>
      <w:r>
        <w:rPr>
          <w:sz w:val="24"/>
        </w:rPr>
        <w:t>参加年度考核的高层管理人员，由</w:t>
      </w:r>
      <w:r>
        <w:rPr>
          <w:sz w:val="24"/>
          <w:lang w:eastAsia="zh-CN"/>
        </w:rPr>
        <w:t>董事会</w:t>
      </w:r>
      <w:r>
        <w:rPr>
          <w:sz w:val="24"/>
        </w:rPr>
        <w:t>在每年度元月</w:t>
      </w:r>
      <w:r>
        <w:rPr>
          <w:sz w:val="24"/>
        </w:rPr>
        <w:t>1</w:t>
      </w:r>
      <w:r>
        <w:rPr>
          <w:sz w:val="24"/>
          <w:lang w:val="en-US" w:eastAsia="zh-CN"/>
        </w:rPr>
        <w:t>0</w:t>
      </w:r>
      <w:r>
        <w:rPr>
          <w:sz w:val="24"/>
        </w:rPr>
        <w:t>－</w:t>
      </w:r>
      <w:r>
        <w:rPr>
          <w:sz w:val="24"/>
        </w:rPr>
        <w:t>20</w:t>
      </w:r>
      <w:r>
        <w:rPr>
          <w:sz w:val="24"/>
        </w:rPr>
        <w:t>日对有关指标评分。</w:t>
      </w:r>
    </w:p>
    <w:p>
      <w:pPr>
        <w:pStyle w:val="Normal"/>
        <w:widowControl/>
        <w:numPr>
          <w:ilvl w:val="0"/>
          <w:numId w:val="17"/>
        </w:numPr>
        <w:tabs>
          <w:tab w:val="clear" w:pos="420"/>
          <w:tab w:val="left" w:pos="1190" w:leader="none"/>
          <w:tab w:val="left" w:pos="1230" w:leader="none"/>
        </w:tabs>
        <w:spacing w:lineRule="auto" w:line="360"/>
        <w:ind w:start="0" w:firstLine="397"/>
        <w:jc w:val="start"/>
        <w:rPr>
          <w:sz w:val="24"/>
        </w:rPr>
      </w:pPr>
      <w:r>
        <w:rPr>
          <w:sz w:val="24"/>
        </w:rPr>
        <w:t>参加年度考核的其他员工，由其直接上级在每年度元月</w:t>
      </w:r>
      <w:r>
        <w:rPr>
          <w:sz w:val="24"/>
        </w:rPr>
        <w:t>1</w:t>
      </w:r>
      <w:r>
        <w:rPr>
          <w:sz w:val="24"/>
          <w:lang w:val="en-US" w:eastAsia="zh-CN"/>
        </w:rPr>
        <w:t>0</w:t>
      </w:r>
      <w:r>
        <w:rPr>
          <w:sz w:val="24"/>
        </w:rPr>
        <w:t>－</w:t>
      </w:r>
      <w:r>
        <w:rPr>
          <w:sz w:val="24"/>
        </w:rPr>
        <w:t>20</w:t>
      </w:r>
      <w:r>
        <w:rPr>
          <w:sz w:val="24"/>
        </w:rPr>
        <w:t>日对能力有关指标评分。</w:t>
      </w:r>
    </w:p>
    <w:p>
      <w:pPr>
        <w:pStyle w:val="Normal"/>
        <w:widowControl/>
        <w:numPr>
          <w:ilvl w:val="0"/>
          <w:numId w:val="17"/>
        </w:numPr>
        <w:tabs>
          <w:tab w:val="clear" w:pos="420"/>
          <w:tab w:val="left" w:pos="1190" w:leader="none"/>
          <w:tab w:val="left" w:pos="1230" w:leader="none"/>
        </w:tabs>
        <w:spacing w:lineRule="auto" w:line="360"/>
        <w:ind w:start="0" w:firstLine="397"/>
        <w:jc w:val="start"/>
        <w:rPr>
          <w:sz w:val="24"/>
        </w:rPr>
      </w:pPr>
      <w:r>
        <w:rPr>
          <w:sz w:val="24"/>
        </w:rPr>
        <w:t>年度考核评定于下一年度元月</w:t>
      </w:r>
      <w:r>
        <w:rPr>
          <w:sz w:val="24"/>
        </w:rPr>
        <w:t>20</w:t>
      </w:r>
      <w:r>
        <w:rPr>
          <w:sz w:val="24"/>
        </w:rPr>
        <w:t>日完成，并汇总到人力资源管理部门。</w:t>
      </w:r>
    </w:p>
    <w:p>
      <w:pPr>
        <w:pStyle w:val="Normal"/>
        <w:widowControl/>
        <w:numPr>
          <w:ilvl w:val="0"/>
          <w:numId w:val="0"/>
        </w:numPr>
        <w:tabs>
          <w:tab w:val="clear" w:pos="420"/>
          <w:tab w:val="left" w:pos="1190" w:leader="none"/>
        </w:tabs>
        <w:spacing w:lineRule="auto" w:line="360"/>
        <w:ind w:start="397" w:hanging="0"/>
        <w:jc w:val="start"/>
        <w:rPr>
          <w:sz w:val="24"/>
        </w:rPr>
      </w:pPr>
      <w:r>
        <w:rPr>
          <w:sz w:val="24"/>
        </w:rPr>
      </w:r>
    </w:p>
    <w:p>
      <w:pPr>
        <w:pStyle w:val="Normal"/>
        <w:numPr>
          <w:ilvl w:val="0"/>
          <w:numId w:val="0"/>
        </w:numPr>
        <w:spacing w:lineRule="auto" w:line="360"/>
        <w:ind w:start="510" w:hanging="0"/>
        <w:rPr>
          <w:sz w:val="24"/>
        </w:rPr>
      </w:pPr>
      <w:r>
        <w:rPr>
          <w:b/>
          <w:bCs/>
          <w:sz w:val="24"/>
          <w:lang w:eastAsia="zh-CN"/>
        </w:rPr>
        <w:t>第二十七条</w:t>
      </w:r>
      <w:r>
        <w:rPr>
          <w:rFonts w:eastAsia="Times New Roman"/>
          <w:sz w:val="24"/>
          <w:lang w:val="en-US" w:eastAsia="zh-CN"/>
        </w:rPr>
        <w:t xml:space="preserve"> </w:t>
      </w:r>
      <w:r>
        <w:rPr>
          <w:sz w:val="24"/>
        </w:rPr>
        <w:t>个人年度考核结果的用途</w:t>
      </w:r>
    </w:p>
    <w:p>
      <w:pPr>
        <w:pStyle w:val="TextBodyIndent"/>
        <w:rPr/>
      </w:pPr>
      <w:r>
        <w:rPr>
          <w:rFonts w:eastAsia="Times New Roman"/>
          <w:lang w:val="en-US" w:eastAsia="zh-CN"/>
        </w:rPr>
        <w:t xml:space="preserve">   </w:t>
      </w:r>
      <w:r>
        <w:rPr/>
        <w:t>个人年度考核结果主要作为职务升降、工资等级升降、年终奖金发放、培训等工作的依据。</w:t>
      </w:r>
    </w:p>
    <w:p>
      <w:pPr>
        <w:pStyle w:val="TextBodyIndent"/>
        <w:rPr/>
      </w:pPr>
      <w:r>
        <w:rPr>
          <w:rFonts w:eastAsia="Times New Roman"/>
          <w:lang w:val="en-US" w:eastAsia="zh-CN"/>
        </w:rPr>
        <w:t xml:space="preserve">   </w:t>
      </w:r>
      <w:r>
        <w:rPr/>
        <w:t>依据考核结果的不同，公司做出不同的奖惩决定，一般有以下几类：</w:t>
      </w:r>
    </w:p>
    <w:p>
      <w:pPr>
        <w:pStyle w:val="2"/>
        <w:numPr>
          <w:ilvl w:val="0"/>
          <w:numId w:val="0"/>
        </w:numPr>
        <w:tabs>
          <w:tab w:val="left" w:pos="1141" w:leader="none"/>
          <w:tab w:val="left" w:pos="5760" w:leader="none"/>
        </w:tabs>
        <w:ind w:start="0" w:firstLine="480"/>
        <w:rPr>
          <w:color w:val="000000"/>
        </w:rPr>
      </w:pPr>
      <w:r>
        <w:rPr/>
        <w:t>（一）</w:t>
      </w:r>
      <w:r>
        <w:rPr>
          <w:color w:val="000000"/>
        </w:rPr>
        <w:t>职务升降</w:t>
      </w:r>
    </w:p>
    <w:p>
      <w:pPr>
        <w:pStyle w:val="TextBodyIndent"/>
        <w:rPr/>
      </w:pPr>
      <w:r>
        <w:rPr>
          <w:rFonts w:eastAsia="Times New Roman"/>
          <w:lang w:val="en-US" w:eastAsia="zh-CN"/>
        </w:rPr>
        <w:t xml:space="preserve">     </w:t>
      </w:r>
      <w:r>
        <w:rPr/>
        <w:t>绩效优异是职务晋升的必备条件。年度考核为“优秀”及以上的员工，列为人才梯队的后备人选及职务晋升候选对象。</w:t>
      </w:r>
    </w:p>
    <w:p>
      <w:pPr>
        <w:pStyle w:val="TextBodyIndent"/>
        <w:rPr/>
      </w:pPr>
      <w:r>
        <w:rPr>
          <w:rFonts w:eastAsia="Times New Roman"/>
          <w:lang w:val="en-US" w:eastAsia="zh-CN"/>
        </w:rPr>
        <w:t xml:space="preserve">   </w:t>
      </w:r>
      <w:r>
        <w:rPr/>
        <w:t>年度考核连续两年为“合格”的员工由上级领导决定是否给予岗位调整直至待岗处理；连续两年考核为“差”、连续三年考核结果为“合格”的员工将被待岗处理。</w:t>
      </w:r>
    </w:p>
    <w:p>
      <w:pPr>
        <w:pStyle w:val="2"/>
        <w:numPr>
          <w:ilvl w:val="0"/>
          <w:numId w:val="0"/>
        </w:numPr>
        <w:tabs>
          <w:tab w:val="left" w:pos="1141" w:leader="none"/>
          <w:tab w:val="left" w:pos="5760" w:leader="none"/>
        </w:tabs>
        <w:ind w:start="0" w:firstLine="480"/>
        <w:rPr>
          <w:color w:val="000000"/>
        </w:rPr>
      </w:pPr>
      <w:r>
        <w:rPr/>
        <w:t>（二）</w:t>
      </w:r>
      <w:r>
        <w:rPr>
          <w:color w:val="000000"/>
        </w:rPr>
        <w:t>工资等级升降</w:t>
      </w:r>
    </w:p>
    <w:p>
      <w:pPr>
        <w:pStyle w:val="2"/>
        <w:numPr>
          <w:ilvl w:val="0"/>
          <w:numId w:val="0"/>
        </w:numPr>
        <w:tabs>
          <w:tab w:val="left" w:pos="1141" w:leader="none"/>
          <w:tab w:val="left" w:pos="5760" w:leader="none"/>
        </w:tabs>
        <w:ind w:start="0" w:firstLine="480"/>
        <w:rPr/>
      </w:pPr>
      <w:r>
        <w:rPr>
          <w:rFonts w:eastAsia="Times New Roman"/>
          <w:lang w:val="en-US" w:eastAsia="zh-CN"/>
        </w:rPr>
        <w:t xml:space="preserve">   </w:t>
      </w:r>
      <w:r>
        <w:rPr/>
        <w:t>工资等级升降结合业绩考核、品行考核、目标实现度、忠诚度、职业化及岗位特殊要求等，由员工主动申请，报直属上</w:t>
      </w:r>
      <w:r>
        <w:rPr>
          <w:lang w:eastAsia="zh-CN"/>
        </w:rPr>
        <w:t>级</w:t>
      </w:r>
      <w:r>
        <w:rPr/>
        <w:t>和人力资源部，经审批通过后予以调整。</w:t>
      </w:r>
    </w:p>
    <w:p>
      <w:pPr>
        <w:pStyle w:val="2"/>
        <w:numPr>
          <w:ilvl w:val="0"/>
          <w:numId w:val="0"/>
        </w:numPr>
        <w:tabs>
          <w:tab w:val="left" w:pos="1141" w:leader="none"/>
          <w:tab w:val="left" w:pos="5760" w:leader="none"/>
        </w:tabs>
        <w:ind w:start="0" w:firstLine="480"/>
        <w:rPr>
          <w:color w:val="000000"/>
        </w:rPr>
      </w:pPr>
      <w:r>
        <w:rPr>
          <w:color w:val="000000"/>
        </w:rPr>
      </w:r>
    </w:p>
    <w:p>
      <w:pPr>
        <w:pStyle w:val="2"/>
        <w:numPr>
          <w:ilvl w:val="0"/>
          <w:numId w:val="0"/>
        </w:numPr>
        <w:tabs>
          <w:tab w:val="left" w:pos="1141" w:leader="none"/>
          <w:tab w:val="left" w:pos="5760" w:leader="none"/>
        </w:tabs>
        <w:ind w:start="0" w:firstLine="480"/>
        <w:rPr/>
      </w:pPr>
      <w:r>
        <w:rPr/>
        <w:t>（三）年度奖金分配</w:t>
      </w:r>
    </w:p>
    <w:p>
      <w:pPr>
        <w:pStyle w:val="2"/>
        <w:numPr>
          <w:ilvl w:val="0"/>
          <w:numId w:val="0"/>
        </w:numPr>
        <w:tabs>
          <w:tab w:val="left" w:pos="1141" w:leader="none"/>
          <w:tab w:val="left" w:pos="5760" w:leader="none"/>
        </w:tabs>
        <w:ind w:start="0" w:firstLine="480"/>
        <w:rPr>
          <w:color w:val="000000"/>
        </w:rPr>
      </w:pPr>
      <w:r>
        <w:rPr>
          <w:rFonts w:eastAsia="Times New Roman"/>
          <w:lang w:val="en-US" w:eastAsia="zh-CN"/>
        </w:rPr>
        <w:t xml:space="preserve">   </w:t>
      </w:r>
    </w:p>
    <w:p>
      <w:pPr>
        <w:pStyle w:val="2"/>
        <w:numPr>
          <w:ilvl w:val="0"/>
          <w:numId w:val="0"/>
        </w:numPr>
        <w:tabs>
          <w:tab w:val="left" w:pos="1141" w:leader="none"/>
          <w:tab w:val="left" w:pos="5760" w:leader="none"/>
        </w:tabs>
        <w:ind w:start="0" w:firstLine="480"/>
        <w:rPr/>
      </w:pPr>
      <w:r>
        <w:rPr/>
        <w:t>（四）培训</w:t>
      </w:r>
    </w:p>
    <w:p>
      <w:pPr>
        <w:pStyle w:val="TextBodyIndent"/>
        <w:rPr/>
      </w:pPr>
      <w:r>
        <w:rPr>
          <w:rFonts w:eastAsia="Times New Roman"/>
          <w:lang w:val="en-US" w:eastAsia="zh-CN"/>
        </w:rPr>
        <w:t xml:space="preserve">   </w:t>
      </w:r>
      <w:r>
        <w:rPr/>
        <w:t>针对考核成绩，公司提供不同的培训。年度绩效考核为“优秀”及以上的员工，优先列为深造培训的对象。考核为“合格”的员工，由人力资源管理部门结合其直接上级对其进行针对性强化培训，帮助员工改善绩效。</w:t>
      </w:r>
    </w:p>
    <w:p>
      <w:pPr>
        <w:sectPr>
          <w:headerReference w:type="default" r:id="rId8"/>
          <w:footerReference w:type="default" r:id="rId9"/>
          <w:type w:val="nextPage"/>
          <w:pgSz w:w="11906" w:h="16838"/>
          <w:pgMar w:left="1797" w:right="1797" w:header="851" w:top="1440" w:footer="992" w:bottom="1440" w:gutter="0"/>
          <w:pgNumType w:fmt="decimal"/>
          <w:formProt w:val="false"/>
          <w:textDirection w:val="lrTb"/>
          <w:docGrid w:type="linesAndChars" w:linePitch="312" w:charSpace="0"/>
        </w:sectPr>
        <w:pStyle w:val="Normal"/>
        <w:spacing w:lineRule="auto" w:line="360"/>
        <w:rPr>
          <w:sz w:val="24"/>
        </w:rPr>
      </w:pPr>
      <w:r>
        <w:rPr>
          <w:sz w:val="24"/>
        </w:rPr>
      </w:r>
    </w:p>
    <w:p>
      <w:pPr>
        <w:pStyle w:val="Heading2"/>
        <w:spacing w:before="156" w:after="240"/>
        <w:jc w:val="center"/>
        <w:rPr>
          <w:rFonts w:eastAsia="黑体"/>
          <w:sz w:val="28"/>
          <w:szCs w:val="28"/>
        </w:rPr>
      </w:pPr>
      <w:r>
        <w:rPr>
          <w:sz w:val="28"/>
          <w:szCs w:val="28"/>
        </w:rPr>
        <w:t>第五章</w:t>
      </w:r>
      <w:r>
        <w:rPr>
          <w:rFonts w:eastAsia="Cambria"/>
          <w:sz w:val="28"/>
          <w:szCs w:val="28"/>
        </w:rPr>
        <w:t xml:space="preserve">  </w:t>
      </w:r>
      <w:r>
        <w:rPr>
          <w:sz w:val="28"/>
          <w:szCs w:val="28"/>
        </w:rPr>
        <w:t>考核组织与申诉处理</w:t>
      </w:r>
    </w:p>
    <w:p>
      <w:pPr>
        <w:pStyle w:val="Normal"/>
        <w:numPr>
          <w:ilvl w:val="0"/>
          <w:numId w:val="0"/>
        </w:numPr>
        <w:spacing w:lineRule="auto" w:line="360"/>
        <w:ind w:start="510" w:hanging="0"/>
        <w:rPr>
          <w:sz w:val="24"/>
        </w:rPr>
      </w:pPr>
      <w:r>
        <w:rPr>
          <w:rFonts w:ascii="宋体" w:hAnsi="宋体" w:cs="宋体"/>
          <w:b/>
          <w:bCs/>
          <w:sz w:val="24"/>
          <w:lang w:eastAsia="zh-CN"/>
        </w:rPr>
        <w:t>第二十八条</w:t>
      </w:r>
      <w:r>
        <w:rPr>
          <w:rFonts w:ascii="宋体" w:hAnsi="宋体" w:cs="宋体"/>
          <w:sz w:val="24"/>
          <w:lang w:val="en-US" w:eastAsia="zh-CN"/>
        </w:rPr>
        <w:t xml:space="preserve"> </w:t>
      </w:r>
      <w:r>
        <w:rPr>
          <w:rFonts w:ascii="宋体" w:hAnsi="宋体" w:cs="宋体"/>
          <w:sz w:val="24"/>
        </w:rPr>
        <w:t>考核组织机构及职责划分</w:t>
      </w:r>
    </w:p>
    <w:p>
      <w:pPr>
        <w:pStyle w:val="Normal"/>
        <w:widowControl/>
        <w:numPr>
          <w:ilvl w:val="6"/>
          <w:numId w:val="5"/>
        </w:numPr>
        <w:spacing w:lineRule="auto" w:line="360"/>
        <w:ind w:start="3240" w:hanging="2814"/>
        <w:jc w:val="start"/>
        <w:rPr>
          <w:rFonts w:ascii="宋体" w:hAnsi="宋体" w:cs="宋体"/>
          <w:sz w:val="24"/>
        </w:rPr>
      </w:pPr>
      <w:r>
        <w:rPr>
          <w:rFonts w:ascii="宋体" w:hAnsi="宋体" w:cs="宋体"/>
          <w:sz w:val="24"/>
        </w:rPr>
        <w:t>考核管理委员会</w:t>
      </w:r>
    </w:p>
    <w:p>
      <w:pPr>
        <w:pStyle w:val="Normal"/>
        <w:spacing w:lineRule="auto" w:line="360"/>
        <w:ind w:firstLine="476"/>
        <w:rPr>
          <w:sz w:val="24"/>
        </w:rPr>
      </w:pPr>
      <w:r>
        <w:rPr>
          <w:sz w:val="24"/>
        </w:rPr>
        <w:t>考核管理委员会是公司考核的最高决策机构，由</w:t>
      </w:r>
      <w:r>
        <w:rPr>
          <w:sz w:val="24"/>
          <w:lang w:eastAsia="zh-CN"/>
        </w:rPr>
        <w:t>董事长、</w:t>
      </w:r>
      <w:r>
        <w:rPr>
          <w:sz w:val="24"/>
        </w:rPr>
        <w:t>总经理、副总经理、各部门负责人、财务部、人力资源部</w:t>
      </w:r>
      <w:r>
        <w:rPr>
          <w:sz w:val="24"/>
          <w:lang w:eastAsia="zh-CN"/>
        </w:rPr>
        <w:t>、行政部、各车间主管</w:t>
      </w:r>
      <w:r>
        <w:rPr>
          <w:sz w:val="24"/>
        </w:rPr>
        <w:t>组成，承担以下职责：</w:t>
      </w:r>
    </w:p>
    <w:p>
      <w:pPr>
        <w:pStyle w:val="Style12"/>
        <w:numPr>
          <w:ilvl w:val="0"/>
          <w:numId w:val="0"/>
        </w:numPr>
        <w:tabs>
          <w:tab w:val="clear" w:pos="420"/>
          <w:tab w:val="left" w:pos="980" w:leader="none"/>
        </w:tabs>
        <w:spacing w:lineRule="auto" w:line="360" w:before="0" w:after="0"/>
        <w:ind w:start="510" w:hanging="0"/>
        <w:rPr>
          <w:color w:val="000000"/>
          <w:sz w:val="24"/>
        </w:rPr>
      </w:pPr>
      <w:r>
        <w:rPr>
          <w:color w:val="000000"/>
          <w:sz w:val="24"/>
          <w:lang w:val="en-US" w:eastAsia="zh-CN"/>
        </w:rPr>
        <w:t>1</w:t>
      </w:r>
      <w:r>
        <w:rPr>
          <w:color w:val="000000"/>
          <w:sz w:val="24"/>
          <w:lang w:val="en-US" w:eastAsia="zh-CN"/>
        </w:rPr>
        <w:t>、</w:t>
      </w:r>
      <w:r>
        <w:rPr>
          <w:color w:val="000000"/>
          <w:sz w:val="24"/>
        </w:rPr>
        <w:t>考核制度及相关制度修订的审批；</w:t>
      </w:r>
    </w:p>
    <w:p>
      <w:pPr>
        <w:pStyle w:val="Style12"/>
        <w:numPr>
          <w:ilvl w:val="0"/>
          <w:numId w:val="0"/>
        </w:numPr>
        <w:tabs>
          <w:tab w:val="clear" w:pos="420"/>
          <w:tab w:val="left" w:pos="980" w:leader="none"/>
        </w:tabs>
        <w:spacing w:lineRule="auto" w:line="360" w:before="0" w:after="0"/>
        <w:ind w:start="510" w:hanging="0"/>
        <w:rPr>
          <w:color w:val="000000"/>
          <w:sz w:val="24"/>
        </w:rPr>
      </w:pPr>
      <w:r>
        <w:rPr>
          <w:color w:val="000000"/>
          <w:sz w:val="24"/>
          <w:lang w:val="en-US" w:eastAsia="zh-CN"/>
        </w:rPr>
        <w:t>2</w:t>
      </w:r>
      <w:r>
        <w:rPr>
          <w:color w:val="000000"/>
          <w:sz w:val="24"/>
          <w:lang w:val="en-US" w:eastAsia="zh-CN"/>
        </w:rPr>
        <w:t>、</w:t>
      </w:r>
      <w:r>
        <w:rPr>
          <w:color w:val="000000"/>
          <w:sz w:val="24"/>
        </w:rPr>
        <w:t>月度和年度考核结果的评议和审批；</w:t>
      </w:r>
    </w:p>
    <w:p>
      <w:pPr>
        <w:pStyle w:val="Style12"/>
        <w:numPr>
          <w:ilvl w:val="0"/>
          <w:numId w:val="0"/>
        </w:numPr>
        <w:tabs>
          <w:tab w:val="clear" w:pos="420"/>
          <w:tab w:val="left" w:pos="980" w:leader="none"/>
        </w:tabs>
        <w:spacing w:lineRule="auto" w:line="360" w:before="0" w:after="0"/>
        <w:ind w:start="510" w:hanging="0"/>
        <w:rPr>
          <w:color w:val="000000"/>
          <w:sz w:val="24"/>
        </w:rPr>
      </w:pPr>
      <w:r>
        <w:rPr>
          <w:color w:val="000000"/>
          <w:sz w:val="24"/>
          <w:lang w:val="en-US" w:eastAsia="zh-CN"/>
        </w:rPr>
        <w:t>3</w:t>
      </w:r>
      <w:r>
        <w:rPr>
          <w:color w:val="000000"/>
          <w:sz w:val="24"/>
          <w:lang w:val="en-US" w:eastAsia="zh-CN"/>
        </w:rPr>
        <w:t>、</w:t>
      </w:r>
      <w:r>
        <w:rPr>
          <w:color w:val="000000"/>
          <w:sz w:val="24"/>
        </w:rPr>
        <w:t>员工工资的调整和考核等级比例的确定；</w:t>
      </w:r>
      <w:r>
        <w:rPr>
          <w:rFonts w:eastAsia="Times New Roman"/>
          <w:color w:val="000000"/>
          <w:sz w:val="24"/>
        </w:rPr>
        <w:t xml:space="preserve"> </w:t>
      </w:r>
    </w:p>
    <w:p>
      <w:pPr>
        <w:pStyle w:val="Style12"/>
        <w:numPr>
          <w:ilvl w:val="0"/>
          <w:numId w:val="0"/>
        </w:numPr>
        <w:tabs>
          <w:tab w:val="clear" w:pos="420"/>
          <w:tab w:val="left" w:pos="980" w:leader="none"/>
        </w:tabs>
        <w:spacing w:lineRule="auto" w:line="360" w:before="0" w:after="0"/>
        <w:ind w:start="510" w:hanging="0"/>
        <w:rPr>
          <w:color w:val="000000"/>
          <w:sz w:val="24"/>
        </w:rPr>
      </w:pPr>
      <w:r>
        <w:rPr>
          <w:color w:val="000000"/>
          <w:sz w:val="24"/>
          <w:lang w:val="en-US" w:eastAsia="zh-CN"/>
        </w:rPr>
        <w:t>4</w:t>
      </w:r>
      <w:r>
        <w:rPr>
          <w:color w:val="000000"/>
          <w:sz w:val="24"/>
          <w:lang w:val="en-US" w:eastAsia="zh-CN"/>
        </w:rPr>
        <w:t>、</w:t>
      </w:r>
      <w:r>
        <w:rPr>
          <w:color w:val="000000"/>
          <w:sz w:val="24"/>
        </w:rPr>
        <w:t>员工考核申诉的最终处理。</w:t>
      </w:r>
    </w:p>
    <w:p>
      <w:pPr>
        <w:pStyle w:val="Normal"/>
        <w:widowControl/>
        <w:numPr>
          <w:ilvl w:val="0"/>
          <w:numId w:val="0"/>
        </w:numPr>
        <w:spacing w:lineRule="auto" w:line="360"/>
        <w:ind w:start="397" w:hanging="0"/>
        <w:jc w:val="start"/>
        <w:rPr>
          <w:rFonts w:ascii="宋体" w:hAnsi="宋体" w:cs="宋体"/>
          <w:sz w:val="24"/>
        </w:rPr>
      </w:pPr>
      <w:r>
        <w:rPr>
          <w:rFonts w:ascii="宋体" w:hAnsi="宋体" w:cs="宋体"/>
          <w:sz w:val="24"/>
          <w:lang w:eastAsia="zh-CN"/>
        </w:rPr>
        <w:t>（二）</w:t>
      </w:r>
      <w:r>
        <w:rPr>
          <w:rFonts w:ascii="宋体" w:hAnsi="宋体" w:cs="宋体"/>
          <w:sz w:val="24"/>
        </w:rPr>
        <w:t>人力资源部</w:t>
      </w:r>
    </w:p>
    <w:p>
      <w:pPr>
        <w:pStyle w:val="Normal"/>
        <w:widowControl/>
        <w:spacing w:lineRule="auto" w:line="360"/>
        <w:ind w:firstLine="480"/>
        <w:jc w:val="start"/>
        <w:rPr>
          <w:rFonts w:ascii="宋体" w:hAnsi="宋体" w:cs="宋体"/>
          <w:sz w:val="24"/>
        </w:rPr>
      </w:pPr>
      <w:r>
        <w:rPr>
          <w:rFonts w:cs="宋体" w:ascii="宋体" w:hAnsi="宋体"/>
          <w:sz w:val="24"/>
          <w:lang w:val="en-US" w:eastAsia="zh-CN"/>
        </w:rPr>
        <w:t xml:space="preserve">  </w:t>
      </w:r>
      <w:r>
        <w:rPr>
          <w:rFonts w:ascii="宋体" w:hAnsi="宋体" w:cs="宋体"/>
          <w:sz w:val="24"/>
        </w:rPr>
        <w:t>考核工作具体组织执行的常设机构，主要负责：</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1</w:t>
      </w:r>
      <w:r>
        <w:rPr>
          <w:bCs w:val="false"/>
          <w:sz w:val="24"/>
          <w:lang w:val="en-US" w:eastAsia="zh-CN"/>
        </w:rPr>
        <w:t>、</w:t>
      </w:r>
      <w:r>
        <w:rPr>
          <w:bCs w:val="false"/>
          <w:sz w:val="24"/>
        </w:rPr>
        <w:t>对考核各项工作进行组织、培训和指导；</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2</w:t>
      </w:r>
      <w:r>
        <w:rPr>
          <w:bCs w:val="false"/>
          <w:sz w:val="24"/>
          <w:lang w:val="en-US" w:eastAsia="zh-CN"/>
        </w:rPr>
        <w:t>、</w:t>
      </w:r>
      <w:r>
        <w:rPr>
          <w:bCs w:val="false"/>
          <w:sz w:val="24"/>
        </w:rPr>
        <w:t>对考核过程进行监督与检查；</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3</w:t>
      </w:r>
      <w:r>
        <w:rPr>
          <w:bCs w:val="false"/>
          <w:sz w:val="24"/>
          <w:lang w:val="en-US" w:eastAsia="zh-CN"/>
        </w:rPr>
        <w:t>、</w:t>
      </w:r>
      <w:r>
        <w:rPr>
          <w:bCs w:val="false"/>
          <w:sz w:val="24"/>
        </w:rPr>
        <w:t>汇总统计考核评分结果，形成考核总结报告；</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4</w:t>
      </w:r>
      <w:r>
        <w:rPr>
          <w:bCs w:val="false"/>
          <w:sz w:val="24"/>
          <w:lang w:val="en-US" w:eastAsia="zh-CN"/>
        </w:rPr>
        <w:t>、</w:t>
      </w:r>
      <w:r>
        <w:rPr>
          <w:bCs w:val="false"/>
          <w:sz w:val="24"/>
        </w:rPr>
        <w:t>协调、处理各级人员关于考核申诉的具体工作；</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5</w:t>
      </w:r>
      <w:r>
        <w:rPr>
          <w:bCs w:val="false"/>
          <w:sz w:val="24"/>
          <w:lang w:val="en-US" w:eastAsia="zh-CN"/>
        </w:rPr>
        <w:t>、</w:t>
      </w:r>
      <w:r>
        <w:rPr>
          <w:bCs w:val="false"/>
          <w:sz w:val="24"/>
        </w:rPr>
        <w:t>对月度、年度考核工作情况进行通报；对考核过程中不规范行为进行纠正、指导与处罚；</w:t>
      </w:r>
    </w:p>
    <w:p>
      <w:pPr>
        <w:pStyle w:val="Style12"/>
        <w:numPr>
          <w:ilvl w:val="0"/>
          <w:numId w:val="0"/>
        </w:numPr>
        <w:tabs>
          <w:tab w:val="clear" w:pos="420"/>
          <w:tab w:val="left" w:pos="980" w:leader="none"/>
        </w:tabs>
        <w:spacing w:lineRule="auto" w:line="360" w:before="0" w:after="0"/>
        <w:ind w:start="510" w:hanging="0"/>
        <w:rPr>
          <w:bCs w:val="false"/>
          <w:sz w:val="24"/>
        </w:rPr>
      </w:pPr>
      <w:r>
        <w:rPr>
          <w:bCs w:val="false"/>
          <w:sz w:val="24"/>
          <w:lang w:val="en-US" w:eastAsia="zh-CN"/>
        </w:rPr>
        <w:t>6</w:t>
      </w:r>
      <w:r>
        <w:rPr>
          <w:bCs w:val="false"/>
          <w:sz w:val="24"/>
          <w:lang w:val="en-US" w:eastAsia="zh-CN"/>
        </w:rPr>
        <w:t>、</w:t>
      </w:r>
      <w:r>
        <w:rPr>
          <w:bCs w:val="false"/>
          <w:sz w:val="24"/>
        </w:rPr>
        <w:t>为员工建立考核档案，作为薪</w:t>
      </w:r>
      <w:r>
        <w:rPr>
          <w:bCs w:val="false"/>
          <w:sz w:val="24"/>
          <w:lang w:eastAsia="zh-CN"/>
        </w:rPr>
        <w:t>资</w:t>
      </w:r>
      <w:r>
        <w:rPr>
          <w:bCs w:val="false"/>
          <w:sz w:val="24"/>
        </w:rPr>
        <w:t>调整、职务升降、岗位调动、培训、奖惩等的依据；</w:t>
      </w:r>
    </w:p>
    <w:p>
      <w:pPr>
        <w:pStyle w:val="Style12"/>
        <w:numPr>
          <w:ilvl w:val="0"/>
          <w:numId w:val="0"/>
        </w:numPr>
        <w:tabs>
          <w:tab w:val="clear" w:pos="420"/>
          <w:tab w:val="left" w:pos="980" w:leader="none"/>
        </w:tabs>
        <w:spacing w:lineRule="auto" w:line="360" w:before="0" w:after="0"/>
        <w:ind w:start="510" w:hanging="0"/>
        <w:rPr>
          <w:sz w:val="24"/>
        </w:rPr>
      </w:pPr>
      <w:r>
        <w:rPr>
          <w:bCs w:val="false"/>
          <w:sz w:val="24"/>
          <w:lang w:val="en-US" w:eastAsia="zh-CN"/>
        </w:rPr>
        <w:t>7</w:t>
      </w:r>
      <w:r>
        <w:rPr>
          <w:bCs w:val="false"/>
          <w:sz w:val="24"/>
          <w:lang w:val="en-US" w:eastAsia="zh-CN"/>
        </w:rPr>
        <w:t>、</w:t>
      </w:r>
      <w:r>
        <w:rPr>
          <w:bCs w:val="false"/>
          <w:sz w:val="24"/>
        </w:rPr>
        <w:t>对考核制度提出修改建议。</w:t>
      </w:r>
    </w:p>
    <w:p>
      <w:pPr>
        <w:pStyle w:val="Normal"/>
        <w:widowControl/>
        <w:numPr>
          <w:ilvl w:val="0"/>
          <w:numId w:val="0"/>
        </w:numPr>
        <w:spacing w:lineRule="auto" w:line="360"/>
        <w:ind w:start="397" w:hanging="0"/>
        <w:jc w:val="start"/>
        <w:rPr>
          <w:sz w:val="24"/>
        </w:rPr>
      </w:pPr>
      <w:r>
        <w:rPr>
          <w:sz w:val="24"/>
          <w:lang w:eastAsia="zh-CN"/>
        </w:rPr>
        <w:t>（三）</w:t>
      </w:r>
      <w:r>
        <w:rPr>
          <w:sz w:val="24"/>
        </w:rPr>
        <w:t>各部门负责人的职责</w:t>
      </w:r>
    </w:p>
    <w:p>
      <w:pPr>
        <w:pStyle w:val="Normal"/>
        <w:numPr>
          <w:ilvl w:val="0"/>
          <w:numId w:val="0"/>
        </w:numPr>
        <w:spacing w:lineRule="auto" w:line="360"/>
        <w:ind w:start="510" w:hanging="0"/>
        <w:rPr>
          <w:sz w:val="24"/>
        </w:rPr>
      </w:pPr>
      <w:r>
        <w:rPr>
          <w:rFonts w:eastAsia="Times New Roman"/>
          <w:sz w:val="24"/>
          <w:lang w:val="en-US" w:eastAsia="zh-CN"/>
        </w:rPr>
        <w:t xml:space="preserve">  </w:t>
      </w:r>
      <w:r>
        <w:rPr>
          <w:sz w:val="24"/>
          <w:lang w:val="en-US" w:eastAsia="zh-CN"/>
        </w:rPr>
        <w:t>1</w:t>
      </w:r>
      <w:r>
        <w:rPr>
          <w:sz w:val="24"/>
          <w:lang w:val="en-US" w:eastAsia="zh-CN"/>
        </w:rPr>
        <w:t>、</w:t>
      </w:r>
      <w:r>
        <w:rPr>
          <w:sz w:val="24"/>
        </w:rPr>
        <w:t>负责帮助本部门员工制定工作计划、考核指标并制定下属的考核表；</w:t>
      </w:r>
    </w:p>
    <w:p>
      <w:pPr>
        <w:pStyle w:val="Normal"/>
        <w:numPr>
          <w:ilvl w:val="0"/>
          <w:numId w:val="0"/>
        </w:numPr>
        <w:spacing w:lineRule="auto" w:line="360"/>
        <w:ind w:start="510" w:hanging="0"/>
        <w:rPr>
          <w:sz w:val="24"/>
        </w:rPr>
      </w:pPr>
      <w:r>
        <w:rPr>
          <w:rFonts w:eastAsia="Times New Roman"/>
          <w:sz w:val="24"/>
          <w:lang w:val="en-US" w:eastAsia="zh-CN"/>
        </w:rPr>
        <w:t xml:space="preserve">  </w:t>
      </w:r>
      <w:r>
        <w:rPr>
          <w:sz w:val="24"/>
          <w:lang w:val="en-US" w:eastAsia="zh-CN"/>
        </w:rPr>
        <w:t>2</w:t>
      </w:r>
      <w:r>
        <w:rPr>
          <w:sz w:val="24"/>
          <w:lang w:val="en-US" w:eastAsia="zh-CN"/>
        </w:rPr>
        <w:t>、</w:t>
      </w:r>
      <w:r>
        <w:rPr>
          <w:sz w:val="24"/>
        </w:rPr>
        <w:t>负责本部门员工考核和等级评定；</w:t>
      </w:r>
    </w:p>
    <w:p>
      <w:pPr>
        <w:pStyle w:val="Normal"/>
        <w:numPr>
          <w:ilvl w:val="0"/>
          <w:numId w:val="0"/>
        </w:numPr>
        <w:spacing w:lineRule="auto" w:line="360"/>
        <w:ind w:start="510" w:hanging="0"/>
        <w:rPr>
          <w:sz w:val="24"/>
        </w:rPr>
      </w:pPr>
      <w:r>
        <w:rPr>
          <w:rFonts w:eastAsia="Times New Roman"/>
          <w:sz w:val="24"/>
          <w:lang w:val="en-US" w:eastAsia="zh-CN"/>
        </w:rPr>
        <w:t xml:space="preserve">  </w:t>
      </w:r>
      <w:r>
        <w:rPr>
          <w:sz w:val="24"/>
          <w:lang w:val="en-US" w:eastAsia="zh-CN"/>
        </w:rPr>
        <w:t>3</w:t>
      </w:r>
      <w:r>
        <w:rPr>
          <w:sz w:val="24"/>
          <w:lang w:val="en-US" w:eastAsia="zh-CN"/>
        </w:rPr>
        <w:t>、</w:t>
      </w:r>
      <w:r>
        <w:rPr>
          <w:sz w:val="24"/>
        </w:rPr>
        <w:t>负责根据考核结果帮助员工制定改进计划。</w:t>
      </w:r>
    </w:p>
    <w:p>
      <w:pPr>
        <w:pStyle w:val="Normal"/>
        <w:numPr>
          <w:ilvl w:val="0"/>
          <w:numId w:val="0"/>
        </w:numPr>
        <w:spacing w:lineRule="auto" w:line="360"/>
        <w:ind w:start="510" w:hanging="0"/>
        <w:rPr>
          <w:sz w:val="24"/>
        </w:rPr>
      </w:pPr>
      <w:r>
        <w:rPr>
          <w:b/>
          <w:bCs/>
          <w:sz w:val="24"/>
          <w:lang w:eastAsia="zh-CN"/>
        </w:rPr>
        <w:t>第二十九条</w:t>
      </w:r>
      <w:r>
        <w:rPr>
          <w:rFonts w:eastAsia="Times New Roman"/>
          <w:sz w:val="24"/>
          <w:lang w:val="en-US" w:eastAsia="zh-CN"/>
        </w:rPr>
        <w:t xml:space="preserve"> </w:t>
      </w:r>
      <w:r>
        <w:rPr>
          <w:sz w:val="24"/>
        </w:rPr>
        <w:t>考核申诉提交</w:t>
      </w:r>
    </w:p>
    <w:p>
      <w:pPr>
        <w:pStyle w:val="21"/>
        <w:snapToGrid w:val="false"/>
        <w:spacing w:lineRule="auto" w:line="360" w:before="0" w:after="0"/>
        <w:ind w:start="0" w:firstLine="425"/>
        <w:rPr>
          <w:sz w:val="24"/>
        </w:rPr>
      </w:pPr>
      <w:r>
        <w:rPr>
          <w:rFonts w:eastAsia="Times New Roman"/>
          <w:sz w:val="24"/>
          <w:lang w:val="en-US" w:eastAsia="zh-CN"/>
        </w:rPr>
        <w:t xml:space="preserve">   </w:t>
      </w:r>
      <w:r>
        <w:rPr>
          <w:sz w:val="24"/>
        </w:rPr>
        <w:t>被考核人如对考核结果不清楚或者持有异议，可以采取书面形式向人力资源部提交申诉书。申诉书内容包括：申诉人姓名、部门、申诉事项、申诉理由。</w:t>
      </w:r>
    </w:p>
    <w:p>
      <w:pPr>
        <w:pStyle w:val="Normal"/>
        <w:numPr>
          <w:ilvl w:val="0"/>
          <w:numId w:val="0"/>
        </w:numPr>
        <w:spacing w:lineRule="auto" w:line="360"/>
        <w:ind w:start="510" w:hanging="0"/>
        <w:rPr>
          <w:sz w:val="24"/>
        </w:rPr>
      </w:pPr>
      <w:r>
        <w:rPr>
          <w:b/>
          <w:bCs/>
          <w:sz w:val="24"/>
          <w:lang w:eastAsia="zh-CN"/>
        </w:rPr>
        <w:t>第三十条</w:t>
      </w:r>
      <w:r>
        <w:rPr>
          <w:rFonts w:eastAsia="Times New Roman"/>
          <w:b/>
          <w:bCs/>
          <w:sz w:val="24"/>
          <w:lang w:val="en-US" w:eastAsia="zh-CN"/>
        </w:rPr>
        <w:t xml:space="preserve"> </w:t>
      </w:r>
      <w:r>
        <w:rPr>
          <w:sz w:val="24"/>
        </w:rPr>
        <w:t>申诉受理机构</w:t>
      </w:r>
    </w:p>
    <w:p>
      <w:pPr>
        <w:pStyle w:val="Normal"/>
        <w:spacing w:lineRule="auto" w:line="360"/>
        <w:ind w:firstLine="476"/>
        <w:rPr>
          <w:sz w:val="24"/>
        </w:rPr>
      </w:pPr>
      <w:r>
        <w:rPr>
          <w:rFonts w:eastAsia="Times New Roman"/>
          <w:sz w:val="24"/>
          <w:lang w:val="en-US" w:eastAsia="zh-CN"/>
        </w:rPr>
        <w:t xml:space="preserve">   </w:t>
      </w:r>
      <w:r>
        <w:rPr>
          <w:sz w:val="24"/>
          <w:lang w:val="en-US" w:eastAsia="zh-CN"/>
        </w:rPr>
        <w:t>（一）</w:t>
      </w:r>
      <w:r>
        <w:rPr>
          <w:sz w:val="24"/>
        </w:rPr>
        <w:t>考核管理委员会是员工考核申诉的最终机构。人力资源部是考核管理委员会的日常办事机构，一般申诉由人力资源部负责调查协调，提出建议，重大申诉事项提交考核管理委员会受理。</w:t>
      </w:r>
    </w:p>
    <w:p>
      <w:pPr>
        <w:pStyle w:val="Normal"/>
        <w:spacing w:lineRule="auto" w:line="360"/>
        <w:ind w:firstLine="476"/>
        <w:rPr>
          <w:sz w:val="24"/>
        </w:rPr>
      </w:pPr>
      <w:r>
        <w:rPr>
          <w:rFonts w:eastAsia="Times New Roman"/>
          <w:sz w:val="24"/>
          <w:lang w:val="en-US" w:eastAsia="zh-CN"/>
        </w:rPr>
        <w:t xml:space="preserve">  </w:t>
      </w:r>
      <w:r>
        <w:rPr>
          <w:sz w:val="24"/>
          <w:lang w:val="en-US" w:eastAsia="zh-CN"/>
        </w:rPr>
        <w:t>（二）</w:t>
      </w:r>
      <w:r>
        <w:rPr>
          <w:sz w:val="24"/>
        </w:rPr>
        <w:t>如果暂未成立考核委员会，则由人力资源部代行考核委员会职责。</w:t>
      </w:r>
    </w:p>
    <w:p>
      <w:pPr>
        <w:pStyle w:val="Normal"/>
        <w:numPr>
          <w:ilvl w:val="0"/>
          <w:numId w:val="0"/>
        </w:numPr>
        <w:spacing w:lineRule="auto" w:line="360"/>
        <w:ind w:start="510" w:hanging="0"/>
        <w:rPr>
          <w:sz w:val="24"/>
        </w:rPr>
      </w:pPr>
      <w:r>
        <w:rPr>
          <w:b/>
          <w:bCs/>
          <w:sz w:val="24"/>
          <w:lang w:eastAsia="zh-CN"/>
        </w:rPr>
        <w:t>第三十一条</w:t>
      </w:r>
      <w:r>
        <w:rPr>
          <w:rFonts w:eastAsia="Times New Roman"/>
          <w:b/>
          <w:bCs/>
          <w:sz w:val="24"/>
          <w:lang w:val="en-US" w:eastAsia="zh-CN"/>
        </w:rPr>
        <w:t xml:space="preserve"> </w:t>
      </w:r>
      <w:r>
        <w:rPr>
          <w:rFonts w:eastAsia="Times New Roman"/>
          <w:sz w:val="24"/>
        </w:rPr>
        <w:t xml:space="preserve"> </w:t>
      </w:r>
      <w:r>
        <w:rPr>
          <w:sz w:val="24"/>
        </w:rPr>
        <w:t>申诉受理</w:t>
      </w:r>
    </w:p>
    <w:p>
      <w:pPr>
        <w:pStyle w:val="Normal"/>
        <w:numPr>
          <w:ilvl w:val="0"/>
          <w:numId w:val="0"/>
        </w:numPr>
        <w:spacing w:lineRule="auto" w:line="360"/>
        <w:ind w:start="397" w:hanging="0"/>
        <w:rPr>
          <w:sz w:val="24"/>
        </w:rPr>
      </w:pPr>
      <w:r>
        <w:rPr>
          <w:rFonts w:eastAsia="Times New Roman"/>
          <w:sz w:val="24"/>
          <w:lang w:val="en-US" w:eastAsia="zh-CN"/>
        </w:rPr>
        <w:t xml:space="preserve">  </w:t>
      </w:r>
      <w:r>
        <w:rPr>
          <w:sz w:val="24"/>
          <w:lang w:val="en-US" w:eastAsia="zh-CN"/>
        </w:rPr>
        <w:t>（一）</w:t>
      </w:r>
      <w:r>
        <w:rPr>
          <w:sz w:val="24"/>
        </w:rPr>
        <w:t>人力资源部接到员工申诉后，应在三个工作日做出是否受理的答复。对于申诉事项无客观事实依据，仅凭主观臆断的申诉不予受理。</w:t>
      </w:r>
    </w:p>
    <w:p>
      <w:pPr>
        <w:pStyle w:val="Normal"/>
        <w:numPr>
          <w:ilvl w:val="0"/>
          <w:numId w:val="0"/>
        </w:numPr>
        <w:spacing w:lineRule="auto" w:line="360"/>
        <w:ind w:start="397" w:hanging="0"/>
        <w:rPr>
          <w:sz w:val="24"/>
        </w:rPr>
      </w:pPr>
      <w:r>
        <w:rPr>
          <w:rFonts w:eastAsia="Times New Roman"/>
          <w:sz w:val="24"/>
          <w:lang w:val="en-US" w:eastAsia="zh-CN"/>
        </w:rPr>
        <w:t xml:space="preserve">  </w:t>
      </w:r>
      <w:r>
        <w:rPr>
          <w:sz w:val="24"/>
          <w:lang w:val="en-US" w:eastAsia="zh-CN"/>
        </w:rPr>
        <w:t>（二）</w:t>
      </w:r>
      <w:r>
        <w:rPr>
          <w:sz w:val="24"/>
        </w:rPr>
        <w:t>受理的申诉事件，首先由人力资源部对员工申诉内容进行调查，然后与员工所在部门负责人进行协调、沟通。不能协调的，人力资源部上报考核管理委员会处理。</w:t>
      </w:r>
    </w:p>
    <w:p>
      <w:pPr>
        <w:pStyle w:val="Normal"/>
        <w:numPr>
          <w:ilvl w:val="0"/>
          <w:numId w:val="0"/>
        </w:numPr>
        <w:spacing w:lineRule="auto" w:line="360"/>
        <w:ind w:start="397" w:hanging="0"/>
        <w:rPr>
          <w:sz w:val="24"/>
        </w:rPr>
      </w:pPr>
      <w:r>
        <w:rPr>
          <w:rFonts w:eastAsia="Times New Roman"/>
          <w:sz w:val="24"/>
          <w:lang w:val="en-US" w:eastAsia="zh-CN"/>
        </w:rPr>
        <w:t xml:space="preserve">   </w:t>
      </w:r>
      <w:r>
        <w:rPr>
          <w:sz w:val="24"/>
          <w:lang w:val="en-US" w:eastAsia="zh-CN"/>
        </w:rPr>
        <w:t>(</w:t>
      </w:r>
      <w:r>
        <w:rPr>
          <w:sz w:val="24"/>
          <w:lang w:val="en-US" w:eastAsia="zh-CN"/>
        </w:rPr>
        <w:t>三）</w:t>
      </w:r>
      <w:r>
        <w:rPr>
          <w:sz w:val="24"/>
        </w:rPr>
        <w:t>申诉处理答复：人力资源部应在接到申诉申请书的十五个工作日内明确答复申诉人；人力资源部不能解决的申诉，应及时上报考核管理委员会处理，并将进展情况告知申诉人。考核管理委员会在接到申诉处理记录后，一周内必须就申诉的内容组织审查，并将处理结果通知申诉人。</w:t>
      </w:r>
    </w:p>
    <w:p>
      <w:pPr>
        <w:pStyle w:val="Normal"/>
        <w:numPr>
          <w:ilvl w:val="0"/>
          <w:numId w:val="0"/>
        </w:numPr>
        <w:spacing w:lineRule="auto" w:line="360"/>
        <w:ind w:start="397" w:hanging="0"/>
        <w:rPr>
          <w:sz w:val="24"/>
        </w:rPr>
      </w:pPr>
      <w:r>
        <w:rPr>
          <w:rFonts w:eastAsia="Times New Roman"/>
          <w:sz w:val="24"/>
          <w:lang w:val="en-US" w:eastAsia="zh-CN"/>
        </w:rPr>
        <w:t xml:space="preserve"> </w:t>
      </w:r>
      <w:r>
        <w:rPr>
          <w:sz w:val="24"/>
          <w:lang w:val="en-US" w:eastAsia="zh-CN"/>
        </w:rPr>
        <w:t>（四）</w:t>
      </w:r>
      <w:r>
        <w:rPr>
          <w:sz w:val="24"/>
        </w:rPr>
        <w:t>见附件《申诉流程图》。</w:t>
      </w:r>
    </w:p>
    <w:p>
      <w:pPr>
        <w:pStyle w:val="Normal"/>
        <w:spacing w:lineRule="auto" w:line="360"/>
        <w:rPr>
          <w:sz w:val="24"/>
        </w:rPr>
      </w:pPr>
      <w:r>
        <w:rPr>
          <w:sz w:val="24"/>
        </w:rPr>
      </w:r>
    </w:p>
    <w:p>
      <w:pPr>
        <w:pStyle w:val="Normal"/>
        <w:spacing w:lineRule="auto" w:line="360"/>
        <w:rPr>
          <w:sz w:val="24"/>
          <w:szCs w:val="21"/>
        </w:rPr>
      </w:pPr>
      <w:r>
        <w:rPr>
          <w:sz w:val="24"/>
          <w:szCs w:val="21"/>
        </w:rPr>
      </w:r>
    </w:p>
    <w:p>
      <w:pPr>
        <w:pStyle w:val="Normal"/>
        <w:spacing w:lineRule="auto" w:line="360"/>
        <w:rPr>
          <w:sz w:val="24"/>
          <w:szCs w:val="21"/>
        </w:rPr>
      </w:pPr>
      <w:r>
        <w:rPr>
          <w:sz w:val="24"/>
          <w:szCs w:val="21"/>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p>
    <w:p>
      <w:pPr>
        <w:pStyle w:val="Normal"/>
        <w:spacing w:lineRule="auto" w:line="360"/>
        <w:rPr>
          <w:sz w:val="24"/>
        </w:rPr>
      </w:pPr>
      <w:r>
        <w:rPr>
          <w:sz w:val="24"/>
        </w:rPr>
      </w:r>
      <w:r>
        <w:br w:type="page"/>
      </w:r>
    </w:p>
    <w:p>
      <w:pPr>
        <w:pStyle w:val="Normal"/>
        <w:spacing w:lineRule="auto" w:line="360"/>
        <w:rPr>
          <w:sz w:val="24"/>
        </w:rPr>
      </w:pPr>
      <w:r>
        <w:rPr>
          <w:sz w:val="24"/>
        </w:rPr>
      </w:r>
    </w:p>
    <w:p>
      <w:pPr>
        <w:pStyle w:val="Normal"/>
        <w:rPr>
          <w:b/>
          <w:b/>
          <w:bCs/>
          <w:szCs w:val="21"/>
        </w:rPr>
      </w:pPr>
      <w:r>
        <w:rPr>
          <w:b/>
          <w:bCs/>
          <w:szCs w:val="21"/>
        </w:rPr>
        <w:t>附：考核申诉流程图、表格</w:t>
      </w:r>
    </w:p>
    <w:p>
      <w:pPr>
        <w:pStyle w:val="Normal"/>
        <w:rPr>
          <w:b/>
          <w:b/>
          <w:bCs/>
          <w:sz w:val="24"/>
          <w:szCs w:val="21"/>
        </w:rPr>
      </w:pPr>
      <w:r>
        <w:rPr>
          <w:b/>
          <w:bCs/>
          <w:sz w:val="24"/>
          <w:szCs w:val="21"/>
        </w:rPr>
      </w:r>
    </w:p>
    <w:p>
      <w:pPr>
        <w:pStyle w:val="Style14"/>
        <w:rPr>
          <w:rFonts w:ascii="Times New Roman" w:hAnsi="Times New Roman" w:cs="Times New Roman"/>
          <w:bCs w:val="false"/>
          <w:sz w:val="24"/>
          <w:szCs w:val="24"/>
        </w:rPr>
      </w:pPr>
      <w:r>
        <w:rPr>
          <w:rFonts w:cs="Times New Roman" w:ascii="Times New Roman" w:hAnsi="Times New Roman"/>
          <w:bCs w:val="false"/>
          <w:sz w:val="24"/>
          <w:szCs w:val="24"/>
        </w:rPr>
      </w:r>
    </w:p>
    <w:p>
      <w:pPr>
        <w:pStyle w:val="Normal"/>
        <w:numPr>
          <w:ilvl w:val="0"/>
          <w:numId w:val="0"/>
        </w:numPr>
        <w:outlineLvl w:val="0"/>
        <w:rPr>
          <w:rFonts w:ascii="宋体" w:hAnsi="宋体" w:cs="宋体"/>
          <w:b/>
          <w:b/>
          <w:bCs/>
          <w:szCs w:val="24"/>
        </w:rPr>
      </w:pPr>
      <w:r>
        <w:rPr>
          <w:rFonts w:cs="宋体" w:ascii="宋体" w:hAnsi="宋体"/>
          <w:b/>
          <w:bCs/>
          <w:szCs w:val="24"/>
        </w:rPr>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w:r>
      <w:r>
        <mc:AlternateContent>
          <mc:Choice Requires="wps">
            <w:drawing>
              <wp:anchor behindDoc="1" distT="0" distB="0" distL="114935" distR="114935" simplePos="0" locked="0" layoutInCell="0" allowOverlap="1" relativeHeight="33">
                <wp:simplePos x="0" y="0"/>
                <wp:positionH relativeFrom="column">
                  <wp:posOffset>1081405</wp:posOffset>
                </wp:positionH>
                <wp:positionV relativeFrom="paragraph">
                  <wp:posOffset>94615</wp:posOffset>
                </wp:positionV>
                <wp:extent cx="2180590" cy="273050"/>
                <wp:effectExtent l="0" t="0" r="0" b="0"/>
                <wp:wrapNone/>
                <wp:docPr id="13" name="Frame8"/>
                <a:graphic xmlns:a="http://schemas.openxmlformats.org/drawingml/2006/main">
                  <a:graphicData uri="http://schemas.microsoft.com/office/word/2010/wordprocessingShape">
                    <wps:wsp>
                      <wps:cNvSpPr txBox="1"/>
                      <wps:spPr>
                        <a:xfrm>
                          <a:off x="0" y="0"/>
                          <a:ext cx="2180590" cy="273050"/>
                        </a:xfrm>
                        <a:prstGeom prst="rect"/>
                        <a:solidFill>
                          <a:srgbClr val="FFFFFF"/>
                        </a:solidFill>
                        <a:ln w="9525">
                          <a:solidFill>
                            <a:srgbClr val="000000"/>
                          </a:solidFill>
                        </a:ln>
                      </wps:spPr>
                      <wps:txbx>
                        <w:txbxContent>
                          <w:p>
                            <w:pPr>
                              <w:pStyle w:val="Style14"/>
                              <w:jc w:val="center"/>
                              <w:rPr>
                                <w:rFonts w:ascii="Times New Roman" w:hAnsi="Times New Roman" w:cs="Times New Roman"/>
                                <w:bCs w:val="false"/>
                                <w:szCs w:val="24"/>
                              </w:rPr>
                            </w:pPr>
                            <w:r>
                              <w:rPr>
                                <w:rFonts w:ascii="Times New Roman" w:hAnsi="Times New Roman" w:cs="Times New Roman"/>
                                <w:bCs w:val="false"/>
                                <w:szCs w:val="24"/>
                              </w:rPr>
                              <w:t>员工对考核结果有异议</w:t>
                            </w:r>
                          </w:p>
                          <w:p>
                            <w:pPr>
                              <w:pStyle w:val="Normal"/>
                              <w:jc w:val="center"/>
                              <w:rPr>
                                <w:rFonts w:ascii="Times New Roman" w:hAnsi="Times New Roman" w:cs="Times New Roman"/>
                                <w:bCs/>
                                <w:szCs w:val="24"/>
                              </w:rPr>
                            </w:pPr>
                            <w:r>
                              <w:rPr>
                                <w:rFonts w:cs="Times New Roman"/>
                                <w:bCs/>
                                <w:szCs w:val="24"/>
                              </w:rPr>
                            </w:r>
                          </w:p>
                        </w:txbxContent>
                      </wps:txbx>
                      <wps:bodyPr anchor="t" lIns="6985" tIns="6985" rIns="6985" bIns="6985">
                        <a:noAutofit/>
                      </wps:bodyPr>
                    </wps:wsp>
                  </a:graphicData>
                </a:graphic>
              </wp:anchor>
            </w:drawing>
          </mc:Choice>
          <mc:Fallback>
            <w:pict>
              <v:rect fillcolor="#FFFFFF" strokecolor="#000000" strokeweight="0pt" style="position:absolute;rotation:0;width:171.7pt;height:21.5pt;mso-wrap-distance-left:9.05pt;mso-wrap-distance-right:9.05pt;mso-wrap-distance-top:0pt;mso-wrap-distance-bottom:0pt;margin-top:7.45pt;mso-position-vertical-relative:text;margin-left:85.15pt;mso-position-horizontal-relative:text">
                <v:textbox inset="0.00763888888888889in,0.00763888888888889in,0.00763888888888889in,0.00763888888888889in">
                  <w:txbxContent>
                    <w:p>
                      <w:pPr>
                        <w:pStyle w:val="Style14"/>
                        <w:jc w:val="center"/>
                        <w:rPr>
                          <w:rFonts w:ascii="Times New Roman" w:hAnsi="Times New Roman" w:cs="Times New Roman"/>
                          <w:bCs w:val="false"/>
                          <w:szCs w:val="24"/>
                        </w:rPr>
                      </w:pPr>
                      <w:r>
                        <w:rPr>
                          <w:rFonts w:ascii="Times New Roman" w:hAnsi="Times New Roman" w:cs="Times New Roman"/>
                          <w:bCs w:val="false"/>
                          <w:szCs w:val="24"/>
                        </w:rPr>
                        <w:t>员工对考核结果有异议</w:t>
                      </w:r>
                    </w:p>
                    <w:p>
                      <w:pPr>
                        <w:pStyle w:val="Normal"/>
                        <w:jc w:val="center"/>
                        <w:rPr>
                          <w:rFonts w:ascii="Times New Roman" w:hAnsi="Times New Roman" w:cs="Times New Roman"/>
                          <w:bCs/>
                          <w:szCs w:val="24"/>
                        </w:rPr>
                      </w:pPr>
                      <w:r>
                        <w:rPr>
                          <w:rFonts w:cs="Times New Roman"/>
                          <w:bCs/>
                          <w:szCs w:val="24"/>
                        </w:rPr>
                      </w:r>
                    </w:p>
                  </w:txbxContent>
                </v:textbox>
                <w10:wrap type="none"/>
              </v:rect>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12">
                <wp:simplePos x="0" y="0"/>
                <wp:positionH relativeFrom="column">
                  <wp:posOffset>2075815</wp:posOffset>
                </wp:positionH>
                <wp:positionV relativeFrom="paragraph">
                  <wp:posOffset>157480</wp:posOffset>
                </wp:positionV>
                <wp:extent cx="1270" cy="236855"/>
                <wp:effectExtent l="0" t="0" r="0" b="0"/>
                <wp:wrapNone/>
                <wp:docPr id="14" name=""/>
                <a:graphic xmlns:a="http://schemas.openxmlformats.org/drawingml/2006/main">
                  <a:graphicData uri="http://schemas.microsoft.com/office/word/2010/wordprocessingShape">
                    <wps:wsp>
                      <wps:cNvSpPr/>
                      <wps:spPr>
                        <a:xfrm>
                          <a:off x="0" y="0"/>
                          <a:ext cx="720" cy="236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3.45pt,12.4pt" to="163.45pt,30.95pt" stroked="t" style="position:absolute">
                <v:stroke color="black" weight="9360" endarrow="block" endarrowwidth="medium" endarrowlength="medium" joinstyle="miter" endcap="flat"/>
                <v:fill o:detectmouseclick="t" on="false"/>
                <w10:wrap type="none"/>
              </v:lin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w:r>
      <w:r>
        <mc:AlternateContent>
          <mc:Choice Requires="wps">
            <w:drawing>
              <wp:anchor behindDoc="1" distT="0" distB="0" distL="114935" distR="114935" simplePos="0" locked="0" layoutInCell="0" allowOverlap="1" relativeHeight="13">
                <wp:simplePos x="0" y="0"/>
                <wp:positionH relativeFrom="column">
                  <wp:posOffset>1090930</wp:posOffset>
                </wp:positionH>
                <wp:positionV relativeFrom="paragraph">
                  <wp:posOffset>156210</wp:posOffset>
                </wp:positionV>
                <wp:extent cx="2180590" cy="273050"/>
                <wp:effectExtent l="0" t="0" r="0" b="0"/>
                <wp:wrapNone/>
                <wp:docPr id="15" name="Frame9"/>
                <a:graphic xmlns:a="http://schemas.openxmlformats.org/drawingml/2006/main">
                  <a:graphicData uri="http://schemas.microsoft.com/office/word/2010/wordprocessingShape">
                    <wps:wsp>
                      <wps:cNvSpPr txBox="1"/>
                      <wps:spPr>
                        <a:xfrm>
                          <a:off x="0" y="0"/>
                          <a:ext cx="2180590" cy="273050"/>
                        </a:xfrm>
                        <a:prstGeom prst="rect"/>
                        <a:solidFill>
                          <a:srgbClr val="FFFFFF"/>
                        </a:solidFill>
                        <a:ln w="9525">
                          <a:solidFill>
                            <a:srgbClr val="000000"/>
                          </a:solidFill>
                        </a:ln>
                      </wps:spPr>
                      <wps:txbx>
                        <w:txbxContent>
                          <w:p>
                            <w:pPr>
                              <w:pStyle w:val="Normal"/>
                              <w:jc w:val="center"/>
                              <w:rPr/>
                            </w:pPr>
                            <w:r>
                              <w:rPr/>
                              <w:t>提交申述书</w:t>
                            </w:r>
                          </w:p>
                        </w:txbxContent>
                      </wps:txbx>
                      <wps:bodyPr anchor="t" lIns="6985" tIns="6985" rIns="6985" bIns="6985">
                        <a:noAutofit/>
                      </wps:bodyPr>
                    </wps:wsp>
                  </a:graphicData>
                </a:graphic>
              </wp:anchor>
            </w:drawing>
          </mc:Choice>
          <mc:Fallback>
            <w:pict>
              <v:rect fillcolor="#FFFFFF" strokecolor="#000000" strokeweight="0pt" style="position:absolute;rotation:0;width:171.7pt;height:21.5pt;mso-wrap-distance-left:9.05pt;mso-wrap-distance-right:9.05pt;mso-wrap-distance-top:0pt;mso-wrap-distance-bottom:0pt;margin-top:12.3pt;mso-position-vertical-relative:text;margin-left:85.9pt;mso-position-horizontal-relative:text">
                <v:textbox inset="0.00763888888888889in,0.00763888888888889in,0.00763888888888889in,0.00763888888888889in">
                  <w:txbxContent>
                    <w:p>
                      <w:pPr>
                        <w:pStyle w:val="Normal"/>
                        <w:jc w:val="center"/>
                        <w:rPr/>
                      </w:pPr>
                      <w:r>
                        <w:rPr/>
                        <w:t>提交申述书</w:t>
                      </w:r>
                    </w:p>
                  </w:txbxContent>
                </v:textbox>
                <w10:wrap type="none"/>
              </v:rect>
            </w:pict>
          </mc:Fallback>
        </mc:AlternateContent>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8">
                <wp:simplePos x="0" y="0"/>
                <wp:positionH relativeFrom="column">
                  <wp:posOffset>2075815</wp:posOffset>
                </wp:positionH>
                <wp:positionV relativeFrom="paragraph">
                  <wp:posOffset>66040</wp:posOffset>
                </wp:positionV>
                <wp:extent cx="1270" cy="201930"/>
                <wp:effectExtent l="0" t="0" r="0" b="0"/>
                <wp:wrapNone/>
                <wp:docPr id="16" name=""/>
                <a:graphic xmlns:a="http://schemas.openxmlformats.org/drawingml/2006/main">
                  <a:graphicData uri="http://schemas.microsoft.com/office/word/2010/wordprocessingShape">
                    <wps:wsp>
                      <wps:cNvSpPr/>
                      <wps:spPr>
                        <a:xfrm>
                          <a:off x="0" y="0"/>
                          <a:ext cx="72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3.45pt,5.2pt" to="163.45pt,21pt" stroked="t" style="position:absolute">
                <v:stroke color="black" weight="9360" endarrow="block" endarrowwidth="medium" endarrowlength="medium" joinstyle="miter" endcap="flat"/>
                <v:fill o:detectmouseclick="t" on="false"/>
                <w10:wrap type="none"/>
              </v:lin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w:r>
      <w:r>
        <mc:AlternateContent>
          <mc:Choice Requires="wps">
            <w:drawing>
              <wp:anchor behindDoc="1" distT="0" distB="0" distL="114935" distR="114935" simplePos="0" locked="0" layoutInCell="0" allowOverlap="1" relativeHeight="14">
                <wp:simplePos x="0" y="0"/>
                <wp:positionH relativeFrom="column">
                  <wp:posOffset>1078230</wp:posOffset>
                </wp:positionH>
                <wp:positionV relativeFrom="paragraph">
                  <wp:posOffset>64770</wp:posOffset>
                </wp:positionV>
                <wp:extent cx="2193290" cy="314325"/>
                <wp:effectExtent l="0" t="0" r="0" b="0"/>
                <wp:wrapNone/>
                <wp:docPr id="17" name="Frame10"/>
                <a:graphic xmlns:a="http://schemas.openxmlformats.org/drawingml/2006/main">
                  <a:graphicData uri="http://schemas.microsoft.com/office/word/2010/wordprocessingShape">
                    <wps:wsp>
                      <wps:cNvSpPr txBox="1"/>
                      <wps:spPr>
                        <a:xfrm>
                          <a:off x="0" y="0"/>
                          <a:ext cx="2193290" cy="314325"/>
                        </a:xfrm>
                        <a:prstGeom prst="rect"/>
                        <a:solidFill>
                          <a:srgbClr val="FFFFFF"/>
                        </a:solidFill>
                        <a:ln w="9525">
                          <a:solidFill>
                            <a:srgbClr val="000000"/>
                          </a:solidFill>
                        </a:ln>
                      </wps:spPr>
                      <wps:txbx>
                        <w:txbxContent>
                          <w:p>
                            <w:pPr>
                              <w:pStyle w:val="Normal"/>
                              <w:jc w:val="center"/>
                              <w:rPr/>
                            </w:pPr>
                            <w:r>
                              <w:rPr/>
                              <w:t>人力资源部调查情况</w:t>
                            </w:r>
                          </w:p>
                        </w:txbxContent>
                      </wps:txbx>
                      <wps:bodyPr anchor="t" lIns="91440" tIns="45720" rIns="91440" bIns="45720">
                        <a:noAutofit/>
                      </wps:bodyPr>
                    </wps:wsp>
                  </a:graphicData>
                </a:graphic>
              </wp:anchor>
            </w:drawing>
          </mc:Choice>
          <mc:Fallback>
            <w:pict>
              <v:rect fillcolor="#FFFFFF" strokecolor="#000000" strokeweight="0pt" style="position:absolute;rotation:0;width:172.7pt;height:24.75pt;mso-wrap-distance-left:9.05pt;mso-wrap-distance-right:9.05pt;mso-wrap-distance-top:0pt;mso-wrap-distance-bottom:0pt;margin-top:5.1pt;mso-position-vertical-relative:text;margin-left:84.9pt;mso-position-horizontal-relative:text">
                <v:textbox>
                  <w:txbxContent>
                    <w:p>
                      <w:pPr>
                        <w:pStyle w:val="Normal"/>
                        <w:jc w:val="center"/>
                        <w:rPr/>
                      </w:pPr>
                      <w:r>
                        <w:rPr/>
                        <w:t>人力资源部调查情况</w:t>
                      </w:r>
                    </w:p>
                  </w:txbxContent>
                </v:textbox>
                <w10:wrap type="none"/>
              </v:rect>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16">
                <wp:simplePos x="0" y="0"/>
                <wp:positionH relativeFrom="column">
                  <wp:posOffset>2075815</wp:posOffset>
                </wp:positionH>
                <wp:positionV relativeFrom="paragraph">
                  <wp:posOffset>172720</wp:posOffset>
                </wp:positionV>
                <wp:extent cx="1270" cy="201930"/>
                <wp:effectExtent l="0" t="0" r="0" b="0"/>
                <wp:wrapNone/>
                <wp:docPr id="18" name=""/>
                <a:graphic xmlns:a="http://schemas.openxmlformats.org/drawingml/2006/main">
                  <a:graphicData uri="http://schemas.microsoft.com/office/word/2010/wordprocessingShape">
                    <wps:wsp>
                      <wps:cNvSpPr/>
                      <wps:spPr>
                        <a:xfrm>
                          <a:off x="0" y="0"/>
                          <a:ext cx="72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3.45pt,13.6pt" to="163.45pt,29.4pt" stroked="t" style="position:absolute">
                <v:stroke color="black" weight="9360" endarrow="block" endarrowwidth="medium" endarrowlength="medium" joinstyle="miter" endcap="flat"/>
                <v:fill o:detectmouseclick="t" on="false"/>
                <w10:wrap type="none"/>
              </v:lin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15">
                <wp:simplePos x="0" y="0"/>
                <wp:positionH relativeFrom="column">
                  <wp:posOffset>884555</wp:posOffset>
                </wp:positionH>
                <wp:positionV relativeFrom="paragraph">
                  <wp:posOffset>175895</wp:posOffset>
                </wp:positionV>
                <wp:extent cx="2383155" cy="469900"/>
                <wp:effectExtent l="0" t="0" r="0" b="0"/>
                <wp:wrapNone/>
                <wp:docPr id="19" name=""/>
                <a:graphic xmlns:a="http://schemas.openxmlformats.org/drawingml/2006/main">
                  <a:graphicData uri="http://schemas.microsoft.com/office/word/2010/wordprocessingShape">
                    <wps:wsp>
                      <wps:cNvSpPr/>
                      <wps:spPr>
                        <a:xfrm>
                          <a:off x="0" y="0"/>
                          <a:ext cx="2382480" cy="46944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是否受理</w:t>
                            </w:r>
                          </w:p>
                        </w:txbxContent>
                      </wps:txbx>
                      <wps:bodyPr>
                        <a:noAutofit/>
                      </wps:bodyPr>
                    </wps:wsp>
                  </a:graphicData>
                </a:graphic>
              </wp:anchor>
            </w:drawing>
          </mc:Choice>
          <mc:Fallback>
            <w:pict>
              <v:shape id="shape_0" fillcolor="white" stroked="t" style="position:absolute;margin-left:69.65pt;margin-top:13.85pt;width:187.55pt;height:36.9pt;mso-wrap-style:square;v-text-anchor:top" type="shapetype_110">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是否受理</w:t>
                      </w:r>
                    </w:p>
                  </w:txbxContent>
                </v:textbox>
                <v:fill o:detectmouseclick="t" type="solid" color2="black"/>
                <v:stroke color="black" weight="9360" joinstyle="miter" endcap="flat"/>
                <w10:wrap type="none"/>
              </v:shap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1">
                <wp:simplePos x="0" y="0"/>
                <wp:positionH relativeFrom="column">
                  <wp:posOffset>3763645</wp:posOffset>
                </wp:positionH>
                <wp:positionV relativeFrom="paragraph">
                  <wp:posOffset>78740</wp:posOffset>
                </wp:positionV>
                <wp:extent cx="1234440" cy="318135"/>
                <wp:effectExtent l="0" t="0" r="0" b="0"/>
                <wp:wrapNone/>
                <wp:docPr id="20" name=""/>
                <a:graphic xmlns:a="http://schemas.openxmlformats.org/drawingml/2006/main">
                  <a:graphicData uri="http://schemas.microsoft.com/office/word/2010/wordprocessingShape">
                    <wps:wsp>
                      <wps:cNvSpPr/>
                      <wps:spPr>
                        <a:xfrm>
                          <a:off x="0" y="0"/>
                          <a:ext cx="1233720" cy="31752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解释原因</w:t>
                            </w:r>
                          </w:p>
                        </w:txbxContent>
                      </wps:txbx>
                      <wps:bodyPr>
                        <a:noAutofit/>
                      </wps:bodyPr>
                    </wps:wsp>
                  </a:graphicData>
                </a:graphic>
              </wp:anchor>
            </w:drawing>
          </mc:Choice>
          <mc:Fallback>
            <w:pict>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fillcolor="white" stroked="t" style="position:absolute;margin-left:296.35pt;margin-top:6.2pt;width:97.1pt;height:24.95pt;mso-wrap-style:square;v-text-anchor:top" type="shapetype_176">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解释原因</w:t>
                      </w:r>
                    </w:p>
                  </w:txbxContent>
                </v:textbox>
                <v:fill o:detectmouseclick="t" type="solid" color2="black"/>
                <v:stroke color="black" weight="9360" joinstyle="miter" endcap="flat"/>
                <w10:wrap type="none"/>
              </v:shap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0">
                <wp:simplePos x="0" y="0"/>
                <wp:positionH relativeFrom="column">
                  <wp:posOffset>3248025</wp:posOffset>
                </wp:positionH>
                <wp:positionV relativeFrom="paragraph">
                  <wp:posOffset>19050</wp:posOffset>
                </wp:positionV>
                <wp:extent cx="539750" cy="1270"/>
                <wp:effectExtent l="0" t="0" r="0" b="0"/>
                <wp:wrapNone/>
                <wp:docPr id="21" name=""/>
                <a:graphic xmlns:a="http://schemas.openxmlformats.org/drawingml/2006/main">
                  <a:graphicData uri="http://schemas.microsoft.com/office/word/2010/wordprocessingShape">
                    <wps:wsp>
                      <wps:cNvSpPr/>
                      <wps:spPr>
                        <a:xfrm>
                          <a:off x="0" y="0"/>
                          <a:ext cx="5392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55.75pt,1.5pt" to="298.15pt,1.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6">
                <wp:simplePos x="0" y="0"/>
                <wp:positionH relativeFrom="column">
                  <wp:posOffset>3200400</wp:posOffset>
                </wp:positionH>
                <wp:positionV relativeFrom="paragraph">
                  <wp:posOffset>99060</wp:posOffset>
                </wp:positionV>
                <wp:extent cx="473075" cy="226695"/>
                <wp:effectExtent l="0" t="0" r="0" b="0"/>
                <wp:wrapNone/>
                <wp:docPr id="22" name="Frame11"/>
                <a:graphic xmlns:a="http://schemas.openxmlformats.org/drawingml/2006/main">
                  <a:graphicData uri="http://schemas.microsoft.com/office/word/2010/wordprocessingShape">
                    <wps:wsp>
                      <wps:cNvSpPr txBox="1"/>
                      <wps:spPr>
                        <a:xfrm>
                          <a:off x="0" y="0"/>
                          <a:ext cx="473075" cy="226695"/>
                        </a:xfrm>
                        <a:prstGeom prst="rect"/>
                        <a:solidFill>
                          <a:srgbClr val="FFFFFF"/>
                        </a:solidFill>
                      </wps:spPr>
                      <wps:txbx>
                        <w:txbxContent>
                          <w:p>
                            <w:pPr>
                              <w:pStyle w:val="Normal"/>
                              <w:rPr/>
                            </w:pPr>
                            <w:r>
                              <w:rPr/>
                              <w:t>否</w:t>
                            </w:r>
                          </w:p>
                        </w:txbxContent>
                      </wps:txbx>
                      <wps:bodyPr anchor="t" lIns="92075" tIns="46355" rIns="92075" bIns="46355">
                        <a:noAutofit/>
                      </wps:bodyPr>
                    </wps:wsp>
                  </a:graphicData>
                </a:graphic>
              </wp:anchor>
            </w:drawing>
          </mc:Choice>
          <mc:Fallback>
            <w:pict>
              <v:rect fillcolor="#FFFFFF" style="position:absolute;rotation:0;width:37.25pt;height:17.85pt;mso-wrap-distance-left:9.05pt;mso-wrap-distance-right:9.05pt;mso-wrap-distance-top:0pt;mso-wrap-distance-bottom:0pt;margin-top:7.8pt;mso-position-vertical-relative:text;margin-left:252pt;mso-position-horizontal-relative:text">
                <v:textbox inset="0.100694444444444in,0.0506944444444444in,0.100694444444444in,0.0506944444444444in">
                  <w:txbxContent>
                    <w:p>
                      <w:pPr>
                        <w:pStyle w:val="Normal"/>
                        <w:rPr/>
                      </w:pPr>
                      <w:r>
                        <w:rPr/>
                        <w:t>否</w:t>
                      </w:r>
                    </w:p>
                  </w:txbxContent>
                </v:textbox>
                <w10:wrap type="none"/>
              </v:rect>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17">
                <wp:simplePos x="0" y="0"/>
                <wp:positionH relativeFrom="column">
                  <wp:posOffset>2075815</wp:posOffset>
                </wp:positionH>
                <wp:positionV relativeFrom="paragraph">
                  <wp:posOffset>85090</wp:posOffset>
                </wp:positionV>
                <wp:extent cx="1270" cy="321945"/>
                <wp:effectExtent l="0" t="0" r="0" b="0"/>
                <wp:wrapNone/>
                <wp:docPr id="23" name=""/>
                <a:graphic xmlns:a="http://schemas.openxmlformats.org/drawingml/2006/main">
                  <a:graphicData uri="http://schemas.microsoft.com/office/word/2010/wordprocessingShape">
                    <wps:wsp>
                      <wps:cNvSpPr/>
                      <wps:spPr>
                        <a:xfrm>
                          <a:off x="0" y="0"/>
                          <a:ext cx="720" cy="3214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3.45pt,6.7pt" to="163.45pt,31.9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18">
                <wp:simplePos x="0" y="0"/>
                <wp:positionH relativeFrom="column">
                  <wp:posOffset>1828800</wp:posOffset>
                </wp:positionH>
                <wp:positionV relativeFrom="paragraph">
                  <wp:posOffset>635</wp:posOffset>
                </wp:positionV>
                <wp:extent cx="513715" cy="274955"/>
                <wp:effectExtent l="0" t="0" r="0" b="0"/>
                <wp:wrapNone/>
                <wp:docPr id="24" name="Frame12"/>
                <a:graphic xmlns:a="http://schemas.openxmlformats.org/drawingml/2006/main">
                  <a:graphicData uri="http://schemas.microsoft.com/office/word/2010/wordprocessingShape">
                    <wps:wsp>
                      <wps:cNvSpPr txBox="1"/>
                      <wps:spPr>
                        <a:xfrm>
                          <a:off x="0" y="0"/>
                          <a:ext cx="513715" cy="274955"/>
                        </a:xfrm>
                        <a:prstGeom prst="rect"/>
                        <a:solidFill>
                          <a:srgbClr val="FFFFFF">
                            <a:alpha val="0"/>
                          </a:srgbClr>
                        </a:solidFill>
                      </wps:spPr>
                      <wps:txbx>
                        <w:txbxContent>
                          <w:p>
                            <w:pPr>
                              <w:pStyle w:val="Normal"/>
                              <w:rPr/>
                            </w:pPr>
                            <w:r>
                              <w:rPr/>
                              <w:t>是</w:t>
                            </w:r>
                          </w:p>
                        </w:txbxContent>
                      </wps:txbx>
                      <wps:bodyPr anchor="t" lIns="92075" tIns="46355" rIns="92075" bIns="46355">
                        <a:noAutofit/>
                      </wps:bodyPr>
                    </wps:wsp>
                  </a:graphicData>
                </a:graphic>
              </wp:anchor>
            </w:drawing>
          </mc:Choice>
          <mc:Fallback>
            <w:pict>
              <v:rect fillcolor="#FFFFFF" style="position:absolute;rotation:0;width:40.45pt;height:21.65pt;mso-wrap-distance-left:9.05pt;mso-wrap-distance-right:9.05pt;mso-wrap-distance-top:0pt;mso-wrap-distance-bottom:0pt;margin-top:0pt;mso-position-vertical-relative:text;margin-left:144pt;mso-position-horizontal-relative:text">
                <v:fill opacity="0f"/>
                <v:textbox inset="0.100694444444444in,0.0506944444444444in,0.100694444444444in,0.0506944444444444in">
                  <w:txbxContent>
                    <w:p>
                      <w:pPr>
                        <w:pStyle w:val="Normal"/>
                        <w:rPr/>
                      </w:pPr>
                      <w:r>
                        <w:rPr/>
                        <w:t>是</w:t>
                      </w:r>
                    </w:p>
                  </w:txbxContent>
                </v:textbox>
                <w10:wrap type="none"/>
              </v:rect>
            </w:pict>
          </mc:Fallback>
        </mc:AlternateContent>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19">
                <wp:simplePos x="0" y="0"/>
                <wp:positionH relativeFrom="column">
                  <wp:posOffset>914400</wp:posOffset>
                </wp:positionH>
                <wp:positionV relativeFrom="paragraph">
                  <wp:posOffset>635</wp:posOffset>
                </wp:positionV>
                <wp:extent cx="2286635" cy="505460"/>
                <wp:effectExtent l="0" t="0" r="0" b="0"/>
                <wp:wrapNone/>
                <wp:docPr id="25" name=""/>
                <a:graphic xmlns:a="http://schemas.openxmlformats.org/drawingml/2006/main">
                  <a:graphicData uri="http://schemas.microsoft.com/office/word/2010/wordprocessingShape">
                    <wps:wsp>
                      <wps:cNvSpPr/>
                      <wps:spPr>
                        <a:xfrm>
                          <a:off x="0" y="0"/>
                          <a:ext cx="2286000" cy="50472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能否进行协调</w:t>
                            </w:r>
                          </w:p>
                        </w:txbxContent>
                      </wps:txbx>
                      <wps:bodyPr>
                        <a:noAutofit/>
                      </wps:bodyPr>
                    </wps:wsp>
                  </a:graphicData>
                </a:graphic>
              </wp:anchor>
            </w:drawing>
          </mc:Choice>
          <mc:Fallback>
            <w:pict>
              <v:shape id="shape_0" fillcolor="white" stroked="t" style="position:absolute;margin-left:72pt;margin-top:0pt;width:179.95pt;height:39.7pt;mso-wrap-style:square;v-text-anchor:top" type="shapetype_110">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能否进行协调</w:t>
                      </w:r>
                    </w:p>
                  </w:txbxContent>
                </v:textbox>
                <v:fill o:detectmouseclick="t" type="solid" color2="black"/>
                <v:stroke color="black" weight="9360" joinstyle="miter" endcap="flat"/>
                <w10:wrap type="none"/>
              </v:shap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2">
                <wp:simplePos x="0" y="0"/>
                <wp:positionH relativeFrom="column">
                  <wp:posOffset>3200400</wp:posOffset>
                </wp:positionH>
                <wp:positionV relativeFrom="paragraph">
                  <wp:posOffset>51435</wp:posOffset>
                </wp:positionV>
                <wp:extent cx="1143635" cy="345440"/>
                <wp:effectExtent l="0" t="0" r="0" b="0"/>
                <wp:wrapNone/>
                <wp:docPr id="26" name="未知"/>
                <a:graphic xmlns:a="http://schemas.openxmlformats.org/drawingml/2006/main">
                  <a:graphicData uri="http://schemas.microsoft.com/office/word/2010/wordprocessingShape">
                    <wps:wsp>
                      <wps:cNvSpPr/>
                      <wps:spPr>
                        <a:xfrm>
                          <a:off x="0" y="0"/>
                          <a:ext cx="1143000" cy="344880"/>
                        </a:xfrm>
                        <a:custGeom>
                          <a:avLst/>
                          <a:gdLst/>
                          <a:ahLst/>
                          <a:rect l="l" t="t" r="r" b="b"/>
                          <a:pathLst>
                            <a:path w="600" h="542">
                              <a:moveTo>
                                <a:pt x="0" y="0"/>
                              </a:moveTo>
                              <a:lnTo>
                                <a:pt x="600" y="0"/>
                              </a:lnTo>
                              <a:lnTo>
                                <a:pt x="600" y="542"/>
                              </a:lnTo>
                            </a:path>
                          </a:pathLst>
                        </a:custGeom>
                        <a:noFill/>
                        <a:ln w="9360">
                          <a:solidFill>
                            <a:srgbClr val="000000"/>
                          </a:solidFill>
                          <a:round/>
                          <a:tailEnd len="med" type="triangle" w="med"/>
                        </a:ln>
                      </wps:spPr>
                      <wps:style>
                        <a:lnRef idx="0"/>
                        <a:fillRef idx="0"/>
                        <a:effectRef idx="0"/>
                        <a:fontRef idx="minor"/>
                      </wps:style>
                      <wps:bodyPr/>
                    </wps:wsp>
                  </a:graphicData>
                </a:graphic>
              </wp:anchor>
            </w:drawing>
          </mc:Choice>
          <mc:Fallback>
            <w:pict>
              <v:shape id="shape_0" ID="未知" coordsize="600,542" path="m0,0l600,0l600,542e" stroked="t" style="position:absolute;margin-left:252pt;margin-top:4.05pt;width:89.95pt;height:27.1pt;mso-wrap-style:none;v-text-anchor:middle">
                <v:fill o:detectmouseclick="t" on="false"/>
                <v:stroke color="black" weight="9360" endarrow="block" endarrowwidth="medium" endarrowlength="medium" joinstyle="round" endcap="flat"/>
                <w10:wrap type="none"/>
              </v:shape>
            </w:pict>
          </mc:Fallback>
        </mc:AlternateContent>
      </w:r>
      <w:r>
        <mc:AlternateContent>
          <mc:Choice Requires="wps">
            <w:drawing>
              <wp:anchor behindDoc="1" distT="0" distB="0" distL="114935" distR="114935" simplePos="0" locked="0" layoutInCell="0" allowOverlap="1" relativeHeight="24">
                <wp:simplePos x="0" y="0"/>
                <wp:positionH relativeFrom="column">
                  <wp:posOffset>3200400</wp:posOffset>
                </wp:positionH>
                <wp:positionV relativeFrom="paragraph">
                  <wp:posOffset>635</wp:posOffset>
                </wp:positionV>
                <wp:extent cx="429895" cy="338455"/>
                <wp:effectExtent l="0" t="0" r="0" b="0"/>
                <wp:wrapNone/>
                <wp:docPr id="27" name="Frame13"/>
                <a:graphic xmlns:a="http://schemas.openxmlformats.org/drawingml/2006/main">
                  <a:graphicData uri="http://schemas.microsoft.com/office/word/2010/wordprocessingShape">
                    <wps:wsp>
                      <wps:cNvSpPr txBox="1"/>
                      <wps:spPr>
                        <a:xfrm>
                          <a:off x="0" y="0"/>
                          <a:ext cx="429895" cy="338455"/>
                        </a:xfrm>
                        <a:prstGeom prst="rect"/>
                        <a:solidFill>
                          <a:srgbClr val="FFFFFF">
                            <a:alpha val="0"/>
                          </a:srgbClr>
                        </a:solidFill>
                      </wps:spPr>
                      <wps:txbx>
                        <w:txbxContent>
                          <w:p>
                            <w:pPr>
                              <w:pStyle w:val="Normal"/>
                              <w:rPr/>
                            </w:pPr>
                            <w:r>
                              <w:rPr/>
                              <w:t>否</w:t>
                            </w:r>
                          </w:p>
                        </w:txbxContent>
                      </wps:txbx>
                      <wps:bodyPr anchor="t" lIns="92075" tIns="46355" rIns="92075" bIns="46355">
                        <a:noAutofit/>
                      </wps:bodyPr>
                    </wps:wsp>
                  </a:graphicData>
                </a:graphic>
              </wp:anchor>
            </w:drawing>
          </mc:Choice>
          <mc:Fallback>
            <w:pict>
              <v:rect fillcolor="#FFFFFF" style="position:absolute;rotation:0;width:33.85pt;height:26.65pt;mso-wrap-distance-left:9.05pt;mso-wrap-distance-right:9.05pt;mso-wrap-distance-top:0pt;mso-wrap-distance-bottom:0pt;margin-top:0pt;mso-position-vertical-relative:text;margin-left:252pt;mso-position-horizontal-relative:text">
                <v:fill opacity="0f"/>
                <v:textbox inset="0.100694444444444in,0.0506944444444444in,0.100694444444444in,0.0506944444444444in">
                  <w:txbxContent>
                    <w:p>
                      <w:pPr>
                        <w:pStyle w:val="Normal"/>
                        <w:rPr/>
                      </w:pPr>
                      <w:r>
                        <w:rPr/>
                        <w:t>否</w:t>
                      </w:r>
                    </w:p>
                  </w:txbxContent>
                </v:textbox>
                <w10:wrap type="none"/>
              </v:rect>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7">
                <wp:simplePos x="0" y="0"/>
                <wp:positionH relativeFrom="column">
                  <wp:posOffset>2057400</wp:posOffset>
                </wp:positionH>
                <wp:positionV relativeFrom="paragraph">
                  <wp:posOffset>99060</wp:posOffset>
                </wp:positionV>
                <wp:extent cx="1270" cy="297815"/>
                <wp:effectExtent l="0" t="0" r="0" b="0"/>
                <wp:wrapNone/>
                <wp:docPr id="28" name=""/>
                <a:graphic xmlns:a="http://schemas.openxmlformats.org/drawingml/2006/main">
                  <a:graphicData uri="http://schemas.microsoft.com/office/word/2010/wordprocessingShape">
                    <wps:wsp>
                      <wps:cNvSpPr/>
                      <wps:spPr>
                        <a:xfrm>
                          <a:off x="0" y="0"/>
                          <a:ext cx="720" cy="2973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62pt,7.8pt" to="162pt,31.1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5">
                <wp:simplePos x="0" y="0"/>
                <wp:positionH relativeFrom="column">
                  <wp:posOffset>1828800</wp:posOffset>
                </wp:positionH>
                <wp:positionV relativeFrom="paragraph">
                  <wp:posOffset>99060</wp:posOffset>
                </wp:positionV>
                <wp:extent cx="472440" cy="240665"/>
                <wp:effectExtent l="0" t="0" r="0" b="0"/>
                <wp:wrapNone/>
                <wp:docPr id="29" name="Frame14"/>
                <a:graphic xmlns:a="http://schemas.openxmlformats.org/drawingml/2006/main">
                  <a:graphicData uri="http://schemas.microsoft.com/office/word/2010/wordprocessingShape">
                    <wps:wsp>
                      <wps:cNvSpPr txBox="1"/>
                      <wps:spPr>
                        <a:xfrm>
                          <a:off x="0" y="0"/>
                          <a:ext cx="472440" cy="240665"/>
                        </a:xfrm>
                        <a:prstGeom prst="rect"/>
                        <a:solidFill>
                          <a:srgbClr val="FFFFFF">
                            <a:alpha val="0"/>
                          </a:srgbClr>
                        </a:solidFill>
                      </wps:spPr>
                      <wps:txbx>
                        <w:txbxContent>
                          <w:p>
                            <w:pPr>
                              <w:pStyle w:val="Normal"/>
                              <w:rPr/>
                            </w:pPr>
                            <w:r>
                              <w:rPr/>
                              <w:t>是</w:t>
                            </w:r>
                          </w:p>
                        </w:txbxContent>
                      </wps:txbx>
                      <wps:bodyPr anchor="t" lIns="92075" tIns="46355" rIns="92075" bIns="46355">
                        <a:noAutofit/>
                      </wps:bodyPr>
                    </wps:wsp>
                  </a:graphicData>
                </a:graphic>
              </wp:anchor>
            </w:drawing>
          </mc:Choice>
          <mc:Fallback>
            <w:pict>
              <v:rect fillcolor="#FFFFFF" style="position:absolute;rotation:0;width:37.2pt;height:18.95pt;mso-wrap-distance-left:9.05pt;mso-wrap-distance-right:9.05pt;mso-wrap-distance-top:0pt;mso-wrap-distance-bottom:0pt;margin-top:7.8pt;mso-position-vertical-relative:text;margin-left:144pt;mso-position-horizontal-relative:text">
                <v:fill opacity="0f"/>
                <v:textbox inset="0.100694444444444in,0.0506944444444444in,0.100694444444444in,0.0506944444444444in">
                  <w:txbxContent>
                    <w:p>
                      <w:pPr>
                        <w:pStyle w:val="Normal"/>
                        <w:rPr/>
                      </w:pPr>
                      <w:r>
                        <w:rPr/>
                        <w:t>是</w:t>
                      </w:r>
                    </w:p>
                  </w:txbxContent>
                </v:textbox>
                <w10:wrap type="none"/>
              </v:rect>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23">
                <wp:simplePos x="0" y="0"/>
                <wp:positionH relativeFrom="column">
                  <wp:posOffset>3507105</wp:posOffset>
                </wp:positionH>
                <wp:positionV relativeFrom="paragraph">
                  <wp:posOffset>38735</wp:posOffset>
                </wp:positionV>
                <wp:extent cx="1715135" cy="311150"/>
                <wp:effectExtent l="0" t="0" r="0" b="0"/>
                <wp:wrapNone/>
                <wp:docPr id="30" name=""/>
                <a:graphic xmlns:a="http://schemas.openxmlformats.org/drawingml/2006/main">
                  <a:graphicData uri="http://schemas.microsoft.com/office/word/2010/wordprocessingShape">
                    <wps:wsp>
                      <wps:cNvSpPr/>
                      <wps:spPr>
                        <a:xfrm>
                          <a:off x="0" y="0"/>
                          <a:ext cx="1714680" cy="31068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上报考核管理委员会处理</w:t>
                            </w:r>
                          </w:p>
                        </w:txbxContent>
                      </wps:txbx>
                      <wps:bodyPr>
                        <a:noAutofit/>
                      </wps:bodyPr>
                    </wps:wsp>
                  </a:graphicData>
                </a:graphic>
              </wp:anchor>
            </w:drawing>
          </mc:Choice>
          <mc:Fallback>
            <w:pict>
              <v:shape id="shape_0" fillcolor="white" stroked="t" style="position:absolute;margin-left:276.15pt;margin-top:3.05pt;width:134.95pt;height:24.4pt;mso-wrap-style:square;v-text-anchor:top" type="shapetype_176">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上报考核管理委员会处理</w:t>
                      </w:r>
                    </w:p>
                  </w:txbxContent>
                </v:textbox>
                <v:fill o:detectmouseclick="t" type="solid" color2="black"/>
                <v:stroke color="black" weight="9360" joinstyle="miter" endcap="flat"/>
                <w10:wrap type="none"/>
              </v:shape>
            </w:pict>
          </mc:Fallback>
        </mc:AlternateContent>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mc:AlternateContent>
          <mc:Choice Requires="wps">
            <w:drawing>
              <wp:anchor behindDoc="1" distT="4445" distB="4445" distL="119380" distR="119380" simplePos="0" locked="0" layoutInCell="0" allowOverlap="1" relativeHeight="30">
                <wp:simplePos x="0" y="0"/>
                <wp:positionH relativeFrom="column">
                  <wp:posOffset>1257300</wp:posOffset>
                </wp:positionH>
                <wp:positionV relativeFrom="paragraph">
                  <wp:posOffset>19050</wp:posOffset>
                </wp:positionV>
                <wp:extent cx="1633220" cy="311150"/>
                <wp:effectExtent l="0" t="0" r="0" b="0"/>
                <wp:wrapNone/>
                <wp:docPr id="31" name=""/>
                <a:graphic xmlns:a="http://schemas.openxmlformats.org/drawingml/2006/main">
                  <a:graphicData uri="http://schemas.microsoft.com/office/word/2010/wordprocessingShape">
                    <wps:wsp>
                      <wps:cNvSpPr/>
                      <wps:spPr>
                        <a:xfrm>
                          <a:off x="0" y="0"/>
                          <a:ext cx="1632600" cy="31068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0"/>
                                <w:rFonts w:ascii="Times New Roman" w:hAnsi="Times New Roman" w:eastAsia="宋体" w:cs="Times New Roman"/>
                                <w:color w:val="auto"/>
                                <w:lang w:val="en-US" w:eastAsia="zh-CN" w:bidi="ar-SA"/>
                              </w:rPr>
                              <w:t>协调解决</w:t>
                            </w:r>
                          </w:p>
                        </w:txbxContent>
                      </wps:txbx>
                      <wps:bodyPr>
                        <a:noAutofit/>
                      </wps:bodyPr>
                    </wps:wsp>
                  </a:graphicData>
                </a:graphic>
              </wp:anchor>
            </w:drawing>
          </mc:Choice>
          <mc:Fallback>
            <w:pict>
              <v:shape id="shape_0" fillcolor="white" stroked="t" style="position:absolute;margin-left:99pt;margin-top:1.5pt;width:128.5pt;height:24.4pt;mso-wrap-style:square;v-text-anchor:top" type="shapetype_176">
                <v:textbox>
                  <w:txbxContent>
                    <w:p>
                      <w:pPr>
                        <w:overflowPunct w:val="false"/>
                        <w:bidi w:val="0"/>
                        <w:jc w:val="center"/>
                        <w:rPr/>
                      </w:pPr>
                      <w:r>
                        <w:rPr>
                          <w:kern w:val="2"/>
                          <w:sz w:val="21"/>
                          <w:szCs w:val="20"/>
                          <w:rFonts w:ascii="Times New Roman" w:hAnsi="Times New Roman" w:eastAsia="宋体" w:cs="Times New Roman"/>
                          <w:color w:val="auto"/>
                          <w:lang w:val="en-US" w:eastAsia="zh-CN" w:bidi="ar-SA"/>
                        </w:rPr>
                        <w:t>协调解决</w:t>
                      </w:r>
                    </w:p>
                  </w:txbxContent>
                </v:textbox>
                <v:fill o:detectmouseclick="t" type="solid" color2="black"/>
                <v:stroke color="black" weight="9360" joinstyle="miter" endcap="flat"/>
                <w10:wrap type="none"/>
              </v:shape>
            </w:pict>
          </mc:Fallback>
        </mc:AlternateContent>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outlineLvl w:val="0"/>
        <w:rPr>
          <w:rFonts w:ascii="宋体" w:hAnsi="宋体" w:cs="宋体"/>
          <w:b/>
          <w:b/>
          <w:sz w:val="20"/>
          <w:lang w:val="en-US" w:eastAsia="en-US"/>
        </w:rPr>
      </w:pPr>
      <w:r>
        <w:rPr>
          <w:rFonts w:cs="宋体" w:ascii="宋体" w:hAnsi="宋体"/>
          <w:b/>
          <w:sz w:val="20"/>
          <w:lang w:val="en-US" w:eastAsia="en-US"/>
        </w:rPr>
      </w:r>
      <w:r>
        <mc:AlternateContent>
          <mc:Choice Requires="wps">
            <w:drawing>
              <wp:anchor behindDoc="1" distT="0" distB="0" distL="114935" distR="114935" simplePos="0" locked="0" layoutInCell="0" allowOverlap="1" relativeHeight="29">
                <wp:simplePos x="0" y="0"/>
                <wp:positionH relativeFrom="column">
                  <wp:posOffset>2057400</wp:posOffset>
                </wp:positionH>
                <wp:positionV relativeFrom="paragraph">
                  <wp:posOffset>165100</wp:posOffset>
                </wp:positionV>
                <wp:extent cx="1485900" cy="297180"/>
                <wp:effectExtent l="0" t="0" r="0" b="0"/>
                <wp:wrapNone/>
                <wp:docPr id="32" name="Frame15"/>
                <a:graphic xmlns:a="http://schemas.openxmlformats.org/drawingml/2006/main">
                  <a:graphicData uri="http://schemas.microsoft.com/office/word/2010/wordprocessingShape">
                    <wps:wsp>
                      <wps:cNvSpPr txBox="1"/>
                      <wps:spPr>
                        <a:xfrm>
                          <a:off x="0" y="0"/>
                          <a:ext cx="1485900" cy="297180"/>
                        </a:xfrm>
                        <a:prstGeom prst="rect"/>
                        <a:solidFill>
                          <a:srgbClr val="FFFFFF">
                            <a:alpha val="0"/>
                          </a:srgbClr>
                        </a:solidFill>
                      </wps:spPr>
                      <wps:txbx>
                        <w:txbxContent>
                          <w:p>
                            <w:pPr>
                              <w:pStyle w:val="Normal"/>
                              <w:rPr>
                                <w:rFonts w:ascii="宋体" w:hAnsi="宋体" w:cs="宋体"/>
                                <w:b/>
                                <w:b/>
                              </w:rPr>
                            </w:pPr>
                            <w:r>
                              <w:rPr>
                                <w:rFonts w:ascii="宋体" w:hAnsi="宋体" w:cs="宋体"/>
                                <w:b/>
                              </w:rPr>
                              <w:t>图</w:t>
                            </w:r>
                            <w:r>
                              <w:rPr>
                                <w:rFonts w:cs="宋体" w:ascii="宋体" w:hAnsi="宋体"/>
                                <w:b/>
                              </w:rPr>
                              <w:t xml:space="preserve">5-1 </w:t>
                            </w:r>
                            <w:r>
                              <w:rPr>
                                <w:rFonts w:ascii="宋体" w:hAnsi="宋体" w:cs="宋体"/>
                                <w:b/>
                              </w:rPr>
                              <w:t>申诉流程图</w:t>
                            </w:r>
                          </w:p>
                        </w:txbxContent>
                      </wps:txbx>
                      <wps:bodyPr anchor="t" lIns="92075" tIns="46355" rIns="92075" bIns="46355">
                        <a:noAutofit/>
                      </wps:bodyPr>
                    </wps:wsp>
                  </a:graphicData>
                </a:graphic>
              </wp:anchor>
            </w:drawing>
          </mc:Choice>
          <mc:Fallback>
            <w:pict>
              <v:rect fillcolor="#FFFFFF" style="position:absolute;rotation:0;width:117pt;height:23.4pt;mso-wrap-distance-left:9.05pt;mso-wrap-distance-right:9.05pt;mso-wrap-distance-top:0pt;mso-wrap-distance-bottom:0pt;margin-top:13pt;mso-position-vertical-relative:text;margin-left:162pt;mso-position-horizontal-relative:text">
                <v:fill opacity="0f"/>
                <v:textbox inset="0.100694444444444in,0.0506944444444444in,0.100694444444444in,0.0506944444444444in">
                  <w:txbxContent>
                    <w:p>
                      <w:pPr>
                        <w:pStyle w:val="Normal"/>
                        <w:rPr>
                          <w:rFonts w:ascii="宋体" w:hAnsi="宋体" w:cs="宋体"/>
                          <w:b/>
                          <w:b/>
                        </w:rPr>
                      </w:pPr>
                      <w:r>
                        <w:rPr>
                          <w:rFonts w:ascii="宋体" w:hAnsi="宋体" w:cs="宋体"/>
                          <w:b/>
                        </w:rPr>
                        <w:t>图</w:t>
                      </w:r>
                      <w:r>
                        <w:rPr>
                          <w:rFonts w:cs="宋体" w:ascii="宋体" w:hAnsi="宋体"/>
                          <w:b/>
                        </w:rPr>
                        <w:t xml:space="preserve">5-1 </w:t>
                      </w:r>
                      <w:r>
                        <w:rPr>
                          <w:rFonts w:ascii="宋体" w:hAnsi="宋体" w:cs="宋体"/>
                          <w:b/>
                        </w:rPr>
                        <w:t>申诉流程图</w:t>
                      </w:r>
                    </w:p>
                  </w:txbxContent>
                </v:textbox>
                <w10:wrap type="none"/>
              </v:rect>
            </w:pict>
          </mc:Fallback>
        </mc:AlternateContent>
      </w:r>
    </w:p>
    <w:p>
      <w:pPr>
        <w:pStyle w:val="Normal"/>
        <w:numPr>
          <w:ilvl w:val="0"/>
          <w:numId w:val="0"/>
        </w:numPr>
        <w:outlineLvl w:val="0"/>
        <w:rPr>
          <w:rFonts w:ascii="宋体" w:hAnsi="宋体" w:cs="宋体"/>
          <w:b/>
          <w:b/>
        </w:rPr>
      </w:pPr>
      <w:r>
        <w:rPr>
          <w:rFonts w:cs="宋体" w:ascii="宋体" w:hAnsi="宋体"/>
          <w:b/>
        </w:rPr>
      </w:r>
    </w:p>
    <w:p>
      <w:pPr>
        <w:pStyle w:val="Normal"/>
        <w:numPr>
          <w:ilvl w:val="0"/>
          <w:numId w:val="0"/>
        </w:numPr>
        <w:jc w:val="center"/>
        <w:outlineLvl w:val="0"/>
        <w:rPr>
          <w:rFonts w:ascii="宋体" w:hAnsi="宋体" w:cs="宋体"/>
          <w:b/>
          <w:b/>
        </w:rPr>
      </w:pPr>
      <w:r>
        <w:rPr>
          <w:rFonts w:cs="宋体" w:ascii="宋体" w:hAnsi="宋体"/>
          <w:b/>
        </w:rPr>
      </w:r>
    </w:p>
    <w:p>
      <w:pPr>
        <w:pStyle w:val="Normal"/>
        <w:rPr>
          <w:rFonts w:ascii="宋体" w:hAnsi="宋体" w:cs="宋体"/>
          <w:b/>
          <w:b/>
          <w:bCs/>
          <w:sz w:val="24"/>
        </w:rPr>
      </w:pPr>
      <w:r>
        <w:rPr>
          <w:rFonts w:cs="宋体" w:ascii="宋体" w:hAnsi="宋体"/>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rPr>
          <w:b/>
          <w:b/>
          <w:bCs/>
          <w:sz w:val="24"/>
        </w:rPr>
      </w:pPr>
      <w:r>
        <w:rPr>
          <w:b/>
          <w:bCs/>
          <w:sz w:val="24"/>
        </w:rPr>
      </w:r>
    </w:p>
    <w:p>
      <w:pPr>
        <w:pStyle w:val="Normal"/>
        <w:numPr>
          <w:ilvl w:val="0"/>
          <w:numId w:val="0"/>
        </w:numPr>
        <w:outlineLvl w:val="0"/>
        <w:rPr>
          <w:rFonts w:ascii="宋体" w:hAnsi="宋体" w:cs="宋体"/>
          <w:b/>
          <w:b/>
          <w:sz w:val="24"/>
        </w:rPr>
      </w:pPr>
      <w:r>
        <w:rPr>
          <w:rFonts w:ascii="宋体" w:hAnsi="宋体" w:cs="宋体"/>
          <w:b/>
          <w:sz w:val="24"/>
        </w:rPr>
        <w:t>表</w:t>
      </w:r>
      <w:r>
        <w:rPr>
          <w:rFonts w:cs="宋体" w:ascii="宋体" w:hAnsi="宋体"/>
          <w:b/>
          <w:sz w:val="24"/>
          <w:lang w:val="en-US" w:eastAsia="zh-CN"/>
        </w:rPr>
        <w:t>5</w:t>
      </w:r>
      <w:r>
        <w:rPr>
          <w:rFonts w:cs="宋体" w:ascii="宋体" w:hAnsi="宋体"/>
          <w:b/>
          <w:sz w:val="24"/>
        </w:rPr>
        <w:t>-</w:t>
      </w:r>
      <w:r>
        <w:rPr>
          <w:rFonts w:cs="宋体" w:ascii="宋体" w:hAnsi="宋体"/>
          <w:b/>
          <w:sz w:val="24"/>
          <w:lang w:val="en-US" w:eastAsia="zh-CN"/>
        </w:rPr>
        <w:t>2</w:t>
      </w:r>
      <w:r>
        <w:rPr>
          <w:rFonts w:ascii="宋体" w:hAnsi="宋体" w:cs="宋体"/>
          <w:b/>
          <w:sz w:val="24"/>
        </w:rPr>
        <w:t>：</w:t>
      </w:r>
    </w:p>
    <w:p>
      <w:pPr>
        <w:pStyle w:val="Normal"/>
        <w:numPr>
          <w:ilvl w:val="0"/>
          <w:numId w:val="0"/>
        </w:numPr>
        <w:jc w:val="center"/>
        <w:outlineLvl w:val="0"/>
        <w:rPr>
          <w:rFonts w:ascii="宋体" w:hAnsi="宋体" w:cs="宋体"/>
          <w:b/>
          <w:b/>
          <w:sz w:val="24"/>
        </w:rPr>
      </w:pPr>
      <w:r>
        <w:rPr>
          <w:rFonts w:ascii="宋体" w:hAnsi="宋体" w:cs="宋体"/>
          <w:b/>
          <w:sz w:val="24"/>
        </w:rPr>
        <w:t>员工考核申诉表</w:t>
      </w:r>
    </w:p>
    <w:p>
      <w:pPr>
        <w:pStyle w:val="Normal"/>
        <w:spacing w:lineRule="auto" w:line="360"/>
        <w:rPr>
          <w:rFonts w:ascii="宋体" w:hAnsi="宋体" w:cs="宋体"/>
          <w:b/>
          <w:b/>
          <w:sz w:val="24"/>
        </w:rPr>
      </w:pPr>
      <w:r>
        <w:rPr>
          <w:rFonts w:cs="宋体" w:ascii="宋体" w:hAnsi="宋体"/>
          <w:b/>
          <w:sz w:val="24"/>
        </w:rPr>
      </w:r>
    </w:p>
    <w:tbl>
      <w:tblPr>
        <w:tblW w:w="8295" w:type="dxa"/>
        <w:jc w:val="start"/>
        <w:tblInd w:w="108" w:type="dxa"/>
        <w:tblLayout w:type="fixed"/>
        <w:tblCellMar>
          <w:top w:w="0" w:type="dxa"/>
          <w:start w:w="108" w:type="dxa"/>
          <w:bottom w:w="0" w:type="dxa"/>
          <w:end w:w="108" w:type="dxa"/>
        </w:tblCellMar>
      </w:tblPr>
      <w:tblGrid>
        <w:gridCol w:w="1470"/>
        <w:gridCol w:w="1365"/>
        <w:gridCol w:w="1470"/>
        <w:gridCol w:w="15"/>
        <w:gridCol w:w="1455"/>
        <w:gridCol w:w="105"/>
        <w:gridCol w:w="840"/>
        <w:gridCol w:w="1575"/>
      </w:tblGrid>
      <w:tr>
        <w:trPr/>
        <w:tc>
          <w:tcPr>
            <w:tcW w:w="1470"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宋体" w:hAnsi="宋体" w:cs="宋体"/>
                <w:b/>
                <w:b/>
              </w:rPr>
            </w:pPr>
            <w:r>
              <w:rPr>
                <w:rFonts w:ascii="宋体" w:hAnsi="宋体" w:cs="宋体"/>
                <w:b/>
              </w:rPr>
              <w:t>申诉人姓名</w:t>
            </w:r>
          </w:p>
        </w:tc>
        <w:tc>
          <w:tcPr>
            <w:tcW w:w="1365" w:type="dxa"/>
            <w:tcBorders>
              <w:top w:val="single" w:sz="12"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
                <w:b/>
              </w:rPr>
            </w:pPr>
            <w:r>
              <w:rPr>
                <w:rFonts w:cs="宋体" w:ascii="宋体" w:hAnsi="宋体"/>
                <w:b/>
              </w:rPr>
            </w:r>
          </w:p>
        </w:tc>
        <w:tc>
          <w:tcPr>
            <w:tcW w:w="148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rPr>
            </w:pPr>
            <w:r>
              <w:rPr>
                <w:rFonts w:ascii="宋体" w:hAnsi="宋体" w:cs="宋体"/>
                <w:b/>
              </w:rPr>
              <w:t>所在部门</w:t>
            </w:r>
          </w:p>
        </w:tc>
        <w:tc>
          <w:tcPr>
            <w:tcW w:w="1455" w:type="dxa"/>
            <w:tcBorders>
              <w:top w:val="single" w:sz="12" w:space="0" w:color="000000"/>
              <w:start w:val="single" w:sz="4" w:space="0" w:color="000000"/>
              <w:bottom w:val="single" w:sz="4" w:space="0" w:color="000000"/>
              <w:end w:val="single" w:sz="4" w:space="0" w:color="000000"/>
            </w:tcBorders>
          </w:tcPr>
          <w:p>
            <w:pPr>
              <w:pStyle w:val="Normal"/>
              <w:snapToGrid w:val="false"/>
              <w:spacing w:lineRule="auto" w:line="360"/>
              <w:rPr>
                <w:rFonts w:ascii="宋体" w:hAnsi="宋体" w:cs="宋体"/>
                <w:b/>
                <w:b/>
              </w:rPr>
            </w:pPr>
            <w:r>
              <w:rPr>
                <w:rFonts w:cs="宋体" w:ascii="宋体" w:hAnsi="宋体"/>
                <w:b/>
              </w:rPr>
            </w:r>
          </w:p>
        </w:tc>
        <w:tc>
          <w:tcPr>
            <w:tcW w:w="94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rPr>
            </w:pPr>
            <w:r>
              <w:rPr>
                <w:rFonts w:ascii="宋体" w:hAnsi="宋体" w:cs="宋体"/>
                <w:b/>
              </w:rPr>
              <w:t>岗位</w:t>
            </w:r>
          </w:p>
        </w:tc>
        <w:tc>
          <w:tcPr>
            <w:tcW w:w="1575" w:type="dxa"/>
            <w:tcBorders>
              <w:top w:val="single" w:sz="12" w:space="0" w:color="000000"/>
              <w:start w:val="single" w:sz="4" w:space="0" w:color="000000"/>
              <w:bottom w:val="single" w:sz="4" w:space="0" w:color="000000"/>
              <w:end w:val="single" w:sz="12" w:space="0" w:color="000000"/>
            </w:tcBorders>
          </w:tcPr>
          <w:p>
            <w:pPr>
              <w:pStyle w:val="Normal"/>
              <w:snapToGrid w:val="false"/>
              <w:spacing w:lineRule="auto" w:line="360"/>
              <w:rPr>
                <w:rFonts w:ascii="宋体" w:hAnsi="宋体" w:cs="宋体"/>
                <w:b/>
                <w:b/>
              </w:rPr>
            </w:pPr>
            <w:r>
              <w:rPr>
                <w:rFonts w:cs="宋体" w:ascii="宋体" w:hAnsi="宋体"/>
                <w:b/>
              </w:rPr>
            </w:r>
          </w:p>
        </w:tc>
      </w:tr>
      <w:tr>
        <w:trPr>
          <w:trHeight w:val="598"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申诉事项</w:t>
            </w:r>
          </w:p>
        </w:tc>
        <w:tc>
          <w:tcPr>
            <w:tcW w:w="6825" w:type="dxa"/>
            <w:gridSpan w:val="7"/>
            <w:tcBorders>
              <w:top w:val="single" w:sz="4" w:space="0" w:color="000000"/>
              <w:start w:val="single" w:sz="4" w:space="0" w:color="000000"/>
              <w:bottom w:val="single" w:sz="4" w:space="0" w:color="000000"/>
              <w:end w:val="single" w:sz="12" w:space="0" w:color="000000"/>
            </w:tcBorders>
            <w:vAlign w:val="center"/>
          </w:tcPr>
          <w:p>
            <w:pPr>
              <w:pStyle w:val="Normal"/>
              <w:rPr>
                <w:rFonts w:ascii="宋体" w:hAnsi="宋体" w:cs="宋体"/>
              </w:rPr>
            </w:pPr>
            <w:r>
              <w:rPr>
                <w:rFonts w:cs="宋体" w:ascii="宋体" w:hAnsi="宋体"/>
              </w:rPr>
              <w:t xml:space="preserve">    </w:t>
            </w:r>
          </w:p>
        </w:tc>
      </w:tr>
      <w:tr>
        <w:trPr>
          <w:trHeight w:val="1406"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申诉事由</w:t>
            </w:r>
          </w:p>
        </w:tc>
        <w:tc>
          <w:tcPr>
            <w:tcW w:w="6825" w:type="dxa"/>
            <w:gridSpan w:val="7"/>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tc>
      </w:tr>
      <w:tr>
        <w:trPr>
          <w:trHeight w:val="613" w:hRule="atLeast"/>
        </w:trPr>
        <w:tc>
          <w:tcPr>
            <w:tcW w:w="1470" w:type="dxa"/>
            <w:tcBorders>
              <w:top w:val="single" w:sz="4" w:space="0" w:color="000000"/>
              <w:start w:val="single" w:sz="12" w:space="0" w:color="000000"/>
              <w:bottom w:val="single" w:sz="12" w:space="0" w:color="000000"/>
              <w:end w:val="single" w:sz="4" w:space="0" w:color="000000"/>
            </w:tcBorders>
            <w:vAlign w:val="center"/>
          </w:tcPr>
          <w:p>
            <w:pPr>
              <w:pStyle w:val="Normal"/>
              <w:jc w:val="center"/>
              <w:rPr>
                <w:rFonts w:ascii="宋体" w:hAnsi="宋体" w:cs="宋体"/>
              </w:rPr>
            </w:pPr>
            <w:r>
              <w:rPr>
                <w:rFonts w:ascii="宋体" w:hAnsi="宋体" w:cs="宋体"/>
              </w:rPr>
              <w:t>接待人</w:t>
            </w:r>
          </w:p>
        </w:tc>
        <w:tc>
          <w:tcPr>
            <w:tcW w:w="2835" w:type="dxa"/>
            <w:gridSpan w:val="2"/>
            <w:tcBorders>
              <w:top w:val="single" w:sz="4" w:space="0" w:color="000000"/>
              <w:start w:val="single" w:sz="4" w:space="0" w:color="000000"/>
              <w:bottom w:val="single" w:sz="12" w:space="0" w:color="000000"/>
              <w:end w:val="single" w:sz="4" w:space="0" w:color="000000"/>
            </w:tcBorders>
            <w:vAlign w:val="center"/>
          </w:tcPr>
          <w:p>
            <w:pPr>
              <w:pStyle w:val="Normal"/>
              <w:rPr>
                <w:rFonts w:ascii="宋体" w:hAnsi="宋体" w:cs="宋体"/>
              </w:rPr>
            </w:pPr>
            <w:r>
              <w:rPr>
                <w:rFonts w:cs="宋体" w:ascii="宋体" w:hAnsi="宋体"/>
              </w:rPr>
              <w:t xml:space="preserve">    </w:t>
            </w:r>
            <w:r>
              <w:rPr>
                <w:rFonts w:cs="宋体" w:ascii="宋体" w:hAnsi="宋体"/>
              </w:rPr>
              <w:t xml:space="preserve"> </w:t>
            </w:r>
          </w:p>
        </w:tc>
        <w:tc>
          <w:tcPr>
            <w:tcW w:w="1575" w:type="dxa"/>
            <w:gridSpan w:val="3"/>
            <w:tcBorders>
              <w:top w:val="single" w:sz="4" w:space="0" w:color="000000"/>
              <w:start w:val="single" w:sz="4" w:space="0" w:color="000000"/>
              <w:bottom w:val="single" w:sz="12" w:space="0" w:color="000000"/>
              <w:end w:val="single" w:sz="4" w:space="0" w:color="000000"/>
            </w:tcBorders>
            <w:vAlign w:val="center"/>
          </w:tcPr>
          <w:p>
            <w:pPr>
              <w:pStyle w:val="Normal"/>
              <w:rPr>
                <w:rFonts w:ascii="宋体" w:hAnsi="宋体" w:cs="宋体"/>
              </w:rPr>
            </w:pPr>
            <w:r>
              <w:rPr>
                <w:rFonts w:ascii="宋体" w:hAnsi="宋体" w:cs="宋体"/>
              </w:rPr>
              <w:t>申诉日期</w:t>
            </w:r>
          </w:p>
        </w:tc>
        <w:tc>
          <w:tcPr>
            <w:tcW w:w="2415" w:type="dxa"/>
            <w:gridSpan w:val="2"/>
            <w:tcBorders>
              <w:top w:val="single" w:sz="4" w:space="0" w:color="000000"/>
              <w:start w:val="single" w:sz="4" w:space="0" w:color="000000"/>
              <w:bottom w:val="single" w:sz="12"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bl>
    <w:p>
      <w:pPr>
        <w:pStyle w:val="Normal"/>
        <w:spacing w:lineRule="auto" w:line="360"/>
        <w:rPr>
          <w:rFonts w:ascii="宋体" w:hAnsi="宋体" w:cs="宋体"/>
          <w:b/>
          <w:b/>
        </w:rPr>
      </w:pPr>
      <w:r>
        <w:rPr>
          <w:rFonts w:cs="宋体" w:ascii="宋体" w:hAnsi="宋体"/>
          <w:b/>
        </w:rPr>
      </w:r>
    </w:p>
    <w:p>
      <w:pPr>
        <w:pStyle w:val="Normal"/>
        <w:numPr>
          <w:ilvl w:val="0"/>
          <w:numId w:val="0"/>
        </w:numPr>
        <w:outlineLvl w:val="0"/>
        <w:rPr>
          <w:rFonts w:ascii="宋体" w:hAnsi="宋体" w:cs="宋体"/>
          <w:b/>
          <w:b/>
        </w:rPr>
      </w:pPr>
      <w:r>
        <w:rPr>
          <w:rFonts w:ascii="宋体" w:hAnsi="宋体" w:cs="宋体"/>
          <w:b/>
          <w:sz w:val="24"/>
        </w:rPr>
        <w:t>表</w:t>
      </w:r>
      <w:r>
        <w:rPr>
          <w:rFonts w:cs="宋体" w:ascii="宋体" w:hAnsi="宋体"/>
          <w:b/>
          <w:sz w:val="24"/>
          <w:lang w:val="en-US" w:eastAsia="zh-CN"/>
        </w:rPr>
        <w:t>5</w:t>
      </w:r>
      <w:r>
        <w:rPr>
          <w:rFonts w:cs="宋体" w:ascii="宋体" w:hAnsi="宋体"/>
          <w:b/>
          <w:sz w:val="24"/>
        </w:rPr>
        <w:t>-</w:t>
      </w:r>
      <w:r>
        <w:rPr>
          <w:rFonts w:cs="宋体" w:ascii="宋体" w:hAnsi="宋体"/>
          <w:b/>
          <w:sz w:val="24"/>
          <w:lang w:val="en-US" w:eastAsia="zh-CN"/>
        </w:rPr>
        <w:t>3</w:t>
      </w:r>
      <w:r>
        <w:rPr>
          <w:rFonts w:cs="宋体" w:ascii="宋体" w:hAnsi="宋体"/>
          <w:b/>
          <w:sz w:val="24"/>
        </w:rPr>
        <w:t>:</w:t>
      </w:r>
    </w:p>
    <w:p>
      <w:pPr>
        <w:pStyle w:val="Normal"/>
        <w:numPr>
          <w:ilvl w:val="0"/>
          <w:numId w:val="0"/>
        </w:numPr>
        <w:jc w:val="center"/>
        <w:outlineLvl w:val="0"/>
        <w:rPr>
          <w:rFonts w:ascii="宋体" w:hAnsi="宋体" w:cs="宋体"/>
          <w:b/>
          <w:b/>
          <w:sz w:val="24"/>
        </w:rPr>
      </w:pPr>
      <w:r>
        <w:rPr>
          <w:rFonts w:ascii="宋体" w:hAnsi="宋体" w:cs="宋体"/>
          <w:b/>
          <w:sz w:val="24"/>
        </w:rPr>
        <w:t>员工考核申诉处理记录表</w:t>
      </w:r>
    </w:p>
    <w:p>
      <w:pPr>
        <w:pStyle w:val="Normal"/>
        <w:jc w:val="center"/>
        <w:rPr>
          <w:rFonts w:ascii="宋体" w:hAnsi="宋体" w:cs="宋体"/>
          <w:b/>
          <w:b/>
        </w:rPr>
      </w:pPr>
      <w:r>
        <w:rPr>
          <w:rFonts w:cs="宋体" w:ascii="宋体" w:hAnsi="宋体"/>
          <w:b/>
        </w:rPr>
        <w:tab/>
        <w:tab/>
        <w:t xml:space="preserve">               </w:t>
        <w:tab/>
        <w:tab/>
        <w:tab/>
        <w:tab/>
        <w:tab/>
        <w:tab/>
        <w:tab/>
        <w:t xml:space="preserve">    </w:t>
      </w:r>
    </w:p>
    <w:tbl>
      <w:tblPr>
        <w:tblW w:w="8242" w:type="dxa"/>
        <w:jc w:val="center"/>
        <w:tblInd w:w="0" w:type="dxa"/>
        <w:tblLayout w:type="fixed"/>
        <w:tblCellMar>
          <w:top w:w="0" w:type="dxa"/>
          <w:start w:w="108" w:type="dxa"/>
          <w:bottom w:w="0" w:type="dxa"/>
          <w:end w:w="108" w:type="dxa"/>
        </w:tblCellMar>
      </w:tblPr>
      <w:tblGrid>
        <w:gridCol w:w="754"/>
        <w:gridCol w:w="1003"/>
        <w:gridCol w:w="1610"/>
        <w:gridCol w:w="1091"/>
        <w:gridCol w:w="21"/>
        <w:gridCol w:w="1200"/>
        <w:gridCol w:w="8"/>
        <w:gridCol w:w="905"/>
        <w:gridCol w:w="1650"/>
      </w:tblGrid>
      <w:tr>
        <w:trPr>
          <w:trHeight w:val="615" w:hRule="atLeast"/>
          <w:cantSplit w:val="true"/>
        </w:trPr>
        <w:tc>
          <w:tcPr>
            <w:tcW w:w="1757"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申诉人姓名</w:t>
            </w:r>
          </w:p>
        </w:tc>
        <w:tc>
          <w:tcPr>
            <w:tcW w:w="161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宋体" w:hAnsi="宋体"/>
              </w:rPr>
            </w:r>
          </w:p>
        </w:tc>
        <w:tc>
          <w:tcPr>
            <w:tcW w:w="1091" w:type="dxa"/>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部门</w:t>
            </w:r>
          </w:p>
        </w:tc>
        <w:tc>
          <w:tcPr>
            <w:tcW w:w="1221" w:type="dxa"/>
            <w:gridSpan w:val="2"/>
            <w:tcBorders>
              <w:top w:val="single" w:sz="12"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宋体" w:hAnsi="宋体"/>
              </w:rPr>
            </w:r>
          </w:p>
        </w:tc>
        <w:tc>
          <w:tcPr>
            <w:tcW w:w="913" w:type="dxa"/>
            <w:gridSpan w:val="2"/>
            <w:tcBorders>
              <w:top w:val="single" w:sz="12"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职位</w:t>
            </w:r>
          </w:p>
        </w:tc>
        <w:tc>
          <w:tcPr>
            <w:tcW w:w="1650"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507" w:hRule="atLeast"/>
          <w:cantSplit w:val="true"/>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申诉事项</w:t>
            </w:r>
          </w:p>
        </w:tc>
        <w:tc>
          <w:tcPr>
            <w:tcW w:w="6485" w:type="dxa"/>
            <w:gridSpan w:val="7"/>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549" w:hRule="atLeast"/>
          <w:cantSplit w:val="true"/>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申诉原因摘要</w:t>
            </w:r>
          </w:p>
        </w:tc>
        <w:tc>
          <w:tcPr>
            <w:tcW w:w="6485"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rPr>
            </w:pPr>
            <w:r>
              <w:rPr>
                <w:rFonts w:cs="宋体" w:ascii="宋体" w:hAnsi="宋体"/>
              </w:rPr>
            </w:r>
          </w:p>
        </w:tc>
      </w:tr>
      <w:tr>
        <w:trPr>
          <w:trHeight w:val="458" w:hRule="atLeast"/>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面谈时间</w:t>
            </w:r>
          </w:p>
        </w:tc>
        <w:tc>
          <w:tcPr>
            <w:tcW w:w="272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宋体" w:hAnsi="宋体"/>
              </w:rPr>
            </w:r>
          </w:p>
        </w:tc>
        <w:tc>
          <w:tcPr>
            <w:tcW w:w="12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接待人</w:t>
            </w:r>
          </w:p>
        </w:tc>
        <w:tc>
          <w:tcPr>
            <w:tcW w:w="2555"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760" w:hRule="atLeast"/>
          <w:cantSplit w:val="true"/>
        </w:trPr>
        <w:tc>
          <w:tcPr>
            <w:tcW w:w="754"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rPr>
            </w:pPr>
            <w:r>
              <w:rPr>
                <w:rFonts w:ascii="宋体" w:hAnsi="宋体" w:cs="宋体"/>
              </w:rPr>
              <w:t>处理记录</w:t>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rPr>
                <w:rFonts w:ascii="宋体" w:hAnsi="宋体" w:cs="宋体"/>
              </w:rPr>
            </w:pPr>
            <w:r>
              <w:rPr>
                <w:rFonts w:ascii="宋体" w:hAnsi="宋体" w:cs="宋体"/>
              </w:rPr>
              <w:t>问题简要描述：</w:t>
            </w:r>
          </w:p>
        </w:tc>
      </w:tr>
      <w:tr>
        <w:trPr>
          <w:trHeight w:val="926"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before="240" w:after="0"/>
              <w:jc w:val="center"/>
              <w:rPr>
                <w:rFonts w:ascii="宋体" w:hAnsi="宋体" w:cs="宋体"/>
              </w:rPr>
            </w:pPr>
            <w:r>
              <w:rPr>
                <w:rFonts w:cs="宋体" w:ascii="宋体" w:hAnsi="宋体"/>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rPr>
                <w:rFonts w:ascii="宋体" w:hAnsi="宋体" w:cs="宋体"/>
              </w:rPr>
            </w:pPr>
            <w:r>
              <w:rPr>
                <w:rFonts w:ascii="宋体" w:hAnsi="宋体" w:cs="宋体"/>
              </w:rPr>
              <w:t>调查情况</w:t>
            </w:r>
            <w:r>
              <w:rPr>
                <w:rFonts w:cs="宋体" w:ascii="宋体" w:hAnsi="宋体"/>
              </w:rPr>
              <w:t>:</w:t>
            </w:r>
          </w:p>
        </w:tc>
      </w:tr>
      <w:tr>
        <w:trPr>
          <w:trHeight w:val="909"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before="240" w:after="0"/>
              <w:jc w:val="center"/>
              <w:rPr>
                <w:rFonts w:ascii="宋体" w:hAnsi="宋体" w:cs="宋体"/>
              </w:rPr>
            </w:pPr>
            <w:r>
              <w:rPr>
                <w:rFonts w:cs="宋体" w:ascii="宋体" w:hAnsi="宋体"/>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rPr>
                <w:rFonts w:ascii="宋体" w:hAnsi="宋体" w:cs="宋体"/>
              </w:rPr>
            </w:pPr>
            <w:r>
              <w:rPr>
                <w:rFonts w:ascii="宋体" w:hAnsi="宋体" w:cs="宋体"/>
              </w:rPr>
              <w:t>建议解决方案：</w:t>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tc>
      </w:tr>
      <w:tr>
        <w:trPr>
          <w:trHeight w:val="1239"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jc w:val="center"/>
              <w:rPr>
                <w:rFonts w:ascii="宋体" w:hAnsi="宋体" w:cs="宋体"/>
              </w:rPr>
            </w:pPr>
            <w:r>
              <w:rPr>
                <w:rFonts w:cs="宋体" w:ascii="宋体" w:hAnsi="宋体"/>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rPr>
                <w:rFonts w:ascii="宋体" w:hAnsi="宋体" w:cs="宋体"/>
              </w:rPr>
            </w:pPr>
            <w:r>
              <w:rPr>
                <w:rFonts w:ascii="宋体" w:hAnsi="宋体" w:cs="宋体"/>
              </w:rPr>
              <w:t>协调结果：</w:t>
            </w:r>
          </w:p>
          <w:p>
            <w:pPr>
              <w:pStyle w:val="Normal"/>
              <w:rPr>
                <w:rFonts w:ascii="宋体" w:hAnsi="宋体" w:cs="宋体"/>
              </w:rPr>
            </w:pPr>
            <w:r>
              <w:rPr>
                <w:rFonts w:cs="宋体" w:ascii="宋体" w:hAnsi="宋体"/>
              </w:rPr>
            </w:r>
          </w:p>
        </w:tc>
      </w:tr>
      <w:tr>
        <w:trPr>
          <w:trHeight w:val="540" w:hRule="atLeast"/>
          <w:cantSplit w:val="true"/>
        </w:trPr>
        <w:tc>
          <w:tcPr>
            <w:tcW w:w="8242" w:type="dxa"/>
            <w:gridSpan w:val="9"/>
            <w:tcBorders>
              <w:top w:val="single" w:sz="4" w:space="0" w:color="000000"/>
              <w:start w:val="single" w:sz="12" w:space="0" w:color="000000"/>
              <w:bottom w:val="single" w:sz="4" w:space="0" w:color="000000"/>
              <w:end w:val="single" w:sz="12" w:space="0" w:color="000000"/>
            </w:tcBorders>
            <w:vAlign w:val="center"/>
          </w:tcPr>
          <w:p>
            <w:pPr>
              <w:pStyle w:val="Normal"/>
              <w:rPr>
                <w:rFonts w:ascii="宋体" w:hAnsi="宋体" w:cs="宋体"/>
              </w:rPr>
            </w:pPr>
            <w:r>
              <w:rPr>
                <w:rFonts w:ascii="宋体" w:hAnsi="宋体" w:cs="宋体"/>
              </w:rPr>
              <w:t>经办人</w:t>
            </w:r>
            <w:r>
              <w:rPr>
                <w:rFonts w:cs="宋体" w:ascii="宋体" w:hAnsi="宋体"/>
              </w:rPr>
              <w:t>:</w:t>
            </w:r>
          </w:p>
        </w:tc>
      </w:tr>
      <w:tr>
        <w:trPr>
          <w:trHeight w:val="467" w:hRule="atLeast"/>
          <w:cantSplit w:val="true"/>
        </w:trPr>
        <w:tc>
          <w:tcPr>
            <w:tcW w:w="8242" w:type="dxa"/>
            <w:gridSpan w:val="9"/>
            <w:tcBorders>
              <w:top w:val="single" w:sz="4" w:space="0" w:color="000000"/>
              <w:start w:val="single" w:sz="12" w:space="0" w:color="000000"/>
              <w:bottom w:val="single" w:sz="12" w:space="0" w:color="000000"/>
              <w:end w:val="single" w:sz="12" w:space="0" w:color="000000"/>
            </w:tcBorders>
            <w:vAlign w:val="center"/>
          </w:tcPr>
          <w:p>
            <w:pPr>
              <w:pStyle w:val="Normal"/>
              <w:rPr>
                <w:rFonts w:ascii="宋体" w:hAnsi="宋体" w:cs="宋体"/>
              </w:rPr>
            </w:pPr>
            <w:r>
              <w:rPr>
                <w:rFonts w:ascii="宋体" w:hAnsi="宋体" w:cs="宋体"/>
              </w:rPr>
              <w:t>备  注：</w:t>
            </w:r>
          </w:p>
        </w:tc>
      </w:tr>
    </w:tbl>
    <w:p>
      <w:pPr>
        <w:sectPr>
          <w:headerReference w:type="default" r:id="rId10"/>
          <w:footerReference w:type="default" r:id="rId11"/>
          <w:type w:val="nextPage"/>
          <w:pgSz w:w="11906" w:h="16838"/>
          <w:pgMar w:left="1797" w:right="1797" w:header="851" w:top="1440" w:footer="992" w:bottom="1440" w:gutter="0"/>
          <w:pgNumType w:fmt="decimal"/>
          <w:formProt w:val="false"/>
          <w:textDirection w:val="lrTb"/>
          <w:docGrid w:type="linesAndChars" w:linePitch="312" w:charSpace="0"/>
        </w:sectPr>
        <w:pStyle w:val="Normal"/>
        <w:rPr>
          <w:rFonts w:ascii="宋体" w:hAnsi="宋体" w:cs="宋体"/>
        </w:rPr>
      </w:pPr>
      <w:r>
        <w:rPr>
          <w:rFonts w:cs="宋体" w:ascii="宋体" w:hAnsi="宋体"/>
        </w:rPr>
      </w:r>
    </w:p>
    <w:p>
      <w:pPr>
        <w:pStyle w:val="Heading2"/>
        <w:keepNext w:val="false"/>
        <w:keepLines w:val="false"/>
        <w:numPr>
          <w:ilvl w:val="0"/>
          <w:numId w:val="0"/>
        </w:numPr>
        <w:spacing w:lineRule="auto" w:line="240" w:before="156" w:after="240"/>
        <w:ind w:start="0" w:hanging="0"/>
        <w:jc w:val="center"/>
        <w:rPr>
          <w:sz w:val="28"/>
          <w:szCs w:val="28"/>
        </w:rPr>
      </w:pPr>
      <w:bookmarkStart w:id="2" w:name="__RefHeading___Toc230237845"/>
      <w:bookmarkEnd w:id="2"/>
      <w:r>
        <w:rPr>
          <w:sz w:val="28"/>
          <w:szCs w:val="28"/>
        </w:rPr>
        <w:t>第</w:t>
      </w:r>
      <w:r>
        <w:rPr>
          <w:sz w:val="28"/>
          <w:szCs w:val="28"/>
          <w:lang w:eastAsia="zh-CN"/>
        </w:rPr>
        <w:t>六</w:t>
      </w:r>
      <w:r>
        <w:rPr>
          <w:sz w:val="28"/>
          <w:szCs w:val="28"/>
        </w:rPr>
        <w:t>章</w:t>
      </w:r>
      <w:r>
        <w:rPr>
          <w:rFonts w:eastAsia="Cambria"/>
          <w:sz w:val="28"/>
          <w:szCs w:val="28"/>
        </w:rPr>
        <w:t xml:space="preserve">  </w:t>
      </w:r>
      <w:r>
        <w:rPr>
          <w:sz w:val="28"/>
          <w:szCs w:val="28"/>
        </w:rPr>
        <w:t>附则</w:t>
      </w:r>
    </w:p>
    <w:p>
      <w:pPr>
        <w:pStyle w:val="Normal"/>
        <w:numPr>
          <w:ilvl w:val="0"/>
          <w:numId w:val="0"/>
        </w:numPr>
        <w:spacing w:lineRule="auto" w:line="360"/>
        <w:ind w:start="510" w:hanging="0"/>
        <w:rPr>
          <w:sz w:val="24"/>
        </w:rPr>
      </w:pPr>
      <w:r>
        <w:rPr>
          <w:b/>
          <w:bCs/>
          <w:sz w:val="24"/>
          <w:lang w:eastAsia="zh-CN"/>
        </w:rPr>
        <w:t>第三十二条</w:t>
      </w:r>
      <w:r>
        <w:rPr>
          <w:rFonts w:eastAsia="Times New Roman"/>
          <w:sz w:val="24"/>
          <w:lang w:val="en-US" w:eastAsia="zh-CN"/>
        </w:rPr>
        <w:t xml:space="preserve"> </w:t>
      </w:r>
      <w:r>
        <w:rPr>
          <w:sz w:val="24"/>
        </w:rPr>
        <w:t>考核过程文件（考核评分表、统计表）严格保密，考核结果只反馈到个人，不予公布。</w:t>
      </w:r>
    </w:p>
    <w:p>
      <w:pPr>
        <w:pStyle w:val="Normal"/>
        <w:numPr>
          <w:ilvl w:val="0"/>
          <w:numId w:val="0"/>
        </w:numPr>
        <w:spacing w:lineRule="auto" w:line="360"/>
        <w:ind w:start="510" w:hanging="0"/>
        <w:rPr>
          <w:sz w:val="24"/>
        </w:rPr>
      </w:pPr>
      <w:r>
        <w:rPr>
          <w:b/>
          <w:bCs/>
          <w:sz w:val="24"/>
          <w:lang w:eastAsia="zh-CN"/>
        </w:rPr>
        <w:t>第三十三条</w:t>
      </w:r>
      <w:r>
        <w:rPr>
          <w:rFonts w:eastAsia="Times New Roman"/>
          <w:b/>
          <w:bCs/>
          <w:sz w:val="24"/>
          <w:lang w:val="en-US" w:eastAsia="zh-CN"/>
        </w:rPr>
        <w:t xml:space="preserve"> </w:t>
      </w:r>
      <w:r>
        <w:rPr>
          <w:sz w:val="24"/>
        </w:rPr>
        <w:t>本办法由人力资源部制定、修改并负责解释。</w:t>
      </w:r>
    </w:p>
    <w:p>
      <w:pPr>
        <w:pStyle w:val="Normal"/>
        <w:numPr>
          <w:ilvl w:val="0"/>
          <w:numId w:val="0"/>
        </w:numPr>
        <w:spacing w:lineRule="auto" w:line="360"/>
        <w:ind w:start="510" w:hanging="0"/>
        <w:rPr>
          <w:sz w:val="24"/>
        </w:rPr>
      </w:pPr>
      <w:r>
        <w:rPr>
          <w:b/>
          <w:bCs/>
          <w:sz w:val="24"/>
          <w:lang w:eastAsia="zh-CN"/>
        </w:rPr>
        <w:t>第三十四条</w:t>
      </w:r>
      <w:r>
        <w:rPr>
          <w:rFonts w:eastAsia="Times New Roman"/>
          <w:sz w:val="24"/>
          <w:lang w:val="en-US" w:eastAsia="zh-CN"/>
        </w:rPr>
        <w:t xml:space="preserve"> </w:t>
      </w:r>
      <w:r>
        <w:rPr>
          <w:sz w:val="24"/>
        </w:rPr>
        <w:t>本办法实施后，原有考核规章制度自行终止。如另有与本办法相抵触的规定，一律以本办法为准。</w:t>
      </w:r>
    </w:p>
    <w:p>
      <w:pPr>
        <w:pStyle w:val="Normal"/>
        <w:numPr>
          <w:ilvl w:val="0"/>
          <w:numId w:val="0"/>
        </w:numPr>
        <w:spacing w:lineRule="auto" w:line="360"/>
        <w:ind w:start="510" w:hanging="0"/>
        <w:rPr>
          <w:rFonts w:eastAsia="宋体"/>
          <w:b w:val="false"/>
          <w:b w:val="false"/>
          <w:bCs w:val="false"/>
          <w:sz w:val="24"/>
          <w:lang w:eastAsia="zh-CN"/>
        </w:rPr>
      </w:pPr>
      <w:r>
        <w:rPr>
          <w:b/>
          <w:bCs/>
          <w:sz w:val="24"/>
          <w:lang w:eastAsia="zh-CN"/>
        </w:rPr>
        <w:t>第三十五条</w:t>
      </w:r>
      <w:r>
        <w:rPr>
          <w:rFonts w:eastAsia="Times New Roman"/>
          <w:b/>
          <w:bCs/>
          <w:sz w:val="24"/>
          <w:lang w:val="en-US" w:eastAsia="zh-CN"/>
        </w:rPr>
        <w:t xml:space="preserve"> </w:t>
      </w:r>
      <w:r>
        <w:rPr>
          <w:b w:val="false"/>
          <w:bCs w:val="false"/>
          <w:sz w:val="24"/>
          <w:lang w:val="en-US" w:eastAsia="zh-CN"/>
        </w:rPr>
        <w:t>如果考虑到月度考核时间很紧张，那么就实行季度考核</w:t>
      </w:r>
      <w:r>
        <w:rPr>
          <w:b w:val="false"/>
          <w:bCs w:val="false"/>
          <w:sz w:val="24"/>
          <w:lang w:val="en-US" w:eastAsia="zh-CN"/>
        </w:rPr>
        <w:t>.</w:t>
      </w:r>
    </w:p>
    <w:p>
      <w:pPr>
        <w:pStyle w:val="Normal"/>
        <w:spacing w:lineRule="auto" w:line="360"/>
        <w:rPr>
          <w:rFonts w:eastAsia="宋体"/>
          <w:b/>
          <w:b/>
          <w:bCs/>
          <w:sz w:val="24"/>
          <w:lang w:eastAsia="zh-CN"/>
        </w:rPr>
      </w:pPr>
      <w:r>
        <w:rPr>
          <w:rFonts w:eastAsia="宋体"/>
          <w:b/>
          <w:bCs/>
          <w:sz w:val="24"/>
          <w:lang w:eastAsia="zh-CN"/>
        </w:rPr>
      </w:r>
    </w:p>
    <w:p>
      <w:pPr>
        <w:pStyle w:val="Normal"/>
        <w:spacing w:lineRule="auto" w:line="360"/>
        <w:rPr>
          <w:b/>
          <w:b/>
          <w:bCs/>
          <w:sz w:val="24"/>
        </w:rPr>
      </w:pPr>
      <w:r>
        <w:rPr>
          <w:b/>
          <w:bCs/>
          <w:sz w:val="24"/>
        </w:rPr>
      </w:r>
      <w:r>
        <w:br w:type="page"/>
      </w:r>
    </w:p>
    <w:p>
      <w:pPr>
        <w:pStyle w:val="Normal"/>
        <w:rPr>
          <w:rFonts w:ascii="楷体_GB2312;宋体" w:hAnsi="楷体_GB2312;宋体" w:eastAsia="楷体_GB2312;宋体"/>
          <w:b/>
          <w:b/>
          <w:sz w:val="32"/>
          <w:szCs w:val="32"/>
        </w:rPr>
      </w:pPr>
      <w:r>
        <w:rPr>
          <w:rFonts w:ascii="楷体_GB2312;宋体" w:hAnsi="楷体_GB2312;宋体" w:eastAsia="楷体_GB2312;宋体"/>
          <w:b/>
          <w:sz w:val="32"/>
          <w:szCs w:val="32"/>
        </w:rPr>
        <w:t>二、高层绩效考核表</w:t>
      </w:r>
    </w:p>
    <w:p>
      <w:pPr>
        <w:pStyle w:val="Normal"/>
        <w:numPr>
          <w:ilvl w:val="0"/>
          <w:numId w:val="0"/>
        </w:numPr>
        <w:spacing w:lineRule="auto" w:line="360"/>
        <w:jc w:val="center"/>
        <w:outlineLvl w:val="0"/>
        <w:rPr>
          <w:rFonts w:ascii="宋体" w:hAnsi="宋体" w:eastAsia="楷体_GB2312;宋体" w:cs="宋体"/>
          <w:b/>
          <w:b/>
          <w:sz w:val="24"/>
          <w:szCs w:val="32"/>
        </w:rPr>
      </w:pPr>
      <w:r>
        <w:rPr>
          <w:rFonts w:eastAsia="楷体_GB2312;宋体" w:cs="宋体" w:ascii="宋体" w:hAnsi="宋体"/>
          <w:b/>
          <w:sz w:val="24"/>
          <w:szCs w:val="32"/>
        </w:rPr>
      </w:r>
    </w:p>
    <w:p>
      <w:pPr>
        <w:pStyle w:val="Normal"/>
        <w:numPr>
          <w:ilvl w:val="0"/>
          <w:numId w:val="0"/>
        </w:numPr>
        <w:spacing w:lineRule="auto" w:line="360"/>
        <w:jc w:val="center"/>
        <w:outlineLvl w:val="0"/>
        <w:rPr>
          <w:rFonts w:ascii="宋体" w:hAnsi="宋体" w:cs="宋体"/>
          <w:sz w:val="24"/>
        </w:rPr>
      </w:pPr>
      <w:r>
        <w:rPr>
          <w:rFonts w:ascii="宋体" w:hAnsi="宋体" w:cs="宋体"/>
          <w:b/>
          <w:sz w:val="24"/>
        </w:rPr>
        <w:t>总经理考核评分表（月度）</w:t>
      </w:r>
    </w:p>
    <w:p>
      <w:pPr>
        <w:pStyle w:val="Normal"/>
        <w:rPr>
          <w:rFonts w:ascii="宋体" w:hAnsi="宋体" w:cs="宋体"/>
          <w:sz w:val="24"/>
        </w:rPr>
      </w:pPr>
      <w:r>
        <w:rPr>
          <w:rFonts w:cs="宋体" w:ascii="宋体" w:hAnsi="宋体"/>
          <w:sz w:val="24"/>
        </w:rPr>
      </w:r>
    </w:p>
    <w:tbl>
      <w:tblPr>
        <w:tblW w:w="9344" w:type="dxa"/>
        <w:jc w:val="start"/>
        <w:tblInd w:w="-176" w:type="dxa"/>
        <w:tblLayout w:type="fixed"/>
        <w:tblCellMar>
          <w:top w:w="0" w:type="dxa"/>
          <w:start w:w="108" w:type="dxa"/>
          <w:bottom w:w="0" w:type="dxa"/>
          <w:end w:w="108" w:type="dxa"/>
        </w:tblCellMar>
      </w:tblPr>
      <w:tblGrid>
        <w:gridCol w:w="894"/>
        <w:gridCol w:w="501"/>
        <w:gridCol w:w="93"/>
        <w:gridCol w:w="1043"/>
        <w:gridCol w:w="637"/>
        <w:gridCol w:w="775"/>
        <w:gridCol w:w="759"/>
        <w:gridCol w:w="103"/>
        <w:gridCol w:w="522"/>
        <w:gridCol w:w="2111"/>
        <w:gridCol w:w="230"/>
        <w:gridCol w:w="492"/>
        <w:gridCol w:w="338"/>
        <w:gridCol w:w="70"/>
        <w:gridCol w:w="776"/>
      </w:tblGrid>
      <w:tr>
        <w:trPr>
          <w:trHeight w:val="340" w:hRule="atLeast"/>
          <w:cantSplit w:val="true"/>
        </w:trPr>
        <w:tc>
          <w:tcPr>
            <w:tcW w:w="894"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姓名</w:t>
            </w:r>
          </w:p>
        </w:tc>
        <w:tc>
          <w:tcPr>
            <w:tcW w:w="3049" w:type="dxa"/>
            <w:gridSpan w:val="5"/>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384"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岗位</w:t>
            </w:r>
          </w:p>
        </w:tc>
        <w:tc>
          <w:tcPr>
            <w:tcW w:w="4017" w:type="dxa"/>
            <w:gridSpan w:val="6"/>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任务</w:t>
            </w:r>
          </w:p>
          <w:p>
            <w:pPr>
              <w:pStyle w:val="Normal"/>
              <w:jc w:val="center"/>
              <w:rPr>
                <w:rFonts w:ascii="宋体" w:hAnsi="宋体" w:cs="宋体"/>
              </w:rPr>
            </w:pPr>
            <w:r>
              <w:rPr>
                <w:rFonts w:ascii="宋体" w:hAnsi="宋体" w:cs="宋体"/>
              </w:rPr>
              <w:t>绩效</w:t>
            </w:r>
          </w:p>
          <w:p>
            <w:pPr>
              <w:pStyle w:val="Normal"/>
              <w:jc w:val="center"/>
              <w:rPr>
                <w:rFonts w:ascii="宋体" w:hAnsi="宋体" w:cs="宋体"/>
              </w:rPr>
            </w:pPr>
            <w:r>
              <w:rPr>
                <w:rFonts w:cs="宋体" w:ascii="宋体" w:hAnsi="宋体"/>
              </w:rPr>
              <w:t>60%</w:t>
            </w:r>
          </w:p>
          <w:p>
            <w:pPr>
              <w:pStyle w:val="Normal"/>
              <w:jc w:val="center"/>
              <w:rPr>
                <w:rFonts w:ascii="宋体" w:hAnsi="宋体" w:cs="宋体"/>
              </w:rPr>
            </w:pPr>
            <w:r>
              <w:rPr>
                <w:rFonts w:cs="宋体" w:ascii="宋体" w:hAnsi="宋体"/>
              </w:rPr>
              <w:t>(A)</w:t>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序号</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指标</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宋体" w:hAnsi="宋体" w:cs="宋体"/>
              </w:rPr>
            </w:pPr>
            <w:r>
              <w:rPr>
                <w:rFonts w:ascii="宋体" w:hAnsi="宋体" w:cs="宋体"/>
              </w:rPr>
              <w:t>权重</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完成情况</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评分等级</w:t>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 w:hAnsi="宋体" w:cs="宋体"/>
              </w:rPr>
            </w:pPr>
            <w:r>
              <w:rPr>
                <w:rFonts w:ascii="宋体" w:hAnsi="宋体" w:cs="宋体"/>
              </w:rPr>
              <w:t>得分</w:t>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1</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销售额目标完成率</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30%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A</w:t>
            </w:r>
            <w:r>
              <w:rPr>
                <w:rFonts w:ascii="宋体" w:hAnsi="宋体" w:cs="宋体"/>
              </w:rPr>
              <w:t>）销售额目标完成</w:t>
            </w:r>
            <w:r>
              <w:rPr>
                <w:rFonts w:cs="宋体" w:ascii="宋体" w:hAnsi="宋体"/>
              </w:rPr>
              <w:t>100%</w:t>
            </w:r>
            <w:r>
              <w:rPr>
                <w:rFonts w:ascii="宋体" w:hAnsi="宋体" w:cs="宋体"/>
              </w:rPr>
              <w:t>以上得</w:t>
            </w:r>
            <w:r>
              <w:rPr>
                <w:rFonts w:cs="宋体" w:ascii="宋体" w:hAnsi="宋体"/>
              </w:rPr>
              <w:t>30</w:t>
            </w:r>
            <w:r>
              <w:rPr>
                <w:rFonts w:ascii="宋体" w:hAnsi="宋体" w:cs="宋体"/>
              </w:rPr>
              <w:t>分</w:t>
            </w:r>
          </w:p>
          <w:p>
            <w:pPr>
              <w:pStyle w:val="Normal"/>
              <w:jc w:val="center"/>
              <w:rPr>
                <w:rFonts w:ascii="宋体" w:hAnsi="宋体" w:cs="宋体"/>
              </w:rPr>
            </w:pPr>
            <w:r>
              <w:rPr>
                <w:rFonts w:cs="宋体" w:ascii="宋体" w:hAnsi="宋体"/>
              </w:rPr>
              <w:t>B</w:t>
            </w:r>
            <w:r>
              <w:rPr>
                <w:rFonts w:ascii="宋体" w:hAnsi="宋体" w:cs="宋体"/>
              </w:rPr>
              <w:t>）销售额目标完成</w:t>
            </w:r>
            <w:r>
              <w:rPr>
                <w:rFonts w:cs="宋体" w:ascii="宋体" w:hAnsi="宋体"/>
              </w:rPr>
              <w:t>90%</w:t>
            </w:r>
            <w:r>
              <w:rPr>
                <w:rFonts w:ascii="宋体" w:hAnsi="宋体" w:cs="宋体"/>
              </w:rPr>
              <w:t>以上得</w:t>
            </w:r>
            <w:r>
              <w:rPr>
                <w:rFonts w:cs="宋体" w:ascii="宋体" w:hAnsi="宋体"/>
              </w:rPr>
              <w:t>20</w:t>
            </w:r>
            <w:r>
              <w:rPr>
                <w:rFonts w:ascii="宋体" w:hAnsi="宋体" w:cs="宋体"/>
              </w:rPr>
              <w:t>分</w:t>
            </w:r>
          </w:p>
          <w:p>
            <w:pPr>
              <w:pStyle w:val="Normal"/>
              <w:jc w:val="center"/>
              <w:rPr>
                <w:rFonts w:ascii="宋体" w:hAnsi="宋体" w:cs="宋体"/>
              </w:rPr>
            </w:pPr>
            <w:r>
              <w:rPr>
                <w:rFonts w:cs="宋体" w:ascii="宋体" w:hAnsi="宋体"/>
              </w:rPr>
              <w:t>C</w:t>
            </w:r>
            <w:r>
              <w:rPr>
                <w:rFonts w:ascii="宋体" w:hAnsi="宋体" w:cs="宋体"/>
              </w:rPr>
              <w:t>）销售额目标低于</w:t>
            </w:r>
            <w:r>
              <w:rPr>
                <w:rFonts w:cs="宋体" w:ascii="宋体" w:hAnsi="宋体"/>
              </w:rPr>
              <w:t>90%</w:t>
            </w:r>
            <w:r>
              <w:rPr>
                <w:rFonts w:ascii="宋体" w:hAnsi="宋体" w:cs="宋体"/>
              </w:rPr>
              <w:t>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2</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ind w:firstLine="315"/>
              <w:rPr>
                <w:rFonts w:ascii="宋体" w:hAnsi="宋体" w:cs="宋体"/>
              </w:rPr>
            </w:pPr>
            <w:r>
              <w:rPr/>
              <w:t>生产原材料成本控制率</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pPr>
            <w:r>
              <w:rPr/>
              <w:t>10%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numPr>
                <w:ilvl w:val="0"/>
                <w:numId w:val="4"/>
              </w:numPr>
              <w:jc w:val="center"/>
              <w:rPr>
                <w:rFonts w:ascii="宋体" w:hAnsi="宋体" w:cs="宋体"/>
              </w:rPr>
            </w:pPr>
            <w:r>
              <w:rPr>
                <w:rFonts w:ascii="宋体" w:hAnsi="宋体" w:cs="宋体"/>
              </w:rPr>
              <w:t>生产原材料成本控制率在</w:t>
            </w:r>
            <w:r>
              <w:rPr>
                <w:rFonts w:cs="宋体" w:ascii="宋体" w:hAnsi="宋体"/>
              </w:rPr>
              <w:t>25%</w:t>
            </w:r>
            <w:r>
              <w:rPr>
                <w:rFonts w:ascii="宋体" w:hAnsi="宋体" w:cs="宋体"/>
              </w:rPr>
              <w:t>以内得</w:t>
            </w:r>
            <w:r>
              <w:rPr>
                <w:rFonts w:cs="宋体" w:ascii="宋体" w:hAnsi="宋体"/>
              </w:rPr>
              <w:t>10</w:t>
            </w:r>
            <w:r>
              <w:rPr>
                <w:rFonts w:ascii="宋体" w:hAnsi="宋体" w:cs="宋体"/>
              </w:rPr>
              <w:t>分</w:t>
            </w:r>
          </w:p>
          <w:p>
            <w:pPr>
              <w:pStyle w:val="Normal"/>
              <w:numPr>
                <w:ilvl w:val="0"/>
                <w:numId w:val="4"/>
              </w:numPr>
              <w:jc w:val="center"/>
              <w:rPr>
                <w:rFonts w:ascii="宋体" w:hAnsi="宋体" w:cs="宋体"/>
              </w:rPr>
            </w:pPr>
            <w:r>
              <w:rPr>
                <w:rFonts w:ascii="宋体" w:hAnsi="宋体" w:cs="宋体"/>
              </w:rPr>
              <w:t>生产原材料成本控制率在</w:t>
            </w:r>
            <w:r>
              <w:rPr>
                <w:rFonts w:cs="宋体" w:ascii="宋体" w:hAnsi="宋体"/>
              </w:rPr>
              <w:t>30%</w:t>
            </w:r>
            <w:r>
              <w:rPr>
                <w:rFonts w:ascii="宋体" w:hAnsi="宋体" w:cs="宋体"/>
              </w:rPr>
              <w:t>以内得</w:t>
            </w:r>
            <w:r>
              <w:rPr>
                <w:rFonts w:cs="宋体" w:ascii="宋体" w:hAnsi="宋体"/>
              </w:rPr>
              <w:t>5</w:t>
            </w:r>
            <w:r>
              <w:rPr>
                <w:rFonts w:ascii="宋体" w:hAnsi="宋体" w:cs="宋体"/>
              </w:rPr>
              <w:t>分</w:t>
            </w:r>
          </w:p>
          <w:p>
            <w:pPr>
              <w:pStyle w:val="Normal"/>
              <w:numPr>
                <w:ilvl w:val="0"/>
                <w:numId w:val="4"/>
              </w:numPr>
              <w:jc w:val="center"/>
              <w:rPr>
                <w:rFonts w:ascii="宋体" w:hAnsi="宋体" w:cs="宋体"/>
              </w:rPr>
            </w:pPr>
            <w:r>
              <w:rPr>
                <w:rFonts w:ascii="宋体" w:hAnsi="宋体" w:cs="宋体"/>
              </w:rPr>
              <w:t>生产原材料成本控制率在</w:t>
            </w:r>
            <w:r>
              <w:rPr>
                <w:rFonts w:cs="宋体" w:ascii="宋体" w:hAnsi="宋体"/>
              </w:rPr>
              <w:t>30%</w:t>
            </w:r>
            <w:r>
              <w:rPr>
                <w:rFonts w:ascii="宋体" w:hAnsi="宋体" w:cs="宋体"/>
              </w:rPr>
              <w:t>以上得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3</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生产成本降低率及次品率</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宋体" w:hAnsi="宋体" w:cs="宋体"/>
              </w:rPr>
            </w:pPr>
            <w:r>
              <w:rPr>
                <w:rFonts w:cs="宋体" w:ascii="宋体" w:hAnsi="宋体"/>
              </w:rPr>
              <w:t>10%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A</w:t>
            </w:r>
            <w:r>
              <w:rPr>
                <w:rFonts w:ascii="宋体" w:hAnsi="宋体" w:cs="宋体"/>
              </w:rPr>
              <w:t>）生产成本降低率</w:t>
            </w:r>
            <w:r>
              <w:rPr>
                <w:rFonts w:cs="宋体" w:ascii="宋体" w:hAnsi="宋体"/>
              </w:rPr>
              <w:t>1‰</w:t>
            </w:r>
            <w:r>
              <w:rPr>
                <w:rFonts w:ascii="宋体" w:hAnsi="宋体" w:cs="宋体"/>
              </w:rPr>
              <w:t>，次品率</w:t>
            </w:r>
            <w:r>
              <w:rPr>
                <w:rFonts w:cs="宋体" w:ascii="宋体" w:hAnsi="宋体"/>
              </w:rPr>
              <w:t>1‰</w:t>
            </w:r>
            <w:r>
              <w:rPr>
                <w:rFonts w:ascii="宋体" w:hAnsi="宋体" w:cs="宋体"/>
              </w:rPr>
              <w:t>得</w:t>
            </w:r>
            <w:r>
              <w:rPr>
                <w:rFonts w:cs="宋体" w:ascii="宋体" w:hAnsi="宋体"/>
              </w:rPr>
              <w:t>10</w:t>
            </w:r>
            <w:r>
              <w:rPr>
                <w:rFonts w:ascii="宋体" w:hAnsi="宋体" w:cs="宋体"/>
              </w:rPr>
              <w:t>分</w:t>
            </w:r>
          </w:p>
          <w:p>
            <w:pPr>
              <w:pStyle w:val="Normal"/>
              <w:jc w:val="center"/>
              <w:rPr>
                <w:rFonts w:ascii="宋体" w:hAnsi="宋体" w:cs="宋体"/>
              </w:rPr>
            </w:pPr>
            <w:r>
              <w:rPr>
                <w:rFonts w:cs="宋体" w:ascii="宋体" w:hAnsi="宋体"/>
              </w:rPr>
              <w:t>B</w:t>
            </w:r>
            <w:r>
              <w:rPr>
                <w:rFonts w:ascii="宋体" w:hAnsi="宋体" w:cs="宋体"/>
              </w:rPr>
              <w:t>）生产成本降低度</w:t>
            </w:r>
            <w:r>
              <w:rPr>
                <w:rFonts w:cs="宋体" w:ascii="宋体" w:hAnsi="宋体"/>
              </w:rPr>
              <w:t>1‰</w:t>
            </w:r>
            <w:r>
              <w:rPr>
                <w:rFonts w:ascii="宋体" w:hAnsi="宋体" w:cs="宋体"/>
              </w:rPr>
              <w:t>或次品率</w:t>
            </w:r>
            <w:r>
              <w:rPr>
                <w:rFonts w:cs="宋体" w:ascii="宋体" w:hAnsi="宋体"/>
              </w:rPr>
              <w:t>1%</w:t>
            </w:r>
            <w:r>
              <w:rPr>
                <w:rFonts w:ascii="宋体" w:hAnsi="宋体" w:cs="宋体"/>
              </w:rPr>
              <w:t>，得</w:t>
            </w:r>
            <w:r>
              <w:rPr>
                <w:rFonts w:cs="宋体" w:ascii="宋体" w:hAnsi="宋体"/>
              </w:rPr>
              <w:t>5</w:t>
            </w:r>
            <w:r>
              <w:rPr>
                <w:rFonts w:ascii="宋体" w:hAnsi="宋体" w:cs="宋体"/>
              </w:rPr>
              <w:t>分</w:t>
            </w:r>
          </w:p>
          <w:p>
            <w:pPr>
              <w:pStyle w:val="Normal"/>
              <w:jc w:val="center"/>
              <w:rPr>
                <w:rFonts w:ascii="宋体" w:hAnsi="宋体" w:cs="宋体"/>
              </w:rPr>
            </w:pPr>
            <w:r>
              <w:rPr>
                <w:rFonts w:cs="宋体" w:ascii="宋体" w:hAnsi="宋体"/>
              </w:rPr>
              <w:t>C</w:t>
            </w:r>
            <w:r>
              <w:rPr>
                <w:rFonts w:ascii="宋体" w:hAnsi="宋体" w:cs="宋体"/>
              </w:rPr>
              <w:t>）生产成降低率大于</w:t>
            </w:r>
            <w:r>
              <w:rPr>
                <w:rFonts w:cs="宋体" w:ascii="宋体" w:hAnsi="宋体"/>
              </w:rPr>
              <w:t>1‰</w:t>
            </w:r>
            <w:r>
              <w:rPr>
                <w:rFonts w:ascii="宋体" w:hAnsi="宋体" w:cs="宋体"/>
              </w:rPr>
              <w:t>，次品率大于</w:t>
            </w:r>
            <w:r>
              <w:rPr>
                <w:rFonts w:cs="宋体" w:ascii="宋体" w:hAnsi="宋体"/>
              </w:rPr>
              <w:t>1‰</w:t>
            </w:r>
            <w:r>
              <w:rPr>
                <w:rFonts w:ascii="宋体" w:hAnsi="宋体" w:cs="宋体"/>
              </w:rPr>
              <w:t>，得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4</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管理成本预算匹配度</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宋体" w:hAnsi="宋体" w:cs="宋体"/>
              </w:rPr>
            </w:pPr>
            <w:r>
              <w:rPr>
                <w:rFonts w:cs="宋体" w:ascii="宋体" w:hAnsi="宋体"/>
              </w:rPr>
              <w:t>10%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numPr>
                <w:ilvl w:val="0"/>
                <w:numId w:val="18"/>
              </w:numPr>
              <w:rPr>
                <w:rFonts w:ascii="宋体" w:hAnsi="宋体" w:cs="宋体"/>
              </w:rPr>
            </w:pPr>
            <w:r>
              <w:rPr>
                <w:rFonts w:ascii="宋体" w:hAnsi="宋体" w:cs="宋体"/>
              </w:rPr>
              <w:t>实际管理成本与预算要求相差</w:t>
            </w:r>
            <w:r>
              <w:rPr>
                <w:rFonts w:cs="宋体" w:ascii="宋体" w:hAnsi="宋体"/>
                <w:u w:val="single"/>
              </w:rPr>
              <w:t>+</w:t>
            </w:r>
            <w:r>
              <w:rPr>
                <w:rFonts w:cs="宋体" w:ascii="宋体" w:hAnsi="宋体"/>
              </w:rPr>
              <w:t>3%</w:t>
            </w:r>
            <w:r>
              <w:rPr>
                <w:rFonts w:ascii="宋体" w:hAnsi="宋体" w:cs="宋体"/>
              </w:rPr>
              <w:t>以内，得</w:t>
            </w:r>
            <w:r>
              <w:rPr>
                <w:rFonts w:cs="宋体" w:ascii="宋体" w:hAnsi="宋体"/>
              </w:rPr>
              <w:t>10</w:t>
            </w:r>
            <w:r>
              <w:rPr>
                <w:rFonts w:ascii="宋体" w:hAnsi="宋体" w:cs="宋体"/>
              </w:rPr>
              <w:t>分</w:t>
            </w:r>
          </w:p>
          <w:p>
            <w:pPr>
              <w:pStyle w:val="Normal"/>
              <w:numPr>
                <w:ilvl w:val="0"/>
                <w:numId w:val="18"/>
              </w:numPr>
              <w:rPr>
                <w:rFonts w:ascii="宋体" w:hAnsi="宋体" w:cs="宋体"/>
              </w:rPr>
            </w:pPr>
            <w:r>
              <w:rPr>
                <w:rFonts w:ascii="宋体" w:hAnsi="宋体" w:cs="宋体"/>
              </w:rPr>
              <w:t>实际管理成本与预算要求相差</w:t>
            </w:r>
            <w:r>
              <w:rPr>
                <w:rFonts w:cs="宋体" w:ascii="宋体" w:hAnsi="宋体"/>
              </w:rPr>
              <w:t>5%</w:t>
            </w:r>
            <w:r>
              <w:rPr>
                <w:rFonts w:ascii="宋体" w:hAnsi="宋体" w:cs="宋体"/>
              </w:rPr>
              <w:t>以内，得</w:t>
            </w:r>
            <w:r>
              <w:rPr>
                <w:rFonts w:cs="宋体" w:ascii="宋体" w:hAnsi="宋体"/>
              </w:rPr>
              <w:t>5</w:t>
            </w:r>
            <w:r>
              <w:rPr>
                <w:rFonts w:ascii="宋体" w:hAnsi="宋体" w:cs="宋体"/>
              </w:rPr>
              <w:t>分</w:t>
            </w:r>
          </w:p>
          <w:p>
            <w:pPr>
              <w:pStyle w:val="Normal"/>
              <w:numPr>
                <w:ilvl w:val="0"/>
                <w:numId w:val="18"/>
              </w:numPr>
              <w:rPr>
                <w:rFonts w:ascii="宋体" w:hAnsi="宋体" w:cs="宋体"/>
              </w:rPr>
            </w:pPr>
            <w:r>
              <w:rPr>
                <w:rFonts w:ascii="宋体" w:hAnsi="宋体" w:cs="宋体"/>
              </w:rPr>
              <w:t>实际管理成本与预算要求相差超过</w:t>
            </w:r>
            <w:r>
              <w:rPr>
                <w:rFonts w:cs="宋体" w:ascii="宋体" w:hAnsi="宋体"/>
              </w:rPr>
              <w:t>5%</w:t>
            </w:r>
            <w:r>
              <w:rPr>
                <w:rFonts w:ascii="宋体" w:hAnsi="宋体" w:cs="宋体"/>
              </w:rPr>
              <w:t>，得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5</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人才达成率</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pPr>
            <w:r>
              <w:rPr/>
              <w:t>10%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numPr>
                <w:ilvl w:val="0"/>
                <w:numId w:val="3"/>
              </w:numPr>
              <w:rPr>
                <w:rFonts w:ascii="宋体" w:hAnsi="宋体" w:cs="宋体"/>
              </w:rPr>
            </w:pPr>
            <w:r>
              <w:rPr>
                <w:rFonts w:ascii="宋体" w:hAnsi="宋体" w:cs="宋体"/>
              </w:rPr>
              <w:t>人才达成率</w:t>
            </w:r>
            <w:r>
              <w:rPr>
                <w:rFonts w:cs="宋体" w:ascii="宋体" w:hAnsi="宋体"/>
              </w:rPr>
              <w:t>90%</w:t>
            </w:r>
            <w:r>
              <w:rPr>
                <w:rFonts w:ascii="宋体" w:hAnsi="宋体" w:cs="宋体"/>
              </w:rPr>
              <w:t>以上，得</w:t>
            </w:r>
            <w:r>
              <w:rPr>
                <w:rFonts w:cs="宋体" w:ascii="宋体" w:hAnsi="宋体"/>
              </w:rPr>
              <w:t>10</w:t>
            </w:r>
            <w:r>
              <w:rPr>
                <w:rFonts w:ascii="宋体" w:hAnsi="宋体" w:cs="宋体"/>
              </w:rPr>
              <w:t>分</w:t>
            </w:r>
          </w:p>
          <w:p>
            <w:pPr>
              <w:pStyle w:val="Normal"/>
              <w:numPr>
                <w:ilvl w:val="0"/>
                <w:numId w:val="3"/>
              </w:numPr>
              <w:rPr>
                <w:rFonts w:ascii="宋体" w:hAnsi="宋体" w:cs="宋体"/>
              </w:rPr>
            </w:pPr>
            <w:r>
              <w:rPr>
                <w:rFonts w:ascii="宋体" w:hAnsi="宋体" w:cs="宋体"/>
              </w:rPr>
              <w:t>人才达成率</w:t>
            </w:r>
            <w:r>
              <w:rPr>
                <w:rFonts w:cs="宋体" w:ascii="宋体" w:hAnsi="宋体"/>
              </w:rPr>
              <w:t>85%</w:t>
            </w:r>
            <w:r>
              <w:rPr>
                <w:rFonts w:ascii="宋体" w:hAnsi="宋体" w:cs="宋体"/>
              </w:rPr>
              <w:t>以上，得</w:t>
            </w:r>
            <w:r>
              <w:rPr>
                <w:rFonts w:cs="宋体" w:ascii="宋体" w:hAnsi="宋体"/>
              </w:rPr>
              <w:t>5</w:t>
            </w:r>
            <w:r>
              <w:rPr>
                <w:rFonts w:ascii="宋体" w:hAnsi="宋体" w:cs="宋体"/>
              </w:rPr>
              <w:t>分</w:t>
            </w:r>
          </w:p>
          <w:p>
            <w:pPr>
              <w:pStyle w:val="Normal"/>
              <w:numPr>
                <w:ilvl w:val="0"/>
                <w:numId w:val="3"/>
              </w:numPr>
              <w:rPr>
                <w:rFonts w:ascii="宋体" w:hAnsi="宋体" w:cs="宋体"/>
              </w:rPr>
            </w:pPr>
            <w:r>
              <w:rPr>
                <w:rFonts w:ascii="宋体" w:hAnsi="宋体" w:cs="宋体"/>
              </w:rPr>
              <w:t>人才达成率低于</w:t>
            </w:r>
            <w:r>
              <w:rPr>
                <w:rFonts w:cs="宋体" w:ascii="宋体" w:hAnsi="宋体"/>
              </w:rPr>
              <w:t>85%</w:t>
            </w:r>
            <w:r>
              <w:rPr>
                <w:rFonts w:ascii="宋体" w:hAnsi="宋体" w:cs="宋体"/>
              </w:rPr>
              <w:t>，得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6</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费销比</w:t>
            </w:r>
          </w:p>
        </w:tc>
        <w:tc>
          <w:tcPr>
            <w:tcW w:w="86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pPr>
            <w:r>
              <w:rPr/>
              <w:t>10%</w:t>
            </w:r>
          </w:p>
        </w:tc>
        <w:tc>
          <w:tcPr>
            <w:tcW w:w="2863" w:type="dxa"/>
            <w:gridSpan w:val="3"/>
            <w:tcBorders>
              <w:top w:val="single" w:sz="6" w:space="0" w:color="000000"/>
              <w:start w:val="single" w:sz="4" w:space="0" w:color="000000"/>
              <w:bottom w:val="single" w:sz="6" w:space="0" w:color="000000"/>
              <w:end w:val="single" w:sz="6" w:space="0" w:color="000000"/>
            </w:tcBorders>
            <w:vAlign w:val="center"/>
          </w:tcPr>
          <w:p>
            <w:pPr>
              <w:pStyle w:val="Normal"/>
              <w:numPr>
                <w:ilvl w:val="0"/>
                <w:numId w:val="11"/>
              </w:numPr>
              <w:rPr>
                <w:rFonts w:ascii="宋体" w:hAnsi="宋体" w:cs="宋体"/>
              </w:rPr>
            </w:pPr>
            <w:r>
              <w:rPr>
                <w:rFonts w:ascii="宋体" w:hAnsi="宋体" w:cs="宋体"/>
              </w:rPr>
              <w:t>费销比</w:t>
            </w:r>
            <w:r>
              <w:rPr>
                <w:rFonts w:cs="宋体" w:ascii="宋体" w:hAnsi="宋体"/>
              </w:rPr>
              <w:t>20%</w:t>
            </w:r>
            <w:r>
              <w:rPr>
                <w:rFonts w:ascii="宋体" w:hAnsi="宋体" w:cs="宋体"/>
              </w:rPr>
              <w:t>以内得</w:t>
            </w:r>
            <w:r>
              <w:rPr>
                <w:rFonts w:cs="宋体" w:ascii="宋体" w:hAnsi="宋体"/>
              </w:rPr>
              <w:t>10</w:t>
            </w:r>
            <w:r>
              <w:rPr>
                <w:rFonts w:ascii="宋体" w:hAnsi="宋体" w:cs="宋体"/>
              </w:rPr>
              <w:t>分</w:t>
            </w:r>
          </w:p>
          <w:p>
            <w:pPr>
              <w:pStyle w:val="Normal"/>
              <w:numPr>
                <w:ilvl w:val="0"/>
                <w:numId w:val="11"/>
              </w:numPr>
              <w:rPr>
                <w:rFonts w:ascii="宋体" w:hAnsi="宋体" w:cs="宋体"/>
              </w:rPr>
            </w:pPr>
            <w:r>
              <w:rPr>
                <w:rFonts w:ascii="宋体" w:hAnsi="宋体" w:cs="宋体"/>
              </w:rPr>
              <w:t>费销比不超过</w:t>
            </w:r>
            <w:r>
              <w:rPr>
                <w:rFonts w:cs="宋体" w:ascii="宋体" w:hAnsi="宋体"/>
              </w:rPr>
              <w:t>25%</w:t>
            </w:r>
            <w:r>
              <w:rPr>
                <w:rFonts w:ascii="宋体" w:hAnsi="宋体" w:cs="宋体"/>
              </w:rPr>
              <w:t>得</w:t>
            </w:r>
            <w:r>
              <w:rPr>
                <w:rFonts w:cs="宋体" w:ascii="宋体" w:hAnsi="宋体"/>
              </w:rPr>
              <w:t>5</w:t>
            </w:r>
            <w:r>
              <w:rPr>
                <w:rFonts w:ascii="宋体" w:hAnsi="宋体" w:cs="宋体"/>
              </w:rPr>
              <w:t>分</w:t>
            </w:r>
          </w:p>
          <w:p>
            <w:pPr>
              <w:pStyle w:val="Normal"/>
              <w:numPr>
                <w:ilvl w:val="0"/>
                <w:numId w:val="11"/>
              </w:numPr>
              <w:rPr>
                <w:rFonts w:ascii="宋体" w:hAnsi="宋体" w:cs="宋体"/>
              </w:rPr>
            </w:pPr>
            <w:r>
              <w:rPr>
                <w:rFonts w:ascii="宋体" w:hAnsi="宋体" w:cs="宋体"/>
              </w:rPr>
              <w:t>费销比超过</w:t>
            </w:r>
            <w:r>
              <w:rPr>
                <w:rFonts w:cs="宋体" w:ascii="宋体" w:hAnsi="宋体"/>
              </w:rPr>
              <w:t>25%</w:t>
            </w:r>
            <w:r>
              <w:rPr>
                <w:rFonts w:ascii="宋体" w:hAnsi="宋体" w:cs="宋体"/>
              </w:rPr>
              <w:t>得</w:t>
            </w:r>
            <w:r>
              <w:rPr>
                <w:rFonts w:cs="宋体" w:ascii="宋体" w:hAnsi="宋体"/>
              </w:rPr>
              <w:t>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7</w:t>
            </w:r>
          </w:p>
        </w:tc>
        <w:tc>
          <w:tcPr>
            <w:tcW w:w="2455"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合理避税额</w:t>
            </w:r>
          </w:p>
        </w:tc>
        <w:tc>
          <w:tcPr>
            <w:tcW w:w="86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end"/>
              <w:rPr>
                <w:rFonts w:ascii="宋体" w:hAnsi="宋体" w:cs="宋体"/>
              </w:rPr>
            </w:pPr>
            <w:r>
              <w:rPr>
                <w:rFonts w:cs="宋体" w:ascii="宋体" w:hAnsi="宋体"/>
              </w:rPr>
              <w:t>10%</w:t>
            </w:r>
          </w:p>
        </w:tc>
        <w:tc>
          <w:tcPr>
            <w:tcW w:w="2863" w:type="dxa"/>
            <w:gridSpan w:val="3"/>
            <w:vMerge w:val="restart"/>
            <w:tcBorders>
              <w:top w:val="single" w:sz="6" w:space="0" w:color="000000"/>
              <w:start w:val="single" w:sz="4" w:space="0" w:color="000000"/>
              <w:bottom w:val="single" w:sz="6" w:space="0" w:color="000000"/>
              <w:end w:val="single" w:sz="6" w:space="0" w:color="000000"/>
            </w:tcBorders>
            <w:vAlign w:val="center"/>
          </w:tcPr>
          <w:p>
            <w:pPr>
              <w:pStyle w:val="Normal"/>
              <w:numPr>
                <w:ilvl w:val="0"/>
                <w:numId w:val="14"/>
              </w:numPr>
              <w:rPr>
                <w:rFonts w:ascii="宋体" w:hAnsi="宋体" w:cs="宋体"/>
              </w:rPr>
            </w:pPr>
            <w:r>
              <w:rPr>
                <w:rFonts w:ascii="宋体" w:hAnsi="宋体" w:cs="宋体"/>
              </w:rPr>
              <w:t>没有采取措施，支付了超出应付数额，得</w:t>
            </w:r>
            <w:r>
              <w:rPr>
                <w:rFonts w:cs="宋体" w:ascii="宋体" w:hAnsi="宋体"/>
              </w:rPr>
              <w:t>0</w:t>
            </w:r>
            <w:r>
              <w:rPr>
                <w:rFonts w:ascii="宋体" w:hAnsi="宋体" w:cs="宋体"/>
              </w:rPr>
              <w:t>分</w:t>
            </w:r>
          </w:p>
          <w:p>
            <w:pPr>
              <w:pStyle w:val="Normal"/>
              <w:numPr>
                <w:ilvl w:val="0"/>
                <w:numId w:val="14"/>
              </w:numPr>
              <w:rPr>
                <w:rFonts w:ascii="宋体" w:hAnsi="宋体" w:cs="宋体"/>
              </w:rPr>
            </w:pPr>
            <w:r>
              <w:rPr>
                <w:rFonts w:ascii="宋体" w:hAnsi="宋体" w:cs="宋体"/>
              </w:rPr>
              <w:t>采取了合理合法的措施，进行了适当优化，得</w:t>
            </w:r>
            <w:r>
              <w:rPr>
                <w:rFonts w:cs="宋体" w:ascii="宋体" w:hAnsi="宋体"/>
              </w:rPr>
              <w:t>10</w:t>
            </w:r>
            <w:r>
              <w:rPr>
                <w:rFonts w:ascii="宋体" w:hAnsi="宋体" w:cs="宋体"/>
              </w:rPr>
              <w:t>分</w:t>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2455"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6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end"/>
              <w:rPr>
                <w:rFonts w:ascii="宋体" w:hAnsi="宋体" w:cs="宋体"/>
              </w:rPr>
            </w:pPr>
            <w:r>
              <w:rPr>
                <w:rFonts w:cs="宋体" w:ascii="宋体" w:hAnsi="宋体"/>
              </w:rPr>
            </w:r>
          </w:p>
        </w:tc>
        <w:tc>
          <w:tcPr>
            <w:tcW w:w="2863" w:type="dxa"/>
            <w:gridSpan w:val="3"/>
            <w:vMerge w:val="continue"/>
            <w:tcBorders>
              <w:top w:val="single" w:sz="6" w:space="0" w:color="000000"/>
              <w:start w:val="single" w:sz="4" w:space="0" w:color="000000"/>
              <w:bottom w:val="single" w:sz="6" w:space="0" w:color="000000"/>
              <w:end w:val="single" w:sz="6" w:space="0" w:color="000000"/>
            </w:tcBorders>
            <w:vAlign w:val="center"/>
          </w:tcPr>
          <w:p>
            <w:pPr>
              <w:pStyle w:val="Normal"/>
              <w:numPr>
                <w:ilvl w:val="0"/>
                <w:numId w:val="0"/>
              </w:numPr>
              <w:snapToGrid w:val="false"/>
              <w:ind w:start="360" w:hanging="0"/>
              <w:jc w:val="center"/>
              <w:rPr>
                <w:rFonts w:ascii="宋体" w:hAnsi="宋体" w:cs="宋体"/>
              </w:rPr>
            </w:pPr>
            <w:r>
              <w:rPr>
                <w:rFonts w:cs="宋体" w:ascii="宋体" w:hAnsi="宋体"/>
              </w:rPr>
            </w:r>
          </w:p>
        </w:tc>
        <w:tc>
          <w:tcPr>
            <w:tcW w:w="83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84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3049" w:type="dxa"/>
            <w:gridSpan w:val="5"/>
            <w:tcBorders>
              <w:top w:val="single" w:sz="6" w:space="0" w:color="000000"/>
              <w:start w:val="single" w:sz="6" w:space="0" w:color="000000"/>
              <w:bottom w:val="single" w:sz="6" w:space="0" w:color="000000"/>
              <w:end w:val="single" w:sz="6" w:space="0" w:color="000000"/>
            </w:tcBorders>
            <w:vAlign w:val="center"/>
          </w:tcPr>
          <w:p>
            <w:pPr>
              <w:pStyle w:val="Style14"/>
              <w:rPr>
                <w:bCs w:val="false"/>
                <w:szCs w:val="24"/>
              </w:rPr>
            </w:pPr>
            <w:r>
              <w:rPr/>
              <w:t>“</w:t>
            </w:r>
            <w:r>
              <w:rPr/>
              <w:t>单项否决”</w:t>
            </w:r>
            <w:r>
              <w:rPr>
                <w:bCs w:val="false"/>
                <w:szCs w:val="24"/>
              </w:rPr>
              <w:t>指标：</w:t>
            </w:r>
          </w:p>
        </w:tc>
        <w:tc>
          <w:tcPr>
            <w:tcW w:w="5401" w:type="dxa"/>
            <w:gridSpan w:val="9"/>
            <w:tcBorders>
              <w:top w:val="single" w:sz="6" w:space="0" w:color="000000"/>
              <w:start w:val="single" w:sz="6" w:space="0" w:color="000000"/>
              <w:bottom w:val="single" w:sz="6" w:space="0" w:color="000000"/>
              <w:end w:val="single" w:sz="12" w:space="0" w:color="000000"/>
            </w:tcBorders>
            <w:vAlign w:val="center"/>
          </w:tcPr>
          <w:p>
            <w:pPr>
              <w:pStyle w:val="Style14"/>
              <w:rPr>
                <w:bCs w:val="false"/>
                <w:szCs w:val="24"/>
              </w:rPr>
            </w:pPr>
            <w:r>
              <w:rPr>
                <w:bCs w:val="false"/>
                <w:szCs w:val="24"/>
              </w:rPr>
              <w:t>完成情况：</w:t>
            </w:r>
          </w:p>
        </w:tc>
      </w:tr>
      <w:tr>
        <w:trPr>
          <w:trHeight w:val="340" w:hRule="atLeast"/>
          <w:cantSplit w:val="true"/>
        </w:trPr>
        <w:tc>
          <w:tcPr>
            <w:tcW w:w="894"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bCs w:val="false"/>
                <w:szCs w:val="24"/>
              </w:rPr>
            </w:pPr>
            <w:r>
              <w:rPr>
                <w:rFonts w:cs="宋体" w:ascii="宋体" w:hAnsi="宋体"/>
                <w:bCs w:val="false"/>
                <w:szCs w:val="24"/>
              </w:rPr>
            </w:r>
          </w:p>
        </w:tc>
        <w:tc>
          <w:tcPr>
            <w:tcW w:w="3049"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b/>
                <w:b/>
                <w:szCs w:val="24"/>
              </w:rPr>
            </w:pPr>
            <w:r>
              <w:rPr>
                <w:b/>
                <w:szCs w:val="24"/>
              </w:rPr>
              <w:t>加权合计</w:t>
            </w:r>
          </w:p>
        </w:tc>
        <w:tc>
          <w:tcPr>
            <w:tcW w:w="5401" w:type="dxa"/>
            <w:gridSpan w:val="9"/>
            <w:tcBorders>
              <w:top w:val="single" w:sz="6" w:space="0" w:color="000000"/>
              <w:start w:val="single" w:sz="6" w:space="0" w:color="000000"/>
              <w:bottom w:val="single" w:sz="6" w:space="0" w:color="000000"/>
              <w:end w:val="single" w:sz="12" w:space="0" w:color="000000"/>
            </w:tcBorders>
            <w:vAlign w:val="center"/>
          </w:tcPr>
          <w:p>
            <w:pPr>
              <w:pStyle w:val="Style14"/>
              <w:snapToGrid w:val="false"/>
              <w:rPr>
                <w:b/>
                <w:b/>
                <w:bCs w:val="false"/>
                <w:szCs w:val="24"/>
              </w:rPr>
            </w:pPr>
            <w:r>
              <w:rPr>
                <w:b/>
                <w:bCs w:val="false"/>
                <w:szCs w:val="24"/>
              </w:rPr>
            </w:r>
          </w:p>
        </w:tc>
      </w:tr>
      <w:tr>
        <w:trPr>
          <w:trHeight w:val="340" w:hRule="atLeast"/>
          <w:cantSplit w:val="true"/>
        </w:trPr>
        <w:tc>
          <w:tcPr>
            <w:tcW w:w="894"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管理</w:t>
            </w:r>
          </w:p>
          <w:p>
            <w:pPr>
              <w:pStyle w:val="Normal"/>
              <w:jc w:val="center"/>
              <w:rPr>
                <w:rFonts w:ascii="宋体" w:hAnsi="宋体" w:cs="宋体"/>
              </w:rPr>
            </w:pPr>
            <w:r>
              <w:rPr>
                <w:rFonts w:ascii="宋体" w:hAnsi="宋体" w:cs="宋体"/>
              </w:rPr>
              <w:t>绩效</w:t>
            </w:r>
          </w:p>
          <w:p>
            <w:pPr>
              <w:pStyle w:val="Normal"/>
              <w:jc w:val="center"/>
              <w:rPr>
                <w:rFonts w:ascii="宋体" w:hAnsi="宋体" w:cs="宋体"/>
              </w:rPr>
            </w:pPr>
            <w:r>
              <w:rPr>
                <w:rFonts w:cs="宋体" w:ascii="宋体" w:hAnsi="宋体"/>
              </w:rPr>
              <w:t>40%</w:t>
            </w:r>
          </w:p>
          <w:p>
            <w:pPr>
              <w:pStyle w:val="Normal"/>
              <w:jc w:val="center"/>
              <w:rPr>
                <w:rFonts w:ascii="宋体" w:hAnsi="宋体" w:cs="宋体"/>
              </w:rPr>
            </w:pPr>
            <w:r>
              <w:rPr>
                <w:rFonts w:cs="宋体" w:ascii="宋体" w:hAnsi="宋体"/>
              </w:rPr>
              <w:t>(B)</w:t>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指标</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宋体" w:hAnsi="宋体" w:cs="宋体"/>
              </w:rPr>
            </w:pPr>
            <w:r>
              <w:rPr>
                <w:rFonts w:ascii="宋体" w:hAnsi="宋体" w:cs="宋体"/>
              </w:rPr>
              <w:t>权重</w:t>
            </w:r>
          </w:p>
        </w:tc>
        <w:tc>
          <w:tcPr>
            <w:tcW w:w="2736" w:type="dxa"/>
            <w:gridSpan w:val="3"/>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要求目标</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评分等级</w:t>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 w:hAnsi="宋体" w:cs="宋体"/>
              </w:rPr>
            </w:pPr>
            <w:r>
              <w:rPr>
                <w:rFonts w:ascii="宋体" w:hAnsi="宋体" w:cs="宋体"/>
              </w:rPr>
              <w:t>得分</w:t>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1</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战略及文化书面报告</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10%</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spacing w:lineRule="atLeast" w:line="300"/>
              <w:ind w:start="212" w:hanging="212"/>
              <w:rPr>
                <w:rFonts w:ascii="宋体" w:hAnsi="宋体" w:cs="宋体"/>
              </w:rPr>
            </w:pPr>
            <w:r>
              <w:rPr>
                <w:rFonts w:cs="宋体" w:ascii="宋体" w:hAnsi="宋体"/>
              </w:rPr>
              <w:t>A</w:t>
            </w:r>
            <w:r>
              <w:rPr>
                <w:rFonts w:ascii="宋体" w:hAnsi="宋体" w:cs="宋体"/>
              </w:rPr>
              <w:t>）提交书面报告</w:t>
            </w:r>
            <w:r>
              <w:rPr>
                <w:rFonts w:cs="宋体" w:ascii="宋体" w:hAnsi="宋体"/>
              </w:rPr>
              <w:t>1</w:t>
            </w:r>
            <w:r>
              <w:rPr>
                <w:rFonts w:ascii="宋体" w:hAnsi="宋体" w:cs="宋体"/>
              </w:rPr>
              <w:t>份，报告中可采用意见方案超过</w:t>
            </w:r>
            <w:r>
              <w:rPr>
                <w:rFonts w:cs="宋体" w:ascii="宋体" w:hAnsi="宋体"/>
              </w:rPr>
              <w:t>50%</w:t>
            </w:r>
          </w:p>
          <w:p>
            <w:pPr>
              <w:pStyle w:val="Normal"/>
              <w:spacing w:lineRule="atLeast" w:line="300"/>
              <w:ind w:start="212" w:hanging="212"/>
              <w:rPr>
                <w:rFonts w:ascii="宋体" w:hAnsi="宋体" w:cs="宋体"/>
              </w:rPr>
            </w:pPr>
            <w:r>
              <w:rPr>
                <w:rFonts w:cs="宋体" w:ascii="宋体" w:hAnsi="宋体"/>
              </w:rPr>
              <w:t>B)</w:t>
            </w:r>
            <w:r>
              <w:rPr>
                <w:rFonts w:ascii="宋体" w:hAnsi="宋体" w:cs="宋体"/>
              </w:rPr>
              <w:t>提交书面报告</w:t>
            </w:r>
            <w:r>
              <w:rPr>
                <w:rFonts w:cs="宋体" w:ascii="宋体" w:hAnsi="宋体"/>
              </w:rPr>
              <w:t>1</w:t>
            </w:r>
            <w:r>
              <w:rPr>
                <w:rFonts w:ascii="宋体" w:hAnsi="宋体" w:cs="宋体"/>
              </w:rPr>
              <w:t>份，报告中可采用意见方案超过</w:t>
            </w:r>
            <w:r>
              <w:rPr>
                <w:rFonts w:cs="宋体" w:ascii="宋体" w:hAnsi="宋体"/>
              </w:rPr>
              <w:t>30%</w:t>
            </w:r>
          </w:p>
          <w:p>
            <w:pPr>
              <w:pStyle w:val="Normal"/>
              <w:spacing w:lineRule="atLeast" w:line="300"/>
              <w:ind w:start="212" w:hanging="212"/>
              <w:rPr>
                <w:rFonts w:ascii="宋体" w:hAnsi="宋体" w:cs="宋体"/>
              </w:rPr>
            </w:pPr>
            <w:r>
              <w:rPr>
                <w:rFonts w:cs="宋体" w:ascii="宋体" w:hAnsi="宋体"/>
              </w:rPr>
              <w:t>C</w:t>
            </w:r>
            <w:r>
              <w:rPr>
                <w:rFonts w:ascii="宋体" w:hAnsi="宋体" w:cs="宋体"/>
              </w:rPr>
              <w:t>）未提交书面报告，或已提交报告但可采用意见方案不超过</w:t>
            </w:r>
            <w:r>
              <w:rPr>
                <w:rFonts w:cs="宋体" w:ascii="宋体" w:hAnsi="宋体"/>
              </w:rPr>
              <w:t>30%</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2</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业务流程建立、培训、优化、导入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20%</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13"/>
              </w:numPr>
              <w:spacing w:lineRule="atLeast" w:line="300"/>
              <w:rPr>
                <w:rFonts w:ascii="宋体" w:hAnsi="宋体" w:cs="宋体"/>
              </w:rPr>
            </w:pPr>
            <w:r>
              <w:rPr>
                <w:rFonts w:ascii="宋体" w:hAnsi="宋体" w:cs="宋体"/>
              </w:rPr>
              <w:t>于本月内建立业务流程，并讨论后形成定稿，得</w:t>
            </w:r>
            <w:r>
              <w:rPr>
                <w:rFonts w:cs="宋体" w:ascii="宋体" w:hAnsi="宋体"/>
              </w:rPr>
              <w:t>20</w:t>
            </w:r>
            <w:r>
              <w:rPr>
                <w:rFonts w:ascii="宋体" w:hAnsi="宋体" w:cs="宋体"/>
              </w:rPr>
              <w:t>分</w:t>
            </w:r>
          </w:p>
          <w:p>
            <w:pPr>
              <w:pStyle w:val="Normal"/>
              <w:numPr>
                <w:ilvl w:val="0"/>
                <w:numId w:val="13"/>
              </w:numPr>
              <w:spacing w:lineRule="atLeast" w:line="300"/>
              <w:rPr>
                <w:rFonts w:ascii="宋体" w:hAnsi="宋体" w:cs="宋体"/>
              </w:rPr>
            </w:pPr>
            <w:r>
              <w:rPr>
                <w:rFonts w:ascii="宋体" w:hAnsi="宋体" w:cs="宋体"/>
              </w:rPr>
              <w:t>于本月内形成业务流程初稿，未形成定稿，得</w:t>
            </w:r>
            <w:r>
              <w:rPr>
                <w:rFonts w:cs="宋体" w:ascii="宋体" w:hAnsi="宋体"/>
              </w:rPr>
              <w:t>10</w:t>
            </w:r>
            <w:r>
              <w:rPr>
                <w:rFonts w:ascii="宋体" w:hAnsi="宋体" w:cs="宋体"/>
              </w:rPr>
              <w:t>分</w:t>
            </w:r>
          </w:p>
          <w:p>
            <w:pPr>
              <w:pStyle w:val="Normal"/>
              <w:numPr>
                <w:ilvl w:val="0"/>
                <w:numId w:val="13"/>
              </w:numPr>
              <w:spacing w:lineRule="atLeast" w:line="300"/>
              <w:rPr>
                <w:rFonts w:ascii="宋体" w:hAnsi="宋体" w:cs="宋体"/>
              </w:rPr>
            </w:pPr>
            <w:r>
              <w:rPr>
                <w:rFonts w:ascii="宋体" w:hAnsi="宋体" w:cs="宋体"/>
              </w:rPr>
              <w:t>未形成业务流程，得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3</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财务流程建立、培训、优化、导入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15%</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2"/>
              </w:numPr>
              <w:spacing w:lineRule="atLeast" w:line="300"/>
              <w:rPr>
                <w:rFonts w:ascii="宋体" w:hAnsi="宋体" w:cs="宋体"/>
              </w:rPr>
            </w:pPr>
            <w:r>
              <w:rPr>
                <w:rFonts w:ascii="宋体" w:hAnsi="宋体" w:cs="宋体"/>
              </w:rPr>
              <w:t>于本月内建立财务流程，并讨论形成定稿，开展培训，且完成财务人员风险防控工作，得</w:t>
            </w:r>
            <w:r>
              <w:rPr>
                <w:rFonts w:cs="宋体" w:ascii="宋体" w:hAnsi="宋体"/>
              </w:rPr>
              <w:t>15</w:t>
            </w:r>
            <w:r>
              <w:rPr>
                <w:rFonts w:ascii="宋体" w:hAnsi="宋体" w:cs="宋体"/>
              </w:rPr>
              <w:t>分</w:t>
            </w:r>
          </w:p>
          <w:p>
            <w:pPr>
              <w:pStyle w:val="Normal"/>
              <w:numPr>
                <w:ilvl w:val="0"/>
                <w:numId w:val="2"/>
              </w:numPr>
              <w:spacing w:lineRule="atLeast" w:line="300"/>
              <w:rPr>
                <w:rFonts w:ascii="宋体" w:hAnsi="宋体" w:cs="宋体"/>
              </w:rPr>
            </w:pPr>
            <w:r>
              <w:rPr>
                <w:rFonts w:ascii="宋体" w:hAnsi="宋体" w:cs="宋体"/>
              </w:rPr>
              <w:t>于本月内建立财务流程，讨论形成定稿，未开展培训或未完成财务人员风险防控工作，得</w:t>
            </w:r>
            <w:r>
              <w:rPr>
                <w:rFonts w:cs="宋体" w:ascii="宋体" w:hAnsi="宋体"/>
              </w:rPr>
              <w:t>7</w:t>
            </w:r>
            <w:r>
              <w:rPr>
                <w:rFonts w:ascii="宋体" w:hAnsi="宋体" w:cs="宋体"/>
              </w:rPr>
              <w:t>分；</w:t>
            </w:r>
          </w:p>
          <w:p>
            <w:pPr>
              <w:pStyle w:val="Normal"/>
              <w:numPr>
                <w:ilvl w:val="0"/>
                <w:numId w:val="2"/>
              </w:numPr>
              <w:spacing w:lineRule="atLeast" w:line="300"/>
              <w:rPr>
                <w:rFonts w:ascii="宋体" w:hAnsi="宋体" w:cs="宋体"/>
              </w:rPr>
            </w:pPr>
            <w:r>
              <w:rPr>
                <w:rFonts w:ascii="宋体" w:hAnsi="宋体" w:cs="宋体"/>
              </w:rPr>
              <w:t>财务流程未形成定稿，得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4</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组织系统流程建立、培训、优化、导入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25%</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20"/>
              </w:numPr>
              <w:spacing w:lineRule="atLeast" w:line="300"/>
              <w:rPr>
                <w:rFonts w:ascii="宋体" w:hAnsi="宋体" w:cs="宋体"/>
              </w:rPr>
            </w:pPr>
            <w:r>
              <w:rPr>
                <w:rFonts w:ascii="宋体" w:hAnsi="宋体" w:cs="宋体"/>
              </w:rPr>
              <w:t>于本月内完成组织系统七套方案，并讨论后形成定稿，得</w:t>
            </w:r>
            <w:r>
              <w:rPr>
                <w:rFonts w:cs="宋体" w:ascii="宋体" w:hAnsi="宋体"/>
              </w:rPr>
              <w:t>25</w:t>
            </w:r>
            <w:r>
              <w:rPr>
                <w:rFonts w:ascii="宋体" w:hAnsi="宋体" w:cs="宋体"/>
              </w:rPr>
              <w:t>分</w:t>
            </w:r>
          </w:p>
          <w:p>
            <w:pPr>
              <w:pStyle w:val="Normal"/>
              <w:numPr>
                <w:ilvl w:val="0"/>
                <w:numId w:val="20"/>
              </w:numPr>
              <w:spacing w:lineRule="atLeast" w:line="300"/>
              <w:rPr>
                <w:rFonts w:ascii="宋体" w:hAnsi="宋体" w:cs="宋体"/>
              </w:rPr>
            </w:pPr>
            <w:r>
              <w:rPr>
                <w:rFonts w:ascii="宋体" w:hAnsi="宋体" w:cs="宋体"/>
              </w:rPr>
              <w:t>于本月内完成组织系统七套方案，得</w:t>
            </w:r>
            <w:r>
              <w:rPr>
                <w:rFonts w:cs="宋体" w:ascii="宋体" w:hAnsi="宋体"/>
              </w:rPr>
              <w:t>15</w:t>
            </w:r>
            <w:r>
              <w:rPr>
                <w:rFonts w:ascii="宋体" w:hAnsi="宋体" w:cs="宋体"/>
              </w:rPr>
              <w:t>分</w:t>
            </w:r>
          </w:p>
          <w:p>
            <w:pPr>
              <w:pStyle w:val="Normal"/>
              <w:numPr>
                <w:ilvl w:val="0"/>
                <w:numId w:val="20"/>
              </w:numPr>
              <w:spacing w:lineRule="atLeast" w:line="300"/>
              <w:rPr>
                <w:rFonts w:ascii="宋体" w:hAnsi="宋体" w:cs="宋体"/>
              </w:rPr>
            </w:pPr>
            <w:r>
              <w:rPr>
                <w:rFonts w:ascii="宋体" w:hAnsi="宋体" w:cs="宋体"/>
              </w:rPr>
              <w:t>未形成组织系统方案，得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5</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运营系统流程流程建立、培训、优化、导入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10%</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7"/>
              </w:numPr>
              <w:spacing w:lineRule="atLeast" w:line="300"/>
              <w:rPr>
                <w:rFonts w:ascii="宋体" w:hAnsi="宋体" w:cs="宋体"/>
              </w:rPr>
            </w:pPr>
            <w:r>
              <w:rPr>
                <w:rFonts w:ascii="宋体" w:hAnsi="宋体" w:cs="宋体"/>
              </w:rPr>
              <w:t>于本月内建立运营流程，并讨论后形成定稿，得</w:t>
            </w:r>
            <w:r>
              <w:rPr>
                <w:rFonts w:cs="宋体" w:ascii="宋体" w:hAnsi="宋体"/>
              </w:rPr>
              <w:t>10</w:t>
            </w:r>
            <w:r>
              <w:rPr>
                <w:rFonts w:ascii="宋体" w:hAnsi="宋体" w:cs="宋体"/>
              </w:rPr>
              <w:t>分</w:t>
            </w:r>
          </w:p>
          <w:p>
            <w:pPr>
              <w:pStyle w:val="Normal"/>
              <w:numPr>
                <w:ilvl w:val="0"/>
                <w:numId w:val="7"/>
              </w:numPr>
              <w:spacing w:lineRule="atLeast" w:line="300"/>
              <w:rPr>
                <w:rFonts w:ascii="宋体" w:hAnsi="宋体" w:cs="宋体"/>
              </w:rPr>
            </w:pPr>
            <w:r>
              <w:rPr>
                <w:rFonts w:ascii="宋体" w:hAnsi="宋体" w:cs="宋体"/>
              </w:rPr>
              <w:t>于本月内形成运营流程初稿，未形成定稿，得</w:t>
            </w:r>
            <w:r>
              <w:rPr>
                <w:rFonts w:cs="宋体" w:ascii="宋体" w:hAnsi="宋体"/>
              </w:rPr>
              <w:t>5</w:t>
            </w:r>
            <w:r>
              <w:rPr>
                <w:rFonts w:ascii="宋体" w:hAnsi="宋体" w:cs="宋体"/>
              </w:rPr>
              <w:t>分</w:t>
            </w:r>
          </w:p>
          <w:p>
            <w:pPr>
              <w:pStyle w:val="Normal"/>
              <w:numPr>
                <w:ilvl w:val="0"/>
                <w:numId w:val="7"/>
              </w:numPr>
              <w:spacing w:lineRule="atLeast" w:line="300"/>
              <w:rPr>
                <w:rFonts w:ascii="宋体" w:hAnsi="宋体" w:cs="宋体"/>
              </w:rPr>
            </w:pPr>
            <w:r>
              <w:rPr>
                <w:rFonts w:ascii="宋体" w:hAnsi="宋体" w:cs="宋体"/>
              </w:rPr>
              <w:t>未形成运营流程，得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6</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技术研发流程建立、培训、优化、导入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Style14"/>
              <w:jc w:val="end"/>
              <w:rPr>
                <w:bCs w:val="false"/>
                <w:szCs w:val="24"/>
              </w:rPr>
            </w:pPr>
            <w:r>
              <w:rPr>
                <w:bCs w:val="false"/>
                <w:szCs w:val="24"/>
              </w:rPr>
              <w:t>10%</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12"/>
              </w:numPr>
              <w:spacing w:lineRule="atLeast" w:line="300"/>
              <w:rPr>
                <w:rFonts w:ascii="宋体" w:hAnsi="宋体" w:cs="宋体"/>
              </w:rPr>
            </w:pPr>
            <w:r>
              <w:rPr>
                <w:rFonts w:ascii="宋体" w:hAnsi="宋体" w:cs="宋体"/>
              </w:rPr>
              <w:t>于本月内建立技术研发流程，并讨论后形成定稿，得</w:t>
            </w:r>
            <w:r>
              <w:rPr>
                <w:rFonts w:cs="宋体" w:ascii="宋体" w:hAnsi="宋体"/>
              </w:rPr>
              <w:t>10</w:t>
            </w:r>
            <w:r>
              <w:rPr>
                <w:rFonts w:ascii="宋体" w:hAnsi="宋体" w:cs="宋体"/>
              </w:rPr>
              <w:t>分</w:t>
            </w:r>
          </w:p>
          <w:p>
            <w:pPr>
              <w:pStyle w:val="Normal"/>
              <w:numPr>
                <w:ilvl w:val="0"/>
                <w:numId w:val="12"/>
              </w:numPr>
              <w:spacing w:lineRule="atLeast" w:line="300"/>
              <w:rPr>
                <w:rFonts w:ascii="宋体" w:hAnsi="宋体" w:cs="宋体"/>
              </w:rPr>
            </w:pPr>
            <w:r>
              <w:rPr>
                <w:rFonts w:ascii="宋体" w:hAnsi="宋体" w:cs="宋体"/>
              </w:rPr>
              <w:t>于本月内形成技术研发流</w:t>
            </w:r>
            <w:r>
              <w:rPr>
                <w:rFonts w:cs="宋体" w:ascii="宋体" w:hAnsi="宋体"/>
              </w:rPr>
              <w:t>5</w:t>
            </w:r>
            <w:r>
              <w:rPr>
                <w:rFonts w:ascii="宋体" w:hAnsi="宋体" w:cs="宋体"/>
              </w:rPr>
              <w:t>分</w:t>
            </w:r>
          </w:p>
          <w:p>
            <w:pPr>
              <w:pStyle w:val="Normal"/>
              <w:numPr>
                <w:ilvl w:val="0"/>
                <w:numId w:val="12"/>
              </w:numPr>
              <w:spacing w:lineRule="atLeast" w:line="300"/>
              <w:rPr>
                <w:rFonts w:ascii="宋体" w:hAnsi="宋体" w:cs="宋体"/>
              </w:rPr>
            </w:pPr>
            <w:r>
              <w:rPr>
                <w:rFonts w:ascii="宋体" w:hAnsi="宋体" w:cs="宋体"/>
              </w:rPr>
              <w:t>未形成技术研发流程，得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9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cs="宋体" w:ascii="宋体" w:hAnsi="宋体"/>
              </w:rPr>
              <w:t>7</w:t>
            </w:r>
          </w:p>
        </w:tc>
        <w:tc>
          <w:tcPr>
            <w:tcW w:w="2455"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t>客户服务流程建立、培训、优化、导入</w:t>
            </w:r>
          </w:p>
        </w:tc>
        <w:tc>
          <w:tcPr>
            <w:tcW w:w="759" w:type="dxa"/>
            <w:tcBorders>
              <w:top w:val="single" w:sz="6" w:space="0" w:color="000000"/>
              <w:start w:val="single" w:sz="6" w:space="0" w:color="000000"/>
              <w:bottom w:val="single" w:sz="6" w:space="0" w:color="000000"/>
              <w:end w:val="single" w:sz="4" w:space="0" w:color="000000"/>
            </w:tcBorders>
            <w:vAlign w:val="center"/>
          </w:tcPr>
          <w:p>
            <w:pPr>
              <w:pStyle w:val="Normal"/>
              <w:jc w:val="end"/>
              <w:rPr/>
            </w:pPr>
            <w:r>
              <w:rPr/>
              <w:t>10%</w:t>
            </w:r>
          </w:p>
        </w:tc>
        <w:tc>
          <w:tcPr>
            <w:tcW w:w="2736" w:type="dxa"/>
            <w:gridSpan w:val="3"/>
            <w:tcBorders>
              <w:top w:val="single" w:sz="6" w:space="0" w:color="000000"/>
              <w:start w:val="single" w:sz="4" w:space="0" w:color="000000"/>
              <w:bottom w:val="single" w:sz="6" w:space="0" w:color="000000"/>
              <w:end w:val="single" w:sz="6" w:space="0" w:color="000000"/>
            </w:tcBorders>
          </w:tcPr>
          <w:p>
            <w:pPr>
              <w:pStyle w:val="Normal"/>
              <w:numPr>
                <w:ilvl w:val="0"/>
                <w:numId w:val="19"/>
              </w:numPr>
              <w:spacing w:lineRule="atLeast" w:line="300"/>
              <w:rPr>
                <w:rFonts w:ascii="宋体" w:hAnsi="宋体" w:cs="宋体"/>
              </w:rPr>
            </w:pPr>
            <w:r>
              <w:rPr>
                <w:rFonts w:ascii="宋体" w:hAnsi="宋体" w:cs="宋体"/>
              </w:rPr>
              <w:t>于本月内建立客户服务流程，并讨论后形成定稿，得</w:t>
            </w:r>
            <w:r>
              <w:rPr>
                <w:rFonts w:cs="宋体" w:ascii="宋体" w:hAnsi="宋体"/>
              </w:rPr>
              <w:t>10</w:t>
            </w:r>
            <w:r>
              <w:rPr>
                <w:rFonts w:ascii="宋体" w:hAnsi="宋体" w:cs="宋体"/>
              </w:rPr>
              <w:t>分</w:t>
            </w:r>
          </w:p>
          <w:p>
            <w:pPr>
              <w:pStyle w:val="Normal"/>
              <w:numPr>
                <w:ilvl w:val="0"/>
                <w:numId w:val="19"/>
              </w:numPr>
              <w:spacing w:lineRule="atLeast" w:line="300"/>
              <w:rPr>
                <w:rFonts w:ascii="宋体" w:hAnsi="宋体" w:cs="宋体"/>
              </w:rPr>
            </w:pPr>
            <w:r>
              <w:rPr>
                <w:rFonts w:ascii="宋体" w:hAnsi="宋体" w:cs="宋体"/>
              </w:rPr>
              <w:t>于本月内形成客户服务流程初稿，未形成定稿，得</w:t>
            </w:r>
            <w:r>
              <w:rPr>
                <w:rFonts w:cs="宋体" w:ascii="宋体" w:hAnsi="宋体"/>
              </w:rPr>
              <w:t>5</w:t>
            </w:r>
            <w:r>
              <w:rPr>
                <w:rFonts w:ascii="宋体" w:hAnsi="宋体" w:cs="宋体"/>
              </w:rPr>
              <w:t>分</w:t>
            </w:r>
          </w:p>
          <w:p>
            <w:pPr>
              <w:pStyle w:val="Normal"/>
              <w:numPr>
                <w:ilvl w:val="0"/>
                <w:numId w:val="19"/>
              </w:numPr>
              <w:rPr>
                <w:rFonts w:ascii="宋体" w:hAnsi="宋体" w:cs="宋体"/>
              </w:rPr>
            </w:pPr>
            <w:r>
              <w:rPr>
                <w:rFonts w:ascii="宋体" w:hAnsi="宋体" w:cs="宋体"/>
              </w:rPr>
              <w:t>未形成技术研发流程，得</w:t>
            </w:r>
            <w:r>
              <w:rPr>
                <w:rFonts w:cs="宋体" w:ascii="宋体" w:hAnsi="宋体"/>
              </w:rPr>
              <w:t>0</w:t>
            </w:r>
            <w:r>
              <w:rPr>
                <w:rFonts w:ascii="宋体" w:hAnsi="宋体" w:cs="宋体"/>
              </w:rPr>
              <w:t>分</w:t>
            </w:r>
          </w:p>
        </w:tc>
        <w:tc>
          <w:tcPr>
            <w:tcW w:w="72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84"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 w:hAnsi="宋体" w:cs="宋体"/>
              </w:rPr>
            </w:pPr>
            <w:r>
              <w:rPr>
                <w:rFonts w:cs="宋体" w:ascii="宋体" w:hAnsi="宋体"/>
              </w:rPr>
            </w:r>
          </w:p>
        </w:tc>
      </w:tr>
      <w:tr>
        <w:trPr>
          <w:trHeight w:val="340" w:hRule="atLeast"/>
          <w:cantSplit w:val="true"/>
        </w:trPr>
        <w:tc>
          <w:tcPr>
            <w:tcW w:w="894" w:type="dxa"/>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3049"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b/>
                <w:b/>
                <w:szCs w:val="24"/>
              </w:rPr>
            </w:pPr>
            <w:r>
              <w:rPr>
                <w:b/>
                <w:szCs w:val="24"/>
              </w:rPr>
              <w:t>加权合计</w:t>
            </w:r>
          </w:p>
        </w:tc>
        <w:tc>
          <w:tcPr>
            <w:tcW w:w="5401" w:type="dxa"/>
            <w:gridSpan w:val="9"/>
            <w:tcBorders>
              <w:top w:val="single" w:sz="6" w:space="0" w:color="000000"/>
              <w:start w:val="single" w:sz="6" w:space="0" w:color="000000"/>
              <w:bottom w:val="single" w:sz="6" w:space="0" w:color="000000"/>
              <w:end w:val="single" w:sz="12" w:space="0" w:color="000000"/>
            </w:tcBorders>
            <w:vAlign w:val="center"/>
          </w:tcPr>
          <w:p>
            <w:pPr>
              <w:pStyle w:val="Style14"/>
              <w:snapToGrid w:val="false"/>
              <w:rPr>
                <w:b/>
                <w:b/>
                <w:bCs w:val="false"/>
                <w:szCs w:val="24"/>
              </w:rPr>
            </w:pPr>
            <w:r>
              <w:rPr>
                <w:b/>
                <w:bCs w:val="false"/>
                <w:szCs w:val="24"/>
              </w:rPr>
            </w:r>
          </w:p>
        </w:tc>
      </w:tr>
      <w:tr>
        <w:trPr>
          <w:trHeight w:val="582" w:hRule="atLeast"/>
          <w:cantSplit w:val="true"/>
        </w:trPr>
        <w:tc>
          <w:tcPr>
            <w:tcW w:w="894"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 xml:space="preserve">任务绩效考核总分 </w:t>
            </w:r>
          </w:p>
        </w:tc>
        <w:tc>
          <w:tcPr>
            <w:tcW w:w="8450" w:type="dxa"/>
            <w:gridSpan w:val="14"/>
            <w:tcBorders>
              <w:top w:val="single" w:sz="6" w:space="0" w:color="000000"/>
              <w:start w:val="single" w:sz="6" w:space="0" w:color="000000"/>
              <w:bottom w:val="single" w:sz="6" w:space="0" w:color="000000"/>
              <w:end w:val="single" w:sz="12" w:space="0" w:color="000000"/>
            </w:tcBorders>
            <w:vAlign w:val="center"/>
          </w:tcPr>
          <w:p>
            <w:pPr>
              <w:pStyle w:val="Normal"/>
              <w:rPr>
                <w:rFonts w:ascii="宋体" w:hAnsi="宋体" w:cs="宋体"/>
              </w:rPr>
            </w:pPr>
            <w:r>
              <w:rPr>
                <w:rFonts w:cs="宋体" w:ascii="宋体" w:hAnsi="宋体"/>
              </w:rPr>
              <w:t xml:space="preserve">     </w:t>
            </w:r>
            <w:r>
              <w:rPr>
                <w:rFonts w:cs="宋体" w:ascii="宋体" w:hAnsi="宋体"/>
              </w:rPr>
              <w:t>C=A*60%+B*40%</w:t>
            </w:r>
          </w:p>
        </w:tc>
      </w:tr>
      <w:tr>
        <w:trPr>
          <w:trHeight w:val="210" w:hRule="atLeast"/>
          <w:cantSplit w:val="true"/>
        </w:trPr>
        <w:tc>
          <w:tcPr>
            <w:tcW w:w="894"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行为考核</w:t>
            </w:r>
          </w:p>
        </w:tc>
        <w:tc>
          <w:tcPr>
            <w:tcW w:w="50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13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指标</w:t>
            </w:r>
          </w:p>
        </w:tc>
        <w:tc>
          <w:tcPr>
            <w:tcW w:w="63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权重</w:t>
            </w:r>
          </w:p>
        </w:tc>
        <w:tc>
          <w:tcPr>
            <w:tcW w:w="4270"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指标说明</w:t>
            </w:r>
          </w:p>
        </w:tc>
        <w:tc>
          <w:tcPr>
            <w:tcW w:w="1130" w:type="dxa"/>
            <w:gridSpan w:val="4"/>
            <w:tcBorders>
              <w:top w:val="single" w:sz="6" w:space="0" w:color="000000"/>
              <w:start w:val="single" w:sz="6" w:space="0" w:color="000000"/>
              <w:bottom w:val="single" w:sz="6" w:space="0" w:color="000000"/>
              <w:end w:val="single" w:sz="6" w:space="0" w:color="000000"/>
            </w:tcBorders>
          </w:tcPr>
          <w:p>
            <w:pPr>
              <w:pStyle w:val="Normal"/>
              <w:jc w:val="center"/>
              <w:rPr>
                <w:rFonts w:ascii="宋体" w:hAnsi="宋体" w:cs="宋体"/>
              </w:rPr>
            </w:pPr>
            <w:r>
              <w:rPr>
                <w:rFonts w:ascii="宋体" w:hAnsi="宋体" w:cs="宋体"/>
              </w:rPr>
              <w:t>评分要求</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 w:hAnsi="宋体" w:cs="宋体"/>
              </w:rPr>
            </w:pPr>
            <w:r>
              <w:rPr>
                <w:rFonts w:ascii="宋体" w:hAnsi="宋体" w:cs="宋体"/>
              </w:rPr>
              <w:t>评分</w:t>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1</w:t>
            </w:r>
          </w:p>
        </w:tc>
        <w:tc>
          <w:tcPr>
            <w:tcW w:w="113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承担责任</w:t>
            </w:r>
          </w:p>
        </w:tc>
        <w:tc>
          <w:tcPr>
            <w:tcW w:w="637"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20%</w:t>
            </w:r>
          </w:p>
        </w:tc>
        <w:tc>
          <w:tcPr>
            <w:tcW w:w="427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宋体" w:hAnsi="宋体" w:cs="宋体"/>
                <w:color w:val="000000"/>
                <w:kern w:val="0"/>
                <w:szCs w:val="21"/>
              </w:rPr>
            </w:pPr>
            <w:r>
              <w:rPr>
                <w:rFonts w:cs="宋体" w:ascii="宋体" w:hAnsi="宋体"/>
                <w:color w:val="000000"/>
                <w:szCs w:val="21"/>
              </w:rPr>
              <w:t>1</w:t>
            </w:r>
            <w:r>
              <w:rPr>
                <w:rFonts w:ascii="宋体" w:hAnsi="宋体" w:cs="宋体"/>
                <w:color w:val="000000"/>
                <w:szCs w:val="21"/>
              </w:rPr>
              <w:t>级：承认结果，而不是强调愿望</w:t>
            </w:r>
          </w:p>
          <w:p>
            <w:pPr>
              <w:pStyle w:val="Normal"/>
              <w:rPr>
                <w:rFonts w:ascii="宋体" w:hAnsi="宋体" w:cs="宋体"/>
                <w:color w:val="000000"/>
                <w:szCs w:val="21"/>
              </w:rPr>
            </w:pPr>
            <w:r>
              <w:rPr>
                <w:rFonts w:cs="宋体" w:ascii="宋体" w:hAnsi="宋体"/>
                <w:color w:val="000000"/>
                <w:szCs w:val="21"/>
              </w:rPr>
              <w:t>2</w:t>
            </w:r>
            <w:r>
              <w:rPr>
                <w:rFonts w:ascii="宋体" w:hAnsi="宋体" w:cs="宋体"/>
                <w:color w:val="000000"/>
                <w:szCs w:val="21"/>
              </w:rPr>
              <w:t>级：承担责任，不推卸，不指责</w:t>
            </w:r>
          </w:p>
          <w:p>
            <w:pPr>
              <w:pStyle w:val="Normal"/>
              <w:rPr>
                <w:rFonts w:ascii="宋体" w:hAnsi="宋体" w:cs="宋体"/>
                <w:color w:val="000000"/>
                <w:szCs w:val="21"/>
              </w:rPr>
            </w:pPr>
            <w:r>
              <w:rPr>
                <w:rFonts w:cs="宋体" w:ascii="宋体" w:hAnsi="宋体"/>
                <w:color w:val="000000"/>
                <w:szCs w:val="21"/>
              </w:rPr>
              <w:t>3</w:t>
            </w:r>
            <w:r>
              <w:rPr>
                <w:rFonts w:ascii="宋体" w:hAnsi="宋体" w:cs="宋体"/>
                <w:color w:val="000000"/>
                <w:szCs w:val="21"/>
              </w:rPr>
              <w:t>级：着手解决问题，减少业务流程</w:t>
            </w:r>
          </w:p>
          <w:p>
            <w:pPr>
              <w:pStyle w:val="Normal"/>
              <w:rPr>
                <w:rFonts w:ascii="宋体" w:hAnsi="宋体" w:cs="宋体"/>
                <w:color w:val="000000"/>
                <w:szCs w:val="21"/>
              </w:rPr>
            </w:pPr>
            <w:r>
              <w:rPr>
                <w:rFonts w:cs="宋体" w:ascii="宋体" w:hAnsi="宋体"/>
                <w:color w:val="000000"/>
                <w:szCs w:val="21"/>
              </w:rPr>
              <w:t>4</w:t>
            </w:r>
            <w:r>
              <w:rPr>
                <w:rFonts w:ascii="宋体" w:hAnsi="宋体" w:cs="宋体"/>
                <w:color w:val="000000"/>
                <w:szCs w:val="21"/>
              </w:rPr>
              <w:t>级：举一反三，改进业务流程</w:t>
            </w:r>
          </w:p>
          <w:p>
            <w:pPr>
              <w:pStyle w:val="Normal"/>
              <w:rPr>
                <w:rFonts w:ascii="宋体" w:hAnsi="宋体" w:cs="宋体"/>
              </w:rPr>
            </w:pPr>
            <w:r>
              <w:rPr>
                <w:rFonts w:cs="宋体" w:ascii="宋体" w:hAnsi="宋体"/>
                <w:color w:val="000000"/>
                <w:szCs w:val="21"/>
              </w:rPr>
              <w:t>5</w:t>
            </w:r>
            <w:r>
              <w:rPr>
                <w:rFonts w:ascii="宋体" w:hAnsi="宋体" w:cs="宋体"/>
                <w:color w:val="000000"/>
                <w:szCs w:val="21"/>
              </w:rPr>
              <w:t>级：做事有预见，有防误设计</w:t>
            </w:r>
          </w:p>
        </w:tc>
        <w:tc>
          <w:tcPr>
            <w:tcW w:w="1130" w:type="dxa"/>
            <w:gridSpan w:val="4"/>
            <w:tcBorders>
              <w:top w:val="single" w:sz="6" w:space="0" w:color="000000"/>
              <w:start w:val="single" w:sz="6" w:space="0" w:color="000000"/>
              <w:bottom w:val="single" w:sz="6" w:space="0" w:color="000000"/>
              <w:end w:val="single" w:sz="6" w:space="0" w:color="000000"/>
            </w:tcBorders>
          </w:tcPr>
          <w:p>
            <w:pPr>
              <w:pStyle w:val="Normal"/>
              <w:rPr>
                <w:rFonts w:ascii="宋体" w:hAnsi="宋体" w:cs="宋体"/>
              </w:rPr>
            </w:pPr>
            <w:r>
              <w:rPr>
                <w:rFonts w:cs="宋体" w:ascii="宋体" w:hAnsi="宋体"/>
              </w:rPr>
              <w:t>1</w:t>
            </w:r>
            <w:r>
              <w:rPr>
                <w:rFonts w:ascii="宋体" w:hAnsi="宋体" w:cs="宋体"/>
                <w:lang w:eastAsia="zh-CN"/>
              </w:rPr>
              <w:t>级</w:t>
            </w:r>
            <w:r>
              <w:rPr>
                <w:rFonts w:cs="宋体" w:ascii="宋体" w:hAnsi="宋体"/>
                <w:lang w:val="en-US" w:eastAsia="zh-CN"/>
              </w:rPr>
              <w:t>4</w:t>
            </w:r>
            <w:r>
              <w:rPr>
                <w:rFonts w:ascii="宋体" w:hAnsi="宋体" w:cs="宋体"/>
                <w:lang w:val="en-US" w:eastAsia="zh-CN"/>
              </w:rPr>
              <w:t>分</w:t>
            </w:r>
          </w:p>
          <w:p>
            <w:pPr>
              <w:pStyle w:val="Normal"/>
              <w:rPr>
                <w:rFonts w:ascii="宋体" w:hAnsi="宋体" w:cs="宋体"/>
              </w:rPr>
            </w:pPr>
            <w:r>
              <w:rPr>
                <w:rFonts w:cs="宋体" w:ascii="宋体" w:hAnsi="宋体"/>
              </w:rPr>
              <w:t>2</w:t>
            </w:r>
            <w:r>
              <w:rPr>
                <w:rFonts w:ascii="宋体" w:hAnsi="宋体" w:cs="宋体"/>
                <w:lang w:eastAsia="zh-CN"/>
              </w:rPr>
              <w:t>级</w:t>
            </w:r>
            <w:r>
              <w:rPr>
                <w:rFonts w:cs="宋体" w:ascii="宋体" w:hAnsi="宋体"/>
              </w:rPr>
              <w:t>8</w:t>
            </w:r>
            <w:r>
              <w:rPr>
                <w:rFonts w:ascii="宋体" w:hAnsi="宋体" w:cs="宋体"/>
              </w:rPr>
              <w:t>分</w:t>
            </w:r>
          </w:p>
          <w:p>
            <w:pPr>
              <w:pStyle w:val="Normal"/>
              <w:rPr>
                <w:rFonts w:ascii="宋体" w:hAnsi="宋体" w:cs="宋体"/>
              </w:rPr>
            </w:pPr>
            <w:r>
              <w:rPr>
                <w:rFonts w:cs="宋体" w:ascii="宋体" w:hAnsi="宋体"/>
              </w:rPr>
              <w:t>3</w:t>
            </w:r>
            <w:r>
              <w:rPr>
                <w:rFonts w:ascii="宋体" w:hAnsi="宋体" w:cs="宋体"/>
                <w:lang w:eastAsia="zh-CN"/>
              </w:rPr>
              <w:t>级</w:t>
            </w:r>
            <w:r>
              <w:rPr>
                <w:rFonts w:cs="宋体" w:ascii="宋体" w:hAnsi="宋体"/>
              </w:rPr>
              <w:t>12</w:t>
            </w:r>
            <w:r>
              <w:rPr>
                <w:rFonts w:ascii="宋体" w:hAnsi="宋体" w:cs="宋体"/>
              </w:rPr>
              <w:t>分</w:t>
            </w:r>
          </w:p>
          <w:p>
            <w:pPr>
              <w:pStyle w:val="Normal"/>
              <w:rPr>
                <w:rFonts w:ascii="宋体" w:hAnsi="宋体" w:cs="宋体"/>
              </w:rPr>
            </w:pPr>
            <w:r>
              <w:rPr>
                <w:rFonts w:cs="宋体" w:ascii="宋体" w:hAnsi="宋体"/>
              </w:rPr>
              <w:t>4</w:t>
            </w:r>
            <w:r>
              <w:rPr>
                <w:rFonts w:ascii="宋体" w:hAnsi="宋体" w:cs="宋体"/>
                <w:lang w:eastAsia="zh-CN"/>
              </w:rPr>
              <w:t>级</w:t>
            </w:r>
            <w:r>
              <w:rPr>
                <w:rFonts w:cs="宋体" w:ascii="宋体" w:hAnsi="宋体"/>
              </w:rPr>
              <w:t>16</w:t>
            </w:r>
            <w:r>
              <w:rPr>
                <w:rFonts w:ascii="宋体" w:hAnsi="宋体" w:cs="宋体"/>
              </w:rPr>
              <w:t>分</w:t>
            </w:r>
          </w:p>
          <w:p>
            <w:pPr>
              <w:pStyle w:val="Normal"/>
              <w:rPr>
                <w:rFonts w:ascii="宋体" w:hAnsi="宋体" w:cs="宋体"/>
              </w:rPr>
            </w:pPr>
            <w:r>
              <w:rPr>
                <w:rFonts w:cs="宋体" w:ascii="宋体" w:hAnsi="宋体"/>
              </w:rPr>
              <w:t>5</w:t>
            </w:r>
            <w:r>
              <w:rPr>
                <w:rFonts w:ascii="宋体" w:hAnsi="宋体" w:cs="宋体"/>
                <w:lang w:eastAsia="zh-CN"/>
              </w:rPr>
              <w:t>级</w:t>
            </w:r>
            <w:r>
              <w:rPr>
                <w:rFonts w:cs="宋体" w:ascii="宋体" w:hAnsi="宋体"/>
              </w:rPr>
              <w:t>20</w:t>
            </w:r>
            <w:r>
              <w:rPr>
                <w:rFonts w:ascii="宋体" w:hAnsi="宋体" w:cs="宋体"/>
              </w:rPr>
              <w:t>分</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w:t>
            </w:r>
          </w:p>
        </w:tc>
        <w:tc>
          <w:tcPr>
            <w:tcW w:w="113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领导力</w:t>
            </w:r>
          </w:p>
        </w:tc>
        <w:tc>
          <w:tcPr>
            <w:tcW w:w="637"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20%</w:t>
            </w:r>
          </w:p>
        </w:tc>
        <w:tc>
          <w:tcPr>
            <w:tcW w:w="427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宋体" w:hAnsi="宋体" w:cs="宋体"/>
                <w:color w:val="000000"/>
                <w:kern w:val="0"/>
                <w:szCs w:val="21"/>
              </w:rPr>
            </w:pPr>
            <w:r>
              <w:rPr>
                <w:rFonts w:cs="宋体" w:ascii="宋体" w:hAnsi="宋体"/>
                <w:color w:val="000000"/>
                <w:szCs w:val="21"/>
              </w:rPr>
              <w:t>1</w:t>
            </w:r>
            <w:r>
              <w:rPr>
                <w:rFonts w:ascii="宋体" w:hAnsi="宋体" w:cs="宋体"/>
                <w:color w:val="000000"/>
                <w:szCs w:val="21"/>
              </w:rPr>
              <w:t>级：任命员工合理</w:t>
            </w:r>
          </w:p>
          <w:p>
            <w:pPr>
              <w:pStyle w:val="Normal"/>
              <w:rPr>
                <w:rFonts w:ascii="宋体" w:hAnsi="宋体" w:cs="宋体"/>
                <w:color w:val="000000"/>
                <w:szCs w:val="21"/>
              </w:rPr>
            </w:pPr>
            <w:r>
              <w:rPr>
                <w:rFonts w:cs="宋体" w:ascii="宋体" w:hAnsi="宋体"/>
                <w:color w:val="000000"/>
                <w:szCs w:val="21"/>
              </w:rPr>
              <w:t>2</w:t>
            </w:r>
            <w:r>
              <w:rPr>
                <w:rFonts w:ascii="宋体" w:hAnsi="宋体" w:cs="宋体"/>
                <w:color w:val="000000"/>
                <w:szCs w:val="21"/>
              </w:rPr>
              <w:t>级：能正确评价员工付出与回报协调性</w:t>
            </w:r>
          </w:p>
          <w:p>
            <w:pPr>
              <w:pStyle w:val="Normal"/>
              <w:rPr>
                <w:rFonts w:ascii="宋体" w:hAnsi="宋体" w:cs="宋体"/>
                <w:color w:val="000000"/>
                <w:szCs w:val="21"/>
              </w:rPr>
            </w:pPr>
            <w:r>
              <w:rPr>
                <w:rFonts w:cs="宋体" w:ascii="宋体" w:hAnsi="宋体"/>
                <w:color w:val="000000"/>
                <w:szCs w:val="21"/>
              </w:rPr>
              <w:t>3</w:t>
            </w:r>
            <w:r>
              <w:rPr>
                <w:rFonts w:ascii="宋体" w:hAnsi="宋体" w:cs="宋体"/>
                <w:color w:val="000000"/>
                <w:szCs w:val="21"/>
              </w:rPr>
              <w:t>级：对员工业绩与态度进行客观评价</w:t>
            </w:r>
          </w:p>
          <w:p>
            <w:pPr>
              <w:pStyle w:val="Normal"/>
              <w:rPr>
                <w:rFonts w:ascii="宋体" w:hAnsi="宋体" w:cs="宋体"/>
                <w:color w:val="000000"/>
                <w:szCs w:val="21"/>
              </w:rPr>
            </w:pPr>
            <w:r>
              <w:rPr>
                <w:rFonts w:cs="宋体" w:ascii="宋体" w:hAnsi="宋体"/>
                <w:color w:val="000000"/>
                <w:szCs w:val="21"/>
              </w:rPr>
              <w:t>4</w:t>
            </w:r>
            <w:r>
              <w:rPr>
                <w:rFonts w:ascii="宋体" w:hAnsi="宋体" w:cs="宋体"/>
                <w:color w:val="000000"/>
                <w:szCs w:val="21"/>
              </w:rPr>
              <w:t>级：掌握岗位精确工作技术及全面专家技术并组织实施产生良好效果，培训员工为胜任力者</w:t>
            </w:r>
          </w:p>
          <w:p>
            <w:pPr>
              <w:pStyle w:val="Normal"/>
              <w:rPr>
                <w:rFonts w:ascii="宋体" w:hAnsi="宋体" w:cs="宋体"/>
              </w:rPr>
            </w:pPr>
            <w:r>
              <w:rPr>
                <w:rFonts w:cs="宋体" w:ascii="宋体" w:hAnsi="宋体"/>
                <w:color w:val="000000"/>
                <w:szCs w:val="21"/>
              </w:rPr>
              <w:t>5</w:t>
            </w:r>
            <w:r>
              <w:rPr>
                <w:rFonts w:ascii="宋体" w:hAnsi="宋体" w:cs="宋体"/>
                <w:color w:val="000000"/>
                <w:szCs w:val="21"/>
              </w:rPr>
              <w:t>级：影响力大，员工自愿追随并付出贡献</w:t>
            </w:r>
          </w:p>
        </w:tc>
        <w:tc>
          <w:tcPr>
            <w:tcW w:w="1130" w:type="dxa"/>
            <w:gridSpan w:val="4"/>
            <w:tcBorders>
              <w:top w:val="single" w:sz="6" w:space="0" w:color="000000"/>
              <w:start w:val="single" w:sz="6" w:space="0" w:color="000000"/>
              <w:bottom w:val="single" w:sz="6" w:space="0" w:color="000000"/>
              <w:end w:val="single" w:sz="6" w:space="0" w:color="000000"/>
            </w:tcBorders>
          </w:tcPr>
          <w:p>
            <w:pPr>
              <w:pStyle w:val="Normal"/>
              <w:rPr>
                <w:rFonts w:ascii="宋体" w:hAnsi="宋体" w:cs="宋体"/>
              </w:rPr>
            </w:pPr>
            <w:r>
              <w:rPr>
                <w:rFonts w:cs="宋体" w:ascii="宋体" w:hAnsi="宋体"/>
              </w:rPr>
              <w:t>1</w:t>
            </w:r>
            <w:r>
              <w:rPr>
                <w:rFonts w:ascii="宋体" w:hAnsi="宋体" w:cs="宋体"/>
                <w:lang w:eastAsia="zh-CN"/>
              </w:rPr>
              <w:t>级</w:t>
            </w:r>
            <w:r>
              <w:rPr>
                <w:rFonts w:cs="宋体" w:ascii="宋体" w:hAnsi="宋体"/>
              </w:rPr>
              <w:t>4</w:t>
            </w:r>
            <w:r>
              <w:rPr>
                <w:rFonts w:ascii="宋体" w:hAnsi="宋体" w:cs="宋体"/>
              </w:rPr>
              <w:t>分</w:t>
            </w:r>
          </w:p>
          <w:p>
            <w:pPr>
              <w:pStyle w:val="Normal"/>
              <w:rPr>
                <w:rFonts w:ascii="宋体" w:hAnsi="宋体" w:cs="宋体"/>
              </w:rPr>
            </w:pPr>
            <w:r>
              <w:rPr>
                <w:rFonts w:cs="宋体" w:ascii="宋体" w:hAnsi="宋体"/>
              </w:rPr>
              <w:t>2</w:t>
            </w:r>
            <w:r>
              <w:rPr>
                <w:rFonts w:ascii="宋体" w:hAnsi="宋体" w:cs="宋体"/>
                <w:lang w:eastAsia="zh-CN"/>
              </w:rPr>
              <w:t>级</w:t>
            </w:r>
            <w:r>
              <w:rPr>
                <w:rFonts w:cs="宋体" w:ascii="宋体" w:hAnsi="宋体"/>
              </w:rPr>
              <w:t>8</w:t>
            </w:r>
            <w:r>
              <w:rPr>
                <w:rFonts w:ascii="宋体" w:hAnsi="宋体" w:cs="宋体"/>
              </w:rPr>
              <w:t>分</w:t>
            </w:r>
          </w:p>
          <w:p>
            <w:pPr>
              <w:pStyle w:val="Normal"/>
              <w:rPr>
                <w:rFonts w:ascii="宋体" w:hAnsi="宋体" w:cs="宋体"/>
              </w:rPr>
            </w:pPr>
            <w:r>
              <w:rPr>
                <w:rFonts w:cs="宋体" w:ascii="宋体" w:hAnsi="宋体"/>
              </w:rPr>
              <w:t>3</w:t>
            </w:r>
            <w:r>
              <w:rPr>
                <w:rFonts w:ascii="宋体" w:hAnsi="宋体" w:cs="宋体"/>
                <w:lang w:eastAsia="zh-CN"/>
              </w:rPr>
              <w:t>级</w:t>
            </w:r>
            <w:r>
              <w:rPr>
                <w:rFonts w:cs="宋体" w:ascii="宋体" w:hAnsi="宋体"/>
              </w:rPr>
              <w:t>12</w:t>
            </w:r>
            <w:r>
              <w:rPr>
                <w:rFonts w:ascii="宋体" w:hAnsi="宋体" w:cs="宋体"/>
              </w:rPr>
              <w:t>分</w:t>
            </w:r>
          </w:p>
          <w:p>
            <w:pPr>
              <w:pStyle w:val="Normal"/>
              <w:rPr>
                <w:rFonts w:ascii="宋体" w:hAnsi="宋体" w:cs="宋体"/>
              </w:rPr>
            </w:pPr>
            <w:r>
              <w:rPr>
                <w:rFonts w:cs="宋体" w:ascii="宋体" w:hAnsi="宋体"/>
              </w:rPr>
              <w:t>4</w:t>
            </w:r>
            <w:r>
              <w:rPr>
                <w:rFonts w:ascii="宋体" w:hAnsi="宋体" w:cs="宋体"/>
                <w:lang w:eastAsia="zh-CN"/>
              </w:rPr>
              <w:t>级</w:t>
            </w:r>
            <w:r>
              <w:rPr>
                <w:rFonts w:cs="宋体" w:ascii="宋体" w:hAnsi="宋体"/>
              </w:rPr>
              <w:t>16</w:t>
            </w:r>
            <w:r>
              <w:rPr>
                <w:rFonts w:ascii="宋体" w:hAnsi="宋体" w:cs="宋体"/>
              </w:rPr>
              <w:t>分</w:t>
            </w:r>
          </w:p>
          <w:p>
            <w:pPr>
              <w:pStyle w:val="Normal"/>
              <w:rPr>
                <w:rFonts w:ascii="宋体" w:hAnsi="宋体" w:cs="宋体"/>
              </w:rPr>
            </w:pPr>
            <w:r>
              <w:rPr>
                <w:rFonts w:cs="宋体" w:ascii="宋体" w:hAnsi="宋体"/>
              </w:rPr>
              <w:t>5</w:t>
            </w:r>
            <w:r>
              <w:rPr>
                <w:rFonts w:ascii="宋体" w:hAnsi="宋体" w:cs="宋体"/>
                <w:lang w:eastAsia="zh-CN"/>
              </w:rPr>
              <w:t>级</w:t>
            </w:r>
            <w:r>
              <w:rPr>
                <w:rFonts w:cs="宋体" w:ascii="宋体" w:hAnsi="宋体"/>
              </w:rPr>
              <w:t>20</w:t>
            </w:r>
            <w:r>
              <w:rPr>
                <w:rFonts w:ascii="宋体" w:hAnsi="宋体" w:cs="宋体"/>
              </w:rPr>
              <w:t>分</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3</w:t>
            </w:r>
          </w:p>
        </w:tc>
        <w:tc>
          <w:tcPr>
            <w:tcW w:w="113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人际关系</w:t>
            </w:r>
          </w:p>
        </w:tc>
        <w:tc>
          <w:tcPr>
            <w:tcW w:w="637"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20%</w:t>
            </w:r>
          </w:p>
        </w:tc>
        <w:tc>
          <w:tcPr>
            <w:tcW w:w="427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宋体" w:hAnsi="宋体" w:cs="宋体"/>
                <w:color w:val="000000"/>
                <w:kern w:val="0"/>
                <w:szCs w:val="21"/>
              </w:rPr>
            </w:pPr>
            <w:r>
              <w:rPr>
                <w:rFonts w:cs="宋体" w:ascii="宋体" w:hAnsi="宋体"/>
                <w:color w:val="000000"/>
                <w:szCs w:val="21"/>
              </w:rPr>
              <w:t>1</w:t>
            </w:r>
            <w:r>
              <w:rPr>
                <w:rFonts w:ascii="宋体" w:hAnsi="宋体" w:cs="宋体"/>
                <w:color w:val="000000"/>
                <w:szCs w:val="21"/>
              </w:rPr>
              <w:t>级：接受邀请，维持正常工作关系</w:t>
            </w:r>
          </w:p>
          <w:p>
            <w:pPr>
              <w:pStyle w:val="Normal"/>
              <w:rPr>
                <w:rFonts w:ascii="宋体" w:hAnsi="宋体" w:cs="宋体"/>
                <w:color w:val="000000"/>
                <w:szCs w:val="21"/>
              </w:rPr>
            </w:pPr>
            <w:r>
              <w:rPr>
                <w:rFonts w:cs="宋体" w:ascii="宋体" w:hAnsi="宋体"/>
                <w:color w:val="000000"/>
                <w:szCs w:val="21"/>
              </w:rPr>
              <w:t>2</w:t>
            </w:r>
            <w:r>
              <w:rPr>
                <w:rFonts w:ascii="宋体" w:hAnsi="宋体" w:cs="宋体"/>
                <w:color w:val="000000"/>
                <w:szCs w:val="21"/>
              </w:rPr>
              <w:t>级：建立融洽关系讨论非工作事例</w:t>
            </w:r>
          </w:p>
          <w:p>
            <w:pPr>
              <w:pStyle w:val="Normal"/>
              <w:rPr>
                <w:rFonts w:ascii="宋体" w:hAnsi="宋体" w:cs="宋体"/>
                <w:color w:val="000000"/>
                <w:szCs w:val="21"/>
              </w:rPr>
            </w:pPr>
            <w:r>
              <w:rPr>
                <w:rFonts w:cs="宋体" w:ascii="宋体" w:hAnsi="宋体"/>
                <w:color w:val="000000"/>
                <w:szCs w:val="21"/>
              </w:rPr>
              <w:t>3</w:t>
            </w:r>
            <w:r>
              <w:rPr>
                <w:rFonts w:ascii="宋体" w:hAnsi="宋体" w:cs="宋体"/>
                <w:color w:val="000000"/>
                <w:szCs w:val="21"/>
              </w:rPr>
              <w:t>级：社会交往普遍发生</w:t>
            </w:r>
          </w:p>
          <w:p>
            <w:pPr>
              <w:pStyle w:val="Normal"/>
              <w:rPr>
                <w:rFonts w:ascii="宋体" w:hAnsi="宋体" w:cs="宋体"/>
                <w:color w:val="000000"/>
                <w:szCs w:val="21"/>
              </w:rPr>
            </w:pPr>
            <w:r>
              <w:rPr>
                <w:rFonts w:cs="宋体" w:ascii="宋体" w:hAnsi="宋体"/>
                <w:color w:val="000000"/>
                <w:szCs w:val="21"/>
              </w:rPr>
              <w:t>4</w:t>
            </w:r>
            <w:r>
              <w:rPr>
                <w:rFonts w:ascii="宋体" w:hAnsi="宋体" w:cs="宋体"/>
                <w:color w:val="000000"/>
                <w:szCs w:val="21"/>
              </w:rPr>
              <w:t>级：成为密友并能正当拓展业务</w:t>
            </w:r>
          </w:p>
          <w:p>
            <w:pPr>
              <w:pStyle w:val="Normal"/>
              <w:rPr>
                <w:rFonts w:ascii="宋体" w:hAnsi="宋体" w:cs="宋体"/>
              </w:rPr>
            </w:pPr>
            <w:r>
              <w:rPr>
                <w:rFonts w:cs="宋体" w:ascii="宋体" w:hAnsi="宋体"/>
                <w:color w:val="000000"/>
                <w:szCs w:val="21"/>
              </w:rPr>
              <w:t>5</w:t>
            </w:r>
            <w:r>
              <w:rPr>
                <w:rFonts w:ascii="宋体" w:hAnsi="宋体" w:cs="宋体"/>
                <w:color w:val="000000"/>
                <w:szCs w:val="21"/>
              </w:rPr>
              <w:t>级：亲和力强，感染不同层次社会伙伴成为战略合作方</w:t>
            </w:r>
          </w:p>
        </w:tc>
        <w:tc>
          <w:tcPr>
            <w:tcW w:w="1130" w:type="dxa"/>
            <w:gridSpan w:val="4"/>
            <w:tcBorders>
              <w:top w:val="single" w:sz="6" w:space="0" w:color="000000"/>
              <w:start w:val="single" w:sz="6" w:space="0" w:color="000000"/>
              <w:bottom w:val="single" w:sz="6" w:space="0" w:color="000000"/>
              <w:end w:val="single" w:sz="6" w:space="0" w:color="000000"/>
            </w:tcBorders>
          </w:tcPr>
          <w:p>
            <w:pPr>
              <w:pStyle w:val="Normal"/>
              <w:rPr>
                <w:rFonts w:ascii="宋体" w:hAnsi="宋体" w:cs="宋体"/>
              </w:rPr>
            </w:pPr>
            <w:r>
              <w:rPr>
                <w:rFonts w:cs="宋体" w:ascii="宋体" w:hAnsi="宋体"/>
              </w:rPr>
              <w:t>1</w:t>
            </w:r>
            <w:r>
              <w:rPr>
                <w:rFonts w:ascii="宋体" w:hAnsi="宋体" w:cs="宋体"/>
                <w:lang w:eastAsia="zh-CN"/>
              </w:rPr>
              <w:t>级</w:t>
            </w:r>
            <w:r>
              <w:rPr>
                <w:rFonts w:cs="宋体" w:ascii="宋体" w:hAnsi="宋体"/>
              </w:rPr>
              <w:t>4</w:t>
            </w:r>
            <w:r>
              <w:rPr>
                <w:rFonts w:ascii="宋体" w:hAnsi="宋体" w:cs="宋体"/>
              </w:rPr>
              <w:t>分</w:t>
            </w:r>
          </w:p>
          <w:p>
            <w:pPr>
              <w:pStyle w:val="Normal"/>
              <w:rPr>
                <w:rFonts w:ascii="宋体" w:hAnsi="宋体" w:cs="宋体"/>
              </w:rPr>
            </w:pPr>
            <w:r>
              <w:rPr>
                <w:rFonts w:cs="宋体" w:ascii="宋体" w:hAnsi="宋体"/>
              </w:rPr>
              <w:t>2</w:t>
            </w:r>
            <w:r>
              <w:rPr>
                <w:rFonts w:ascii="宋体" w:hAnsi="宋体" w:cs="宋体"/>
                <w:lang w:eastAsia="zh-CN"/>
              </w:rPr>
              <w:t>级</w:t>
            </w:r>
            <w:r>
              <w:rPr>
                <w:rFonts w:cs="宋体" w:ascii="宋体" w:hAnsi="宋体"/>
              </w:rPr>
              <w:t>8</w:t>
            </w:r>
            <w:r>
              <w:rPr>
                <w:rFonts w:ascii="宋体" w:hAnsi="宋体" w:cs="宋体"/>
              </w:rPr>
              <w:t>分</w:t>
            </w:r>
          </w:p>
          <w:p>
            <w:pPr>
              <w:pStyle w:val="Normal"/>
              <w:rPr>
                <w:rFonts w:ascii="宋体" w:hAnsi="宋体" w:cs="宋体"/>
              </w:rPr>
            </w:pPr>
            <w:r>
              <w:rPr>
                <w:rFonts w:cs="宋体" w:ascii="宋体" w:hAnsi="宋体"/>
              </w:rPr>
              <w:t>3</w:t>
            </w:r>
            <w:r>
              <w:rPr>
                <w:rFonts w:ascii="宋体" w:hAnsi="宋体" w:cs="宋体"/>
                <w:lang w:eastAsia="zh-CN"/>
              </w:rPr>
              <w:t>级</w:t>
            </w:r>
            <w:r>
              <w:rPr>
                <w:rFonts w:cs="宋体" w:ascii="宋体" w:hAnsi="宋体"/>
              </w:rPr>
              <w:t>12</w:t>
            </w:r>
            <w:r>
              <w:rPr>
                <w:rFonts w:ascii="宋体" w:hAnsi="宋体" w:cs="宋体"/>
              </w:rPr>
              <w:t>分</w:t>
            </w:r>
          </w:p>
          <w:p>
            <w:pPr>
              <w:pStyle w:val="Normal"/>
              <w:rPr>
                <w:rFonts w:ascii="宋体" w:hAnsi="宋体" w:cs="宋体"/>
              </w:rPr>
            </w:pPr>
            <w:r>
              <w:rPr>
                <w:rFonts w:cs="宋体" w:ascii="宋体" w:hAnsi="宋体"/>
              </w:rPr>
              <w:t>4</w:t>
            </w:r>
            <w:r>
              <w:rPr>
                <w:rFonts w:ascii="宋体" w:hAnsi="宋体" w:cs="宋体"/>
                <w:lang w:eastAsia="zh-CN"/>
              </w:rPr>
              <w:t>级</w:t>
            </w:r>
            <w:r>
              <w:rPr>
                <w:rFonts w:cs="宋体" w:ascii="宋体" w:hAnsi="宋体"/>
              </w:rPr>
              <w:t>16</w:t>
            </w:r>
            <w:r>
              <w:rPr>
                <w:rFonts w:ascii="宋体" w:hAnsi="宋体" w:cs="宋体"/>
              </w:rPr>
              <w:t>分</w:t>
            </w:r>
          </w:p>
          <w:p>
            <w:pPr>
              <w:pStyle w:val="Normal"/>
              <w:rPr>
                <w:rFonts w:ascii="宋体" w:hAnsi="宋体" w:cs="宋体"/>
              </w:rPr>
            </w:pPr>
            <w:r>
              <w:rPr>
                <w:rFonts w:cs="宋体" w:ascii="宋体" w:hAnsi="宋体"/>
              </w:rPr>
              <w:t>5</w:t>
            </w:r>
            <w:r>
              <w:rPr>
                <w:rFonts w:ascii="宋体" w:hAnsi="宋体" w:cs="宋体"/>
                <w:lang w:eastAsia="zh-CN"/>
              </w:rPr>
              <w:t>级</w:t>
            </w:r>
            <w:r>
              <w:rPr>
                <w:rFonts w:cs="宋体" w:ascii="宋体" w:hAnsi="宋体"/>
              </w:rPr>
              <w:t>20</w:t>
            </w:r>
            <w:r>
              <w:rPr>
                <w:rFonts w:ascii="宋体" w:hAnsi="宋体" w:cs="宋体"/>
              </w:rPr>
              <w:t>分</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4</w:t>
            </w:r>
          </w:p>
        </w:tc>
        <w:tc>
          <w:tcPr>
            <w:tcW w:w="113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指挥</w:t>
            </w:r>
          </w:p>
        </w:tc>
        <w:tc>
          <w:tcPr>
            <w:tcW w:w="637"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20%</w:t>
            </w:r>
          </w:p>
        </w:tc>
        <w:tc>
          <w:tcPr>
            <w:tcW w:w="427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宋体" w:hAnsi="宋体" w:cs="宋体"/>
                <w:color w:val="000000"/>
                <w:kern w:val="0"/>
                <w:szCs w:val="21"/>
              </w:rPr>
            </w:pPr>
            <w:r>
              <w:rPr>
                <w:rFonts w:cs="宋体" w:ascii="宋体" w:hAnsi="宋体"/>
                <w:color w:val="000000"/>
                <w:szCs w:val="21"/>
              </w:rPr>
              <w:t>1</w:t>
            </w:r>
            <w:r>
              <w:rPr>
                <w:rFonts w:ascii="宋体" w:hAnsi="宋体" w:cs="宋体"/>
                <w:color w:val="000000"/>
                <w:szCs w:val="21"/>
              </w:rPr>
              <w:t>级：常规指标并清晰</w:t>
            </w:r>
          </w:p>
          <w:p>
            <w:pPr>
              <w:pStyle w:val="Normal"/>
              <w:rPr>
                <w:rFonts w:ascii="宋体" w:hAnsi="宋体" w:cs="宋体"/>
                <w:color w:val="000000"/>
                <w:szCs w:val="21"/>
              </w:rPr>
            </w:pPr>
            <w:r>
              <w:rPr>
                <w:rFonts w:cs="宋体" w:ascii="宋体" w:hAnsi="宋体"/>
                <w:color w:val="000000"/>
                <w:szCs w:val="21"/>
              </w:rPr>
              <w:t>2</w:t>
            </w:r>
            <w:r>
              <w:rPr>
                <w:rFonts w:ascii="宋体" w:hAnsi="宋体" w:cs="宋体"/>
                <w:color w:val="000000"/>
                <w:szCs w:val="21"/>
              </w:rPr>
              <w:t>级：详细指导并告知操作方法</w:t>
            </w:r>
          </w:p>
          <w:p>
            <w:pPr>
              <w:pStyle w:val="Normal"/>
              <w:rPr>
                <w:rFonts w:ascii="宋体" w:hAnsi="宋体" w:cs="宋体"/>
                <w:color w:val="000000"/>
                <w:szCs w:val="21"/>
              </w:rPr>
            </w:pPr>
            <w:r>
              <w:rPr>
                <w:rFonts w:cs="宋体" w:ascii="宋体" w:hAnsi="宋体"/>
                <w:color w:val="000000"/>
                <w:szCs w:val="21"/>
              </w:rPr>
              <w:t>3</w:t>
            </w:r>
            <w:r>
              <w:rPr>
                <w:rFonts w:ascii="宋体" w:hAnsi="宋体" w:cs="宋体"/>
                <w:color w:val="000000"/>
                <w:szCs w:val="21"/>
              </w:rPr>
              <w:t>级：坚决洽当处理不合理要求并对后果负责，控制场面</w:t>
            </w:r>
          </w:p>
          <w:p>
            <w:pPr>
              <w:pStyle w:val="Normal"/>
              <w:rPr>
                <w:rFonts w:ascii="宋体" w:hAnsi="宋体" w:cs="宋体"/>
                <w:color w:val="000000"/>
                <w:szCs w:val="21"/>
              </w:rPr>
            </w:pPr>
            <w:r>
              <w:rPr>
                <w:rFonts w:cs="宋体" w:ascii="宋体" w:hAnsi="宋体"/>
                <w:color w:val="000000"/>
                <w:szCs w:val="21"/>
              </w:rPr>
              <w:t>4</w:t>
            </w:r>
            <w:r>
              <w:rPr>
                <w:rFonts w:ascii="宋体" w:hAnsi="宋体" w:cs="宋体"/>
                <w:color w:val="000000"/>
                <w:szCs w:val="21"/>
              </w:rPr>
              <w:t>级：团队工作井然，成员离场行为较好</w:t>
            </w:r>
          </w:p>
          <w:p>
            <w:pPr>
              <w:pStyle w:val="Normal"/>
              <w:rPr>
                <w:rFonts w:ascii="宋体" w:hAnsi="宋体" w:cs="宋体"/>
              </w:rPr>
            </w:pPr>
            <w:r>
              <w:rPr>
                <w:rFonts w:cs="宋体" w:ascii="宋体" w:hAnsi="宋体"/>
                <w:color w:val="000000"/>
                <w:szCs w:val="21"/>
              </w:rPr>
              <w:t>5</w:t>
            </w:r>
            <w:r>
              <w:rPr>
                <w:rFonts w:ascii="宋体" w:hAnsi="宋体" w:cs="宋体"/>
                <w:color w:val="000000"/>
                <w:szCs w:val="21"/>
              </w:rPr>
              <w:t>级：指挥具有艺术性，成员不易违规</w:t>
            </w:r>
          </w:p>
        </w:tc>
        <w:tc>
          <w:tcPr>
            <w:tcW w:w="1130" w:type="dxa"/>
            <w:gridSpan w:val="4"/>
            <w:tcBorders>
              <w:top w:val="single" w:sz="6" w:space="0" w:color="000000"/>
              <w:start w:val="single" w:sz="6" w:space="0" w:color="000000"/>
              <w:bottom w:val="single" w:sz="6" w:space="0" w:color="000000"/>
              <w:end w:val="single" w:sz="6" w:space="0" w:color="000000"/>
            </w:tcBorders>
          </w:tcPr>
          <w:p>
            <w:pPr>
              <w:pStyle w:val="Normal"/>
              <w:rPr>
                <w:rFonts w:ascii="宋体" w:hAnsi="宋体" w:cs="宋体"/>
              </w:rPr>
            </w:pPr>
            <w:r>
              <w:rPr>
                <w:rFonts w:cs="宋体" w:ascii="宋体" w:hAnsi="宋体"/>
              </w:rPr>
              <w:t>1</w:t>
            </w:r>
            <w:r>
              <w:rPr>
                <w:rFonts w:ascii="宋体" w:hAnsi="宋体" w:cs="宋体"/>
                <w:lang w:eastAsia="zh-CN"/>
              </w:rPr>
              <w:t>级</w:t>
            </w:r>
            <w:r>
              <w:rPr>
                <w:rFonts w:cs="宋体" w:ascii="宋体" w:hAnsi="宋体"/>
              </w:rPr>
              <w:t>4</w:t>
            </w:r>
            <w:r>
              <w:rPr>
                <w:rFonts w:ascii="宋体" w:hAnsi="宋体" w:cs="宋体"/>
              </w:rPr>
              <w:t>分</w:t>
            </w:r>
          </w:p>
          <w:p>
            <w:pPr>
              <w:pStyle w:val="Normal"/>
              <w:rPr>
                <w:rFonts w:ascii="宋体" w:hAnsi="宋体" w:cs="宋体"/>
              </w:rPr>
            </w:pPr>
            <w:r>
              <w:rPr>
                <w:rFonts w:cs="宋体" w:ascii="宋体" w:hAnsi="宋体"/>
              </w:rPr>
              <w:t>2</w:t>
            </w:r>
            <w:r>
              <w:rPr>
                <w:rFonts w:ascii="宋体" w:hAnsi="宋体" w:cs="宋体"/>
                <w:lang w:eastAsia="zh-CN"/>
              </w:rPr>
              <w:t>级</w:t>
            </w:r>
            <w:r>
              <w:rPr>
                <w:rFonts w:cs="宋体" w:ascii="宋体" w:hAnsi="宋体"/>
              </w:rPr>
              <w:t>8</w:t>
            </w:r>
            <w:r>
              <w:rPr>
                <w:rFonts w:ascii="宋体" w:hAnsi="宋体" w:cs="宋体"/>
              </w:rPr>
              <w:t>分</w:t>
            </w:r>
          </w:p>
          <w:p>
            <w:pPr>
              <w:pStyle w:val="Normal"/>
              <w:rPr>
                <w:rFonts w:ascii="宋体" w:hAnsi="宋体" w:cs="宋体"/>
              </w:rPr>
            </w:pPr>
            <w:r>
              <w:rPr>
                <w:rFonts w:cs="宋体" w:ascii="宋体" w:hAnsi="宋体"/>
              </w:rPr>
              <w:t>3</w:t>
            </w:r>
            <w:r>
              <w:rPr>
                <w:rFonts w:ascii="宋体" w:hAnsi="宋体" w:cs="宋体"/>
                <w:lang w:eastAsia="zh-CN"/>
              </w:rPr>
              <w:t>级</w:t>
            </w:r>
            <w:r>
              <w:rPr>
                <w:rFonts w:cs="宋体" w:ascii="宋体" w:hAnsi="宋体"/>
              </w:rPr>
              <w:t>12</w:t>
            </w:r>
            <w:r>
              <w:rPr>
                <w:rFonts w:ascii="宋体" w:hAnsi="宋体" w:cs="宋体"/>
              </w:rPr>
              <w:t>分</w:t>
            </w:r>
          </w:p>
          <w:p>
            <w:pPr>
              <w:pStyle w:val="Normal"/>
              <w:rPr>
                <w:rFonts w:ascii="宋体" w:hAnsi="宋体" w:cs="宋体"/>
              </w:rPr>
            </w:pPr>
            <w:r>
              <w:rPr>
                <w:rFonts w:cs="宋体" w:ascii="宋体" w:hAnsi="宋体"/>
              </w:rPr>
              <w:t>4</w:t>
            </w:r>
            <w:r>
              <w:rPr>
                <w:rFonts w:ascii="宋体" w:hAnsi="宋体" w:cs="宋体"/>
                <w:lang w:eastAsia="zh-CN"/>
              </w:rPr>
              <w:t>级</w:t>
            </w:r>
            <w:r>
              <w:rPr>
                <w:rFonts w:cs="宋体" w:ascii="宋体" w:hAnsi="宋体"/>
              </w:rPr>
              <w:t>16</w:t>
            </w:r>
            <w:r>
              <w:rPr>
                <w:rFonts w:ascii="宋体" w:hAnsi="宋体" w:cs="宋体"/>
              </w:rPr>
              <w:t>分</w:t>
            </w:r>
          </w:p>
          <w:p>
            <w:pPr>
              <w:pStyle w:val="Normal"/>
              <w:rPr>
                <w:rFonts w:ascii="宋体" w:hAnsi="宋体" w:cs="宋体"/>
              </w:rPr>
            </w:pPr>
            <w:r>
              <w:rPr>
                <w:rFonts w:cs="宋体" w:ascii="宋体" w:hAnsi="宋体"/>
              </w:rPr>
              <w:t>5</w:t>
            </w:r>
            <w:r>
              <w:rPr>
                <w:rFonts w:ascii="宋体" w:hAnsi="宋体" w:cs="宋体"/>
                <w:lang w:eastAsia="zh-CN"/>
              </w:rPr>
              <w:t>级</w:t>
            </w:r>
            <w:r>
              <w:rPr>
                <w:rFonts w:cs="宋体" w:ascii="宋体" w:hAnsi="宋体"/>
              </w:rPr>
              <w:t>20</w:t>
            </w:r>
            <w:r>
              <w:rPr>
                <w:rFonts w:ascii="宋体" w:hAnsi="宋体" w:cs="宋体"/>
              </w:rPr>
              <w:t>分</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5</w:t>
            </w:r>
          </w:p>
        </w:tc>
        <w:tc>
          <w:tcPr>
            <w:tcW w:w="113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决策</w:t>
            </w:r>
          </w:p>
        </w:tc>
        <w:tc>
          <w:tcPr>
            <w:tcW w:w="637"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cs="宋体" w:ascii="宋体" w:hAnsi="宋体"/>
              </w:rPr>
              <w:t>20%</w:t>
            </w:r>
          </w:p>
        </w:tc>
        <w:tc>
          <w:tcPr>
            <w:tcW w:w="4270" w:type="dxa"/>
            <w:gridSpan w:val="5"/>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宋体" w:hAnsi="宋体" w:cs="宋体"/>
                <w:color w:val="000000"/>
                <w:kern w:val="0"/>
                <w:szCs w:val="21"/>
              </w:rPr>
            </w:pPr>
            <w:r>
              <w:rPr>
                <w:rFonts w:cs="宋体" w:ascii="宋体" w:hAnsi="宋体"/>
                <w:color w:val="000000"/>
                <w:szCs w:val="21"/>
              </w:rPr>
              <w:t>1</w:t>
            </w:r>
            <w:r>
              <w:rPr>
                <w:rFonts w:ascii="宋体" w:hAnsi="宋体" w:cs="宋体"/>
                <w:color w:val="000000"/>
                <w:szCs w:val="21"/>
              </w:rPr>
              <w:t>级：能做本职及下级决策，出现时间延长</w:t>
            </w:r>
          </w:p>
          <w:p>
            <w:pPr>
              <w:pStyle w:val="Normal"/>
              <w:rPr>
                <w:rFonts w:ascii="宋体" w:hAnsi="宋体" w:cs="宋体"/>
                <w:color w:val="000000"/>
                <w:szCs w:val="21"/>
              </w:rPr>
            </w:pPr>
            <w:r>
              <w:rPr>
                <w:rFonts w:cs="宋体" w:ascii="宋体" w:hAnsi="宋体"/>
                <w:color w:val="000000"/>
                <w:szCs w:val="21"/>
              </w:rPr>
              <w:t>2</w:t>
            </w:r>
            <w:r>
              <w:rPr>
                <w:rFonts w:ascii="宋体" w:hAnsi="宋体" w:cs="宋体"/>
                <w:color w:val="000000"/>
                <w:szCs w:val="21"/>
              </w:rPr>
              <w:t>级：通过讨论，总能获取最后正确决策</w:t>
            </w:r>
          </w:p>
          <w:p>
            <w:pPr>
              <w:pStyle w:val="Normal"/>
              <w:rPr>
                <w:rFonts w:ascii="宋体" w:hAnsi="宋体" w:cs="宋体"/>
                <w:color w:val="000000"/>
                <w:szCs w:val="21"/>
              </w:rPr>
            </w:pPr>
            <w:r>
              <w:rPr>
                <w:rFonts w:cs="宋体" w:ascii="宋体" w:hAnsi="宋体"/>
                <w:color w:val="000000"/>
                <w:szCs w:val="21"/>
              </w:rPr>
              <w:t>3</w:t>
            </w:r>
            <w:r>
              <w:rPr>
                <w:rFonts w:ascii="宋体" w:hAnsi="宋体" w:cs="宋体"/>
                <w:color w:val="000000"/>
                <w:szCs w:val="21"/>
              </w:rPr>
              <w:t>级：无依赖思想，使用理性工具</w:t>
            </w:r>
          </w:p>
          <w:p>
            <w:pPr>
              <w:pStyle w:val="Normal"/>
              <w:rPr>
                <w:rFonts w:ascii="宋体" w:hAnsi="宋体" w:cs="宋体"/>
                <w:color w:val="000000"/>
                <w:szCs w:val="21"/>
              </w:rPr>
            </w:pPr>
            <w:r>
              <w:rPr>
                <w:rFonts w:cs="宋体" w:ascii="宋体" w:hAnsi="宋体"/>
                <w:color w:val="000000"/>
                <w:szCs w:val="21"/>
              </w:rPr>
              <w:t>4</w:t>
            </w:r>
            <w:r>
              <w:rPr>
                <w:rFonts w:ascii="宋体" w:hAnsi="宋体" w:cs="宋体"/>
                <w:color w:val="000000"/>
                <w:szCs w:val="21"/>
              </w:rPr>
              <w:t>级：有预见性，感性与理性决策误差小</w:t>
            </w:r>
          </w:p>
          <w:p>
            <w:pPr>
              <w:pStyle w:val="Normal"/>
              <w:rPr>
                <w:rFonts w:ascii="宋体" w:hAnsi="宋体" w:cs="宋体"/>
              </w:rPr>
            </w:pPr>
            <w:bookmarkStart w:id="3" w:name="OLE_LINK2"/>
            <w:bookmarkStart w:id="4" w:name="OLE_LINK1"/>
            <w:r>
              <w:rPr>
                <w:rFonts w:cs="宋体" w:ascii="宋体" w:hAnsi="宋体"/>
                <w:color w:val="000000"/>
                <w:szCs w:val="21"/>
              </w:rPr>
              <w:t>5</w:t>
            </w:r>
            <w:r>
              <w:rPr>
                <w:rFonts w:ascii="宋体" w:hAnsi="宋体" w:cs="宋体"/>
                <w:color w:val="000000"/>
                <w:szCs w:val="21"/>
              </w:rPr>
              <w:t>级：决策超出组织预见，成为组织成员决策依据</w:t>
            </w:r>
            <w:bookmarkEnd w:id="3"/>
            <w:bookmarkEnd w:id="4"/>
          </w:p>
        </w:tc>
        <w:tc>
          <w:tcPr>
            <w:tcW w:w="1130" w:type="dxa"/>
            <w:gridSpan w:val="4"/>
            <w:vMerge w:val="restart"/>
            <w:tcBorders>
              <w:top w:val="single" w:sz="6" w:space="0" w:color="000000"/>
              <w:start w:val="single" w:sz="6" w:space="0" w:color="000000"/>
              <w:bottom w:val="single" w:sz="6" w:space="0" w:color="000000"/>
              <w:end w:val="single" w:sz="6" w:space="0" w:color="000000"/>
            </w:tcBorders>
          </w:tcPr>
          <w:p>
            <w:pPr>
              <w:pStyle w:val="Normal"/>
              <w:rPr>
                <w:rFonts w:ascii="宋体" w:hAnsi="宋体" w:cs="宋体"/>
              </w:rPr>
            </w:pPr>
            <w:r>
              <w:rPr>
                <w:rFonts w:cs="宋体" w:ascii="宋体" w:hAnsi="宋体"/>
              </w:rPr>
              <w:t>1</w:t>
            </w:r>
            <w:r>
              <w:rPr>
                <w:rFonts w:ascii="宋体" w:hAnsi="宋体" w:cs="宋体"/>
                <w:lang w:eastAsia="zh-CN"/>
              </w:rPr>
              <w:t>级</w:t>
            </w:r>
            <w:r>
              <w:rPr>
                <w:rFonts w:cs="宋体" w:ascii="宋体" w:hAnsi="宋体"/>
              </w:rPr>
              <w:t>4</w:t>
            </w:r>
            <w:r>
              <w:rPr>
                <w:rFonts w:ascii="宋体" w:hAnsi="宋体" w:cs="宋体"/>
              </w:rPr>
              <w:t>分</w:t>
            </w:r>
          </w:p>
          <w:p>
            <w:pPr>
              <w:pStyle w:val="Normal"/>
              <w:rPr>
                <w:rFonts w:ascii="宋体" w:hAnsi="宋体" w:cs="宋体"/>
              </w:rPr>
            </w:pPr>
            <w:r>
              <w:rPr>
                <w:rFonts w:cs="宋体" w:ascii="宋体" w:hAnsi="宋体"/>
              </w:rPr>
              <w:t>2</w:t>
            </w:r>
            <w:r>
              <w:rPr>
                <w:rFonts w:ascii="宋体" w:hAnsi="宋体" w:cs="宋体"/>
                <w:lang w:eastAsia="zh-CN"/>
              </w:rPr>
              <w:t>级</w:t>
            </w:r>
            <w:r>
              <w:rPr>
                <w:rFonts w:cs="宋体" w:ascii="宋体" w:hAnsi="宋体"/>
              </w:rPr>
              <w:t>8</w:t>
            </w:r>
            <w:r>
              <w:rPr>
                <w:rFonts w:ascii="宋体" w:hAnsi="宋体" w:cs="宋体"/>
              </w:rPr>
              <w:t>分</w:t>
            </w:r>
          </w:p>
          <w:p>
            <w:pPr>
              <w:pStyle w:val="Normal"/>
              <w:rPr>
                <w:rFonts w:ascii="宋体" w:hAnsi="宋体" w:cs="宋体"/>
              </w:rPr>
            </w:pPr>
            <w:r>
              <w:rPr>
                <w:rFonts w:cs="宋体" w:ascii="宋体" w:hAnsi="宋体"/>
              </w:rPr>
              <w:t>3</w:t>
            </w:r>
            <w:r>
              <w:rPr>
                <w:rFonts w:ascii="宋体" w:hAnsi="宋体" w:cs="宋体"/>
                <w:lang w:eastAsia="zh-CN"/>
              </w:rPr>
              <w:t>级</w:t>
            </w:r>
            <w:r>
              <w:rPr>
                <w:rFonts w:cs="宋体" w:ascii="宋体" w:hAnsi="宋体"/>
              </w:rPr>
              <w:t>12</w:t>
            </w:r>
            <w:r>
              <w:rPr>
                <w:rFonts w:ascii="宋体" w:hAnsi="宋体" w:cs="宋体"/>
              </w:rPr>
              <w:t>分</w:t>
            </w:r>
          </w:p>
          <w:p>
            <w:pPr>
              <w:pStyle w:val="Normal"/>
              <w:rPr>
                <w:rFonts w:ascii="宋体" w:hAnsi="宋体" w:cs="宋体"/>
              </w:rPr>
            </w:pPr>
            <w:r>
              <w:rPr>
                <w:rFonts w:cs="宋体" w:ascii="宋体" w:hAnsi="宋体"/>
              </w:rPr>
              <w:t>4</w:t>
            </w:r>
            <w:r>
              <w:rPr>
                <w:rFonts w:ascii="宋体" w:hAnsi="宋体" w:cs="宋体"/>
                <w:lang w:eastAsia="zh-CN"/>
              </w:rPr>
              <w:t>级</w:t>
            </w:r>
            <w:r>
              <w:rPr>
                <w:rFonts w:cs="宋体" w:ascii="宋体" w:hAnsi="宋体"/>
              </w:rPr>
              <w:t>16</w:t>
            </w:r>
            <w:r>
              <w:rPr>
                <w:rFonts w:ascii="宋体" w:hAnsi="宋体" w:cs="宋体"/>
              </w:rPr>
              <w:t>分</w:t>
            </w:r>
          </w:p>
          <w:p>
            <w:pPr>
              <w:pStyle w:val="Normal"/>
              <w:rPr>
                <w:rFonts w:ascii="宋体" w:hAnsi="宋体" w:cs="宋体"/>
              </w:rPr>
            </w:pPr>
            <w:r>
              <w:rPr>
                <w:rFonts w:cs="宋体" w:ascii="宋体" w:hAnsi="宋体"/>
              </w:rPr>
              <w:t>5</w:t>
            </w:r>
            <w:r>
              <w:rPr>
                <w:rFonts w:ascii="宋体" w:hAnsi="宋体" w:cs="宋体"/>
                <w:lang w:eastAsia="zh-CN"/>
              </w:rPr>
              <w:t>级</w:t>
            </w:r>
            <w:r>
              <w:rPr>
                <w:rFonts w:cs="宋体" w:ascii="宋体" w:hAnsi="宋体"/>
              </w:rPr>
              <w:t>20</w:t>
            </w:r>
            <w:r>
              <w:rPr>
                <w:rFonts w:ascii="宋体" w:hAnsi="宋体" w:cs="宋体"/>
              </w:rPr>
              <w:t>分</w:t>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21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50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宋体" w:hAnsi="宋体" w:cs="宋体"/>
              </w:rPr>
            </w:pPr>
            <w:r>
              <w:rPr>
                <w:rFonts w:cs="宋体" w:ascii="宋体" w:hAnsi="宋体"/>
              </w:rPr>
            </w:r>
          </w:p>
        </w:tc>
        <w:tc>
          <w:tcPr>
            <w:tcW w:w="113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宋体" w:hAnsi="宋体" w:cs="宋体"/>
              </w:rPr>
            </w:pPr>
            <w:r>
              <w:rPr>
                <w:rFonts w:cs="宋体" w:ascii="宋体" w:hAnsi="宋体"/>
              </w:rPr>
            </w:r>
          </w:p>
        </w:tc>
        <w:tc>
          <w:tcPr>
            <w:tcW w:w="63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宋体" w:hAnsi="宋体" w:cs="宋体"/>
              </w:rPr>
            </w:pPr>
            <w:r>
              <w:rPr>
                <w:rFonts w:cs="宋体" w:ascii="宋体" w:hAnsi="宋体"/>
              </w:rPr>
            </w:r>
          </w:p>
        </w:tc>
        <w:tc>
          <w:tcPr>
            <w:tcW w:w="4270" w:type="dxa"/>
            <w:gridSpan w:val="5"/>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宋体" w:hAnsi="宋体" w:cs="宋体"/>
              </w:rPr>
            </w:pPr>
            <w:r>
              <w:rPr>
                <w:rFonts w:cs="宋体" w:ascii="宋体" w:hAnsi="宋体"/>
              </w:rPr>
            </w:r>
          </w:p>
        </w:tc>
        <w:tc>
          <w:tcPr>
            <w:tcW w:w="1130" w:type="dxa"/>
            <w:gridSpan w:val="4"/>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宋体" w:hAnsi="宋体" w:cs="宋体"/>
              </w:rPr>
            </w:pPr>
            <w:r>
              <w:rPr>
                <w:rFonts w:cs="宋体" w:ascii="宋体" w:hAnsi="宋体"/>
              </w:rPr>
            </w:r>
          </w:p>
        </w:tc>
        <w:tc>
          <w:tcPr>
            <w:tcW w:w="77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340" w:hRule="atLeast"/>
          <w:cantSplit w:val="true"/>
        </w:trPr>
        <w:tc>
          <w:tcPr>
            <w:tcW w:w="894"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宋体" w:hAnsi="宋体" w:cs="宋体"/>
              </w:rPr>
            </w:pPr>
            <w:r>
              <w:rPr>
                <w:rFonts w:cs="宋体" w:ascii="宋体" w:hAnsi="宋体"/>
              </w:rPr>
            </w:r>
          </w:p>
        </w:tc>
        <w:tc>
          <w:tcPr>
            <w:tcW w:w="1637"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宋体" w:hAnsi="宋体" w:cs="宋体"/>
              </w:rPr>
            </w:pPr>
            <w:r>
              <w:rPr>
                <w:rFonts w:ascii="宋体" w:hAnsi="宋体" w:cs="宋体"/>
              </w:rPr>
              <w:t>加权合计：</w:t>
            </w:r>
          </w:p>
        </w:tc>
        <w:tc>
          <w:tcPr>
            <w:tcW w:w="6813" w:type="dxa"/>
            <w:gridSpan w:val="11"/>
            <w:tcBorders>
              <w:top w:val="single" w:sz="6" w:space="0" w:color="000000"/>
              <w:start w:val="single" w:sz="6" w:space="0" w:color="000000"/>
              <w:bottom w:val="single" w:sz="6" w:space="0" w:color="000000"/>
              <w:end w:val="single" w:sz="12" w:space="0" w:color="000000"/>
            </w:tcBorders>
            <w:vAlign w:val="center"/>
          </w:tcPr>
          <w:p>
            <w:pPr>
              <w:pStyle w:val="Normal"/>
              <w:snapToGrid w:val="false"/>
              <w:rPr>
                <w:rFonts w:ascii="宋体" w:hAnsi="宋体" w:cs="宋体"/>
              </w:rPr>
            </w:pPr>
            <w:r>
              <w:rPr>
                <w:rFonts w:cs="宋体" w:ascii="宋体" w:hAnsi="宋体"/>
              </w:rPr>
            </w:r>
          </w:p>
        </w:tc>
      </w:tr>
      <w:tr>
        <w:trPr>
          <w:trHeight w:val="340" w:hRule="atLeast"/>
          <w:cantSplit w:val="true"/>
        </w:trPr>
        <w:tc>
          <w:tcPr>
            <w:tcW w:w="894"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 w:hAnsi="宋体" w:cs="宋体"/>
              </w:rPr>
            </w:pPr>
            <w:r>
              <w:rPr>
                <w:rFonts w:ascii="宋体" w:hAnsi="宋体" w:cs="宋体"/>
              </w:rPr>
              <w:t>总分</w:t>
            </w:r>
          </w:p>
          <w:p>
            <w:pPr>
              <w:pStyle w:val="Normal"/>
              <w:jc w:val="center"/>
              <w:rPr>
                <w:rFonts w:ascii="宋体" w:hAnsi="宋体" w:cs="宋体"/>
              </w:rPr>
            </w:pPr>
            <w:r>
              <w:rPr>
                <w:rFonts w:cs="宋体" w:ascii="宋体" w:hAnsi="宋体"/>
              </w:rPr>
              <w:t>(D)</w:t>
            </w:r>
          </w:p>
        </w:tc>
        <w:tc>
          <w:tcPr>
            <w:tcW w:w="8450" w:type="dxa"/>
            <w:gridSpan w:val="14"/>
            <w:tcBorders>
              <w:top w:val="single" w:sz="6" w:space="0" w:color="000000"/>
              <w:start w:val="single" w:sz="6" w:space="0" w:color="000000"/>
              <w:bottom w:val="single" w:sz="6" w:space="0" w:color="000000"/>
              <w:end w:val="single" w:sz="12" w:space="0" w:color="000000"/>
            </w:tcBorders>
            <w:vAlign w:val="center"/>
          </w:tcPr>
          <w:p>
            <w:pPr>
              <w:pStyle w:val="Normal"/>
              <w:rPr>
                <w:rFonts w:ascii="宋体" w:hAnsi="宋体" w:cs="宋体"/>
              </w:rPr>
            </w:pPr>
            <w:r>
              <w:rPr>
                <w:rFonts w:cs="宋体" w:ascii="宋体" w:hAnsi="宋体"/>
              </w:rPr>
              <w:t>D=C*70%+B*30%=</w:t>
            </w:r>
          </w:p>
        </w:tc>
      </w:tr>
      <w:tr>
        <w:trPr>
          <w:trHeight w:val="340" w:hRule="atLeast"/>
          <w:cantSplit w:val="true"/>
        </w:trPr>
        <w:tc>
          <w:tcPr>
            <w:tcW w:w="894"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宋体" w:hAnsi="宋体" w:cs="宋体"/>
              </w:rPr>
            </w:pPr>
            <w:r>
              <w:rPr>
                <w:rFonts w:ascii="宋体" w:hAnsi="宋体" w:cs="宋体"/>
              </w:rPr>
              <w:t>考核人</w:t>
            </w:r>
          </w:p>
        </w:tc>
        <w:tc>
          <w:tcPr>
            <w:tcW w:w="8450" w:type="dxa"/>
            <w:gridSpan w:val="14"/>
            <w:tcBorders>
              <w:top w:val="single" w:sz="6" w:space="0" w:color="000000"/>
              <w:start w:val="single" w:sz="6" w:space="0" w:color="000000"/>
              <w:bottom w:val="single" w:sz="12" w:space="0" w:color="000000"/>
              <w:end w:val="single" w:sz="12" w:space="0" w:color="000000"/>
            </w:tcBorders>
            <w:vAlign w:val="center"/>
          </w:tcPr>
          <w:p>
            <w:pPr>
              <w:pStyle w:val="Normal"/>
              <w:rPr>
                <w:rFonts w:ascii="宋体" w:hAnsi="宋体" w:cs="宋体"/>
              </w:rPr>
            </w:pPr>
            <w:r>
              <w:rPr>
                <w:rFonts w:cs="宋体" w:ascii="宋体" w:hAnsi="宋体"/>
              </w:rPr>
              <w:t xml:space="preserve">    </w:t>
            </w:r>
            <w:r>
              <w:rPr>
                <w:rFonts w:ascii="宋体" w:hAnsi="宋体" w:cs="宋体"/>
              </w:rPr>
              <w:t>签字：</w:t>
            </w:r>
          </w:p>
          <w:p>
            <w:pPr>
              <w:pStyle w:val="Normal"/>
              <w:rPr>
                <w:rFonts w:ascii="宋体" w:hAnsi="宋体" w:cs="宋体"/>
              </w:rPr>
            </w:pPr>
            <w:r>
              <w:rPr>
                <w:rFonts w:cs="宋体" w:ascii="宋体" w:hAnsi="宋体"/>
              </w:rPr>
            </w:r>
          </w:p>
          <w:p>
            <w:pPr>
              <w:pStyle w:val="Normal"/>
              <w:ind w:firstLine="6300"/>
              <w:rPr>
                <w:rFonts w:ascii="宋体" w:hAnsi="宋体" w:cs="宋体"/>
              </w:rPr>
            </w:pPr>
            <w:r>
              <w:rPr>
                <w:rFonts w:ascii="宋体" w:hAnsi="宋体" w:cs="宋体"/>
              </w:rPr>
              <w:t>年    月    日</w:t>
            </w:r>
          </w:p>
        </w:tc>
      </w:tr>
    </w:tbl>
    <w:p>
      <w:pPr>
        <w:pStyle w:val="Normal"/>
        <w:rPr/>
      </w:pPr>
      <w:r>
        <w:rPr/>
      </w:r>
    </w:p>
    <w:p>
      <w:pPr>
        <w:pStyle w:val="Normal"/>
        <w:rPr>
          <w:rFonts w:ascii="楷体_GB2312;宋体" w:hAnsi="楷体_GB2312;宋体" w:eastAsia="楷体_GB2312;宋体"/>
          <w:b/>
          <w:b/>
          <w:sz w:val="32"/>
          <w:szCs w:val="32"/>
        </w:rPr>
      </w:pPr>
      <w:r>
        <w:rPr>
          <w:rFonts w:eastAsia="楷体_GB2312;宋体" w:ascii="楷体_GB2312;宋体" w:hAnsi="楷体_GB2312;宋体"/>
          <w:b/>
          <w:sz w:val="32"/>
          <w:szCs w:val="32"/>
        </w:rPr>
      </w:r>
      <w:r>
        <w:br w:type="page"/>
      </w:r>
    </w:p>
    <w:p>
      <w:pPr>
        <w:pStyle w:val="Normal"/>
        <w:numPr>
          <w:ilvl w:val="0"/>
          <w:numId w:val="0"/>
        </w:numPr>
        <w:jc w:val="center"/>
        <w:outlineLvl w:val="0"/>
        <w:rPr>
          <w:rFonts w:ascii="宋体" w:hAnsi="宋体" w:eastAsia="楷体_GB2312;宋体" w:cs="宋体"/>
          <w:b/>
          <w:b/>
          <w:sz w:val="24"/>
          <w:szCs w:val="32"/>
        </w:rPr>
      </w:pPr>
      <w:r>
        <w:rPr>
          <w:rFonts w:eastAsia="楷体_GB2312;宋体" w:cs="宋体" w:ascii="宋体" w:hAnsi="宋体"/>
          <w:b/>
          <w:sz w:val="24"/>
          <w:szCs w:val="32"/>
        </w:rPr>
      </w:r>
    </w:p>
    <w:p>
      <w:pPr>
        <w:pStyle w:val="Normal"/>
        <w:numPr>
          <w:ilvl w:val="0"/>
          <w:numId w:val="0"/>
        </w:numPr>
        <w:jc w:val="center"/>
        <w:outlineLvl w:val="0"/>
        <w:rPr>
          <w:rFonts w:ascii="宋体" w:hAnsi="宋体" w:cs="宋体"/>
        </w:rPr>
      </w:pPr>
      <w:r>
        <w:rPr>
          <w:rFonts w:ascii="宋体" w:hAnsi="宋体" w:cs="宋体"/>
          <w:b/>
          <w:sz w:val="24"/>
        </w:rPr>
        <w:t>财务总监考核评分表（月度）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70%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财务资金筹划</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资金使用成本低于银行利息，主要业务资金不断流</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资金不断流，但资金使用成本与银行利息基本持平</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资金断流或使用成本高于银行利息</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融资管理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熟悉金融机构、政策、业务、市场、调控监管等，为企业增效创收</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实现增效减耗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无变化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有负面影响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经营绩效分析及财务分析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3</w:t>
            </w:r>
            <w:r>
              <w:rPr>
                <w:rFonts w:ascii="黑体" w:hAnsi="黑体" w:cs="黑体" w:eastAsia="黑体"/>
                <w:szCs w:val="21"/>
              </w:rPr>
              <w:t>日前组织经营专题分析会议，提供建设性指导意见，规避经营风险</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按时提供分析，但采信度一般   </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延时提供分析且不予采信</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财务预算管理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月度预算费用与实际费用误差率在</w:t>
            </w:r>
            <w:r>
              <w:rPr>
                <w:rFonts w:eastAsia="黑体" w:cs="黑体" w:ascii="黑体" w:hAnsi="黑体"/>
                <w:szCs w:val="21"/>
              </w:rPr>
              <w:t>5%</w:t>
            </w:r>
            <w:r>
              <w:rPr>
                <w:rFonts w:ascii="黑体" w:hAnsi="黑体" w:cs="黑体" w:eastAsia="黑体"/>
                <w:szCs w:val="21"/>
              </w:rPr>
              <w:t>以内</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制定预算，误差率在</w:t>
            </w:r>
            <w:r>
              <w:rPr>
                <w:rFonts w:eastAsia="黑体" w:cs="黑体" w:ascii="黑体" w:hAnsi="黑体"/>
                <w:szCs w:val="21"/>
              </w:rPr>
              <w:t>5%-10%</w:t>
            </w:r>
            <w:r>
              <w:rPr>
                <w:rFonts w:ascii="黑体" w:hAnsi="黑体" w:cs="黑体" w:eastAsia="黑体"/>
                <w:szCs w:val="21"/>
              </w:rPr>
              <w:t>为</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误差率超</w:t>
            </w:r>
            <w:r>
              <w:rPr>
                <w:rFonts w:eastAsia="黑体" w:cs="黑体" w:ascii="黑体" w:hAnsi="黑体"/>
                <w:szCs w:val="21"/>
              </w:rPr>
              <w:t>10%</w:t>
            </w:r>
            <w:r>
              <w:rPr>
                <w:rFonts w:ascii="黑体" w:hAnsi="黑体" w:cs="黑体" w:eastAsia="黑体"/>
                <w:szCs w:val="21"/>
              </w:rPr>
              <w:t>或无预算</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财务核算</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日前完成财务核算，无差错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财务体系流程建设及培训</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财务体系流程建立、优化完善</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财务体系流程完善</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w:t>
            </w:r>
            <w:r>
              <w:rPr>
                <w:rFonts w:eastAsia="黑体" w:cs="黑体" w:ascii="黑体" w:hAnsi="黑体"/>
                <w:szCs w:val="21"/>
              </w:rPr>
              <w:t>80%-90%</w:t>
            </w:r>
            <w:r>
              <w:rPr>
                <w:rFonts w:ascii="黑体" w:hAnsi="黑体" w:cs="黑体" w:eastAsia="黑体"/>
                <w:szCs w:val="21"/>
              </w:rPr>
              <w:t>为</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财务体系完善度低于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财务信息管理</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资料齐全，无外泄</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资料丢失或外泄</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12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财务专业人才培养</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培养储备经理</w:t>
            </w:r>
            <w:r>
              <w:rPr>
                <w:rFonts w:eastAsia="黑体" w:cs="黑体" w:ascii="黑体" w:hAnsi="黑体"/>
                <w:szCs w:val="21"/>
              </w:rPr>
              <w:t>1</w:t>
            </w:r>
            <w:r>
              <w:rPr>
                <w:rFonts w:ascii="黑体" w:hAnsi="黑体" w:cs="黑体" w:eastAsia="黑体"/>
                <w:szCs w:val="21"/>
              </w:rPr>
              <w:t>名，主管</w:t>
            </w:r>
            <w:r>
              <w:rPr>
                <w:rFonts w:eastAsia="黑体" w:cs="黑体" w:ascii="黑体" w:hAnsi="黑体"/>
                <w:szCs w:val="21"/>
              </w:rPr>
              <w:t>2</w:t>
            </w:r>
            <w:r>
              <w:rPr>
                <w:rFonts w:ascii="黑体" w:hAnsi="黑体" w:cs="黑体" w:eastAsia="黑体"/>
                <w:szCs w:val="21"/>
              </w:rPr>
              <w:t>名</w:t>
            </w:r>
          </w:p>
          <w:p>
            <w:pPr>
              <w:pStyle w:val="Normal"/>
              <w:jc w:val="center"/>
              <w:rPr>
                <w:rFonts w:ascii="黑体" w:hAnsi="黑体" w:eastAsia="黑体" w:cs="黑体"/>
                <w:szCs w:val="21"/>
              </w:rPr>
            </w:pPr>
            <w:r>
              <w:rPr>
                <w:rFonts w:eastAsia="黑体" w:cs="黑体" w:ascii="黑体" w:hAnsi="黑体"/>
                <w:szCs w:val="21"/>
              </w:rPr>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缺少一名扣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781"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4"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781"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4"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人际关系</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781"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级：接受邀请，维持正常工作关系</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级：建立融洽关系讨论非工作事例</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级：社会交往普遍发生</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级：成为密友并能正当拓展业务</w:t>
            </w:r>
          </w:p>
          <w:p>
            <w:pPr>
              <w:pStyle w:val="Normal"/>
              <w:widowControl/>
              <w:jc w:val="start"/>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级：亲和力强，感染不同层次社会伙伴成为战略合作方</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技术总监考核评分表（月度）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181"/>
        <w:gridCol w:w="521"/>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技术发展</w:t>
            </w:r>
            <w:r>
              <w:rPr>
                <w:rFonts w:eastAsia="黑体" w:cs="黑体" w:ascii="黑体" w:hAnsi="黑体"/>
                <w:szCs w:val="21"/>
              </w:rPr>
              <w:t>70%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技术革新数量</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center"/>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每月至少一项新技术、新工艺推出</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新技术、新工艺顺利推出，产生效果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无推出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技术收益率</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因新技术、新工艺作用，收益率增加</w:t>
            </w:r>
            <w:r>
              <w:rPr>
                <w:rFonts w:eastAsia="黑体" w:cs="黑体" w:ascii="黑体" w:hAnsi="黑体"/>
                <w:szCs w:val="21"/>
              </w:rPr>
              <w:t>10%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增加</w:t>
            </w:r>
            <w:r>
              <w:rPr>
                <w:rFonts w:eastAsia="黑体" w:cs="黑体" w:ascii="黑体" w:hAnsi="黑体"/>
                <w:szCs w:val="21"/>
              </w:rPr>
              <w:t>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没有变化甚至降低</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技术申报</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每季度进行一次新技术申报</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有新技术申报得</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无申报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行业调研报告</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号前按要求提交行业技术信息调研报告，采信率达到</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按时提交，采信率在</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延时提交或不予采信得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技术研发费用控制</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技术研发费用控制在预算以内，并节约</w:t>
            </w:r>
            <w:r>
              <w:rPr>
                <w:rFonts w:eastAsia="黑体" w:cs="黑体" w:ascii="黑体" w:hAnsi="黑体"/>
                <w:szCs w:val="21"/>
              </w:rPr>
              <w:t>10%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控制在预算内，但无节约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超预算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技术管理</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技术流程体系的建立与完善</w:t>
            </w:r>
          </w:p>
        </w:tc>
        <w:tc>
          <w:tcPr>
            <w:tcW w:w="702"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建立技术管理管理制度、方法、流程</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58"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p>
            <w:pPr>
              <w:pStyle w:val="Normal"/>
              <w:jc w:val="center"/>
              <w:rPr>
                <w:rFonts w:ascii="黑体" w:hAnsi="黑体" w:eastAsia="黑体" w:cs="黑体"/>
                <w:szCs w:val="21"/>
              </w:rPr>
            </w:pPr>
            <w:r>
              <w:rPr>
                <w:rFonts w:eastAsia="黑体" w:cs="黑体" w:ascii="黑体" w:hAnsi="黑体"/>
                <w:szCs w:val="21"/>
              </w:rPr>
              <w:t>10%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技术人员培养</w:t>
            </w:r>
          </w:p>
        </w:tc>
        <w:tc>
          <w:tcPr>
            <w:tcW w:w="702"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培养至少</w:t>
            </w:r>
            <w:r>
              <w:rPr>
                <w:rFonts w:eastAsia="黑体" w:cs="黑体" w:ascii="黑体" w:hAnsi="黑体"/>
                <w:szCs w:val="21"/>
              </w:rPr>
              <w:t>3</w:t>
            </w:r>
            <w:r>
              <w:rPr>
                <w:rFonts w:ascii="黑体" w:hAnsi="黑体" w:cs="黑体" w:eastAsia="黑体"/>
                <w:szCs w:val="21"/>
              </w:rPr>
              <w:t>名技术专干</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缺少一人扣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主动性</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创新</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级：对周围事物的关心和兴趣</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级：勤用脑</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级：创造力</w:t>
            </w:r>
            <w:r>
              <w:rPr>
                <w:rFonts w:eastAsia="黑体" w:cs="黑体" w:ascii="黑体" w:hAnsi="黑体"/>
                <w:color w:val="000000"/>
                <w:szCs w:val="21"/>
              </w:rPr>
              <w:t>=</w:t>
            </w:r>
            <w:r>
              <w:rPr>
                <w:rFonts w:ascii="黑体" w:hAnsi="黑体" w:cs="黑体" w:eastAsia="黑体"/>
                <w:color w:val="000000"/>
                <w:szCs w:val="21"/>
              </w:rPr>
              <w:t>综合能力</w:t>
            </w:r>
            <w:r>
              <w:rPr>
                <w:rFonts w:eastAsia="黑体" w:cs="黑体" w:ascii="黑体" w:hAnsi="黑体"/>
                <w:color w:val="000000"/>
                <w:szCs w:val="21"/>
              </w:rPr>
              <w:t>+</w:t>
            </w:r>
            <w:r>
              <w:rPr>
                <w:rFonts w:ascii="黑体" w:hAnsi="黑体" w:cs="黑体" w:eastAsia="黑体"/>
                <w:color w:val="000000"/>
                <w:szCs w:val="21"/>
              </w:rPr>
              <w:t>想象力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级：要唤醒心中的创造潜力</w:t>
            </w:r>
          </w:p>
          <w:p>
            <w:pPr>
              <w:pStyle w:val="Normal"/>
              <w:rPr>
                <w:rFonts w:ascii="黑体" w:hAnsi="黑体" w:eastAsia="黑体"/>
                <w:szCs w:val="21"/>
              </w:rPr>
            </w:pPr>
            <w:r>
              <w:rPr>
                <w:rFonts w:eastAsia="黑体" w:cs="黑体" w:ascii="黑体" w:hAnsi="黑体"/>
                <w:color w:val="000000"/>
                <w:szCs w:val="21"/>
              </w:rPr>
              <w:t>5</w:t>
            </w:r>
            <w:r>
              <w:rPr>
                <w:rFonts w:ascii="黑体" w:hAnsi="黑体" w:cs="黑体" w:eastAsia="黑体"/>
                <w:color w:val="000000"/>
                <w:szCs w:val="21"/>
              </w:rPr>
              <w:t>级：有小设想，奇想妙想，创新方案设计，小发明，科学小论文</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学习力</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级：有学习意识但无行动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 xml:space="preserve">级：主动学习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级：自费学习并得到技能</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级：学习后用于实践</w:t>
            </w:r>
          </w:p>
          <w:p>
            <w:pPr>
              <w:pStyle w:val="Normal"/>
              <w:rPr>
                <w:rFonts w:ascii="黑体" w:hAnsi="黑体" w:eastAsia="黑体"/>
                <w:szCs w:val="21"/>
              </w:rPr>
            </w:pPr>
            <w:r>
              <w:rPr>
                <w:rFonts w:eastAsia="黑体" w:cs="黑体" w:ascii="黑体" w:hAnsi="黑体"/>
                <w:color w:val="000000"/>
                <w:szCs w:val="21"/>
              </w:rPr>
              <w:t>5</w:t>
            </w:r>
            <w:r>
              <w:rPr>
                <w:rFonts w:ascii="黑体" w:hAnsi="黑体" w:cs="黑体" w:eastAsia="黑体"/>
                <w:color w:val="000000"/>
                <w:szCs w:val="21"/>
              </w:rPr>
              <w:t>级：学习后实践并得到良好效果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szCs w:val="21"/>
              </w:rPr>
            </w:pPr>
            <w:r>
              <w:rPr>
                <w:rFonts w:ascii="黑体" w:hAnsi="黑体" w:cs="黑体" w:eastAsia="黑体"/>
                <w:color w:val="000000"/>
                <w:szCs w:val="21"/>
              </w:rPr>
              <w:t>成长认知</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级：工作失误，承认结果，不报怨，不报复批评者与处罚者</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级：绩效分值低于一般时，找出工作症结并提出新建议</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级：单位周期内工作链点不出现失误</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级：角色认知，接受现实，工作积极</w:t>
            </w:r>
          </w:p>
          <w:p>
            <w:pPr>
              <w:pStyle w:val="Normal"/>
              <w:widowControl/>
              <w:jc w:val="start"/>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级：进步有递进性，具备明显工作价值的提升</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tcPr>
          <w:p>
            <w:pPr>
              <w:pStyle w:val="Normal"/>
              <w:snapToGrid w:val="false"/>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客服总监考核评分表（月度）</w:t>
      </w:r>
    </w:p>
    <w:p>
      <w:pPr>
        <w:pStyle w:val="Normal"/>
        <w:jc w:val="end"/>
        <w:rPr>
          <w:rFonts w:ascii="宋体" w:hAnsi="宋体" w:cs="宋体"/>
          <w:b/>
          <w:b/>
        </w:rPr>
      </w:pPr>
      <w:r>
        <w:rPr>
          <w:rFonts w:ascii="宋体" w:hAnsi="宋体" w:cs="宋体"/>
          <w:b/>
        </w:rPr>
        <w:t>考核期间：        年   月</w:t>
      </w:r>
    </w:p>
    <w:tbl>
      <w:tblPr>
        <w:tblW w:w="9760" w:type="dxa"/>
        <w:jc w:val="start"/>
        <w:tblInd w:w="0" w:type="dxa"/>
        <w:tblLayout w:type="fixed"/>
        <w:tblCellMar>
          <w:top w:w="0" w:type="dxa"/>
          <w:start w:w="108" w:type="dxa"/>
          <w:bottom w:w="0" w:type="dxa"/>
          <w:end w:w="108" w:type="dxa"/>
        </w:tblCellMar>
      </w:tblPr>
      <w:tblGrid>
        <w:gridCol w:w="601"/>
        <w:gridCol w:w="227"/>
        <w:gridCol w:w="301"/>
        <w:gridCol w:w="742"/>
        <w:gridCol w:w="757"/>
        <w:gridCol w:w="359"/>
        <w:gridCol w:w="361"/>
        <w:gridCol w:w="341"/>
        <w:gridCol w:w="838"/>
        <w:gridCol w:w="1083"/>
        <w:gridCol w:w="1754"/>
        <w:gridCol w:w="1013"/>
        <w:gridCol w:w="78"/>
        <w:gridCol w:w="381"/>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5233"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921"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767"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921"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767"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客户管理</w:t>
            </w:r>
          </w:p>
          <w:p>
            <w:pPr>
              <w:pStyle w:val="Normal"/>
              <w:jc w:val="center"/>
              <w:rPr>
                <w:rFonts w:ascii="黑体" w:hAnsi="黑体" w:eastAsia="黑体" w:cs="黑体"/>
                <w:szCs w:val="21"/>
              </w:rPr>
            </w:pPr>
            <w:r>
              <w:rPr>
                <w:rFonts w:eastAsia="黑体" w:cs="黑体" w:ascii="黑体" w:hAnsi="黑体"/>
                <w:szCs w:val="21"/>
              </w:rPr>
              <w:t>60%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客服流程体系的建立与完善</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w:t>
            </w:r>
            <w:r>
              <w:rPr>
                <w:rFonts w:eastAsia="黑体" w:cs="黑体" w:ascii="黑体" w:hAnsi="黑体"/>
                <w:szCs w:val="21"/>
              </w:rPr>
              <w:t>CRM</w:t>
            </w:r>
            <w:r>
              <w:rPr>
                <w:rFonts w:ascii="黑体" w:hAnsi="黑体" w:cs="黑体" w:eastAsia="黑体"/>
                <w:szCs w:val="21"/>
              </w:rPr>
              <w:t>信息系统、培养客服管理制度、方法、流程</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客户信息掌控度</w:t>
            </w:r>
          </w:p>
          <w:p>
            <w:pPr>
              <w:pStyle w:val="Normal"/>
              <w:rPr>
                <w:rFonts w:ascii="黑体" w:hAnsi="黑体" w:eastAsia="黑体" w:cs="黑体"/>
                <w:szCs w:val="21"/>
              </w:rPr>
            </w:pPr>
            <w:r>
              <w:rPr>
                <w:rFonts w:eastAsia="黑体" w:cs="黑体" w:ascii="黑体" w:hAnsi="黑体"/>
                <w:szCs w:val="21"/>
              </w:rPr>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全面掌握客户信息，实现功能最大化，信息利用率达到</w:t>
            </w:r>
            <w:r>
              <w:rPr>
                <w:rFonts w:eastAsia="黑体" w:cs="黑体" w:ascii="黑体" w:hAnsi="黑体"/>
                <w:szCs w:val="21"/>
              </w:rPr>
              <w:t>90%</w:t>
            </w:r>
            <w:r>
              <w:rPr>
                <w:rFonts w:ascii="黑体" w:hAnsi="黑体" w:cs="黑体" w:eastAsia="黑体"/>
                <w:szCs w:val="21"/>
              </w:rPr>
              <w:t>以上</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信息利用率达到</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ind w:firstLine="525"/>
              <w:rPr>
                <w:rFonts w:ascii="黑体" w:hAnsi="黑体" w:eastAsia="黑体" w:cs="黑体"/>
                <w:szCs w:val="21"/>
              </w:rPr>
            </w:pPr>
            <w:r>
              <w:rPr>
                <w:rFonts w:eastAsia="黑体" w:cs="黑体" w:ascii="黑体" w:hAnsi="黑体"/>
                <w:szCs w:val="21"/>
              </w:rPr>
              <w:t>80%</w:t>
            </w:r>
            <w:r>
              <w:rPr>
                <w:rFonts w:ascii="黑体" w:hAnsi="黑体" w:cs="黑体" w:eastAsia="黑体"/>
                <w:szCs w:val="21"/>
              </w:rPr>
              <w:t xml:space="preserve">以下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4"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客户转介绍数</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老客户转介绍新客户的数量</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有新客户产生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无新客户产生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4"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大客户回访</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center"/>
              <w:rPr>
                <w:rFonts w:ascii="黑体" w:hAnsi="黑体" w:eastAsia="黑体" w:cs="黑体"/>
                <w:bCs w:val="false"/>
                <w:szCs w:val="21"/>
              </w:rPr>
            </w:pPr>
            <w:r>
              <w:rPr>
                <w:rFonts w:eastAsia="黑体" w:cs="黑体" w:ascii="黑体" w:hAnsi="黑体"/>
                <w:bCs w:val="false"/>
                <w:szCs w:val="21"/>
              </w:rPr>
              <w:t>10%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所有大客户每三月回访一次</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完成所有回访安排</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完成</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完成低于</w:t>
            </w:r>
            <w:r>
              <w:rPr>
                <w:rFonts w:eastAsia="黑体" w:cs="黑体" w:ascii="黑体" w:hAnsi="黑体"/>
                <w:szCs w:val="21"/>
              </w:rPr>
              <w:t>90%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客服服务</w:t>
            </w:r>
          </w:p>
          <w:p>
            <w:pPr>
              <w:pStyle w:val="Normal"/>
              <w:rPr>
                <w:rFonts w:ascii="黑体" w:hAnsi="黑体" w:eastAsia="黑体" w:cs="黑体"/>
                <w:szCs w:val="21"/>
              </w:rPr>
            </w:pPr>
            <w:r>
              <w:rPr>
                <w:rFonts w:eastAsia="黑体" w:cs="黑体" w:ascii="黑体" w:hAnsi="黑体"/>
                <w:szCs w:val="21"/>
              </w:rPr>
              <w:t>40%</w:t>
            </w:r>
          </w:p>
        </w:tc>
        <w:tc>
          <w:tcPr>
            <w:tcW w:w="1116" w:type="dxa"/>
            <w:gridSpan w:val="2"/>
            <w:tcBorders>
              <w:top w:val="single" w:sz="6" w:space="0" w:color="000000"/>
              <w:start w:val="single" w:sz="6" w:space="0" w:color="000000"/>
              <w:bottom w:val="single" w:sz="4"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客户满意度</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分以上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分以上</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w:t>
            </w:r>
            <w:r>
              <w:rPr>
                <w:rFonts w:ascii="黑体" w:hAnsi="黑体" w:cs="黑体" w:eastAsia="黑体"/>
                <w:szCs w:val="21"/>
              </w:rPr>
              <w:t>分</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4"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客户投诉处理</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客户投诉在</w:t>
            </w:r>
            <w:r>
              <w:rPr>
                <w:rFonts w:eastAsia="黑体" w:cs="黑体" w:ascii="黑体" w:hAnsi="黑体"/>
                <w:szCs w:val="21"/>
              </w:rPr>
              <w:t>2</w:t>
            </w:r>
            <w:r>
              <w:rPr>
                <w:rFonts w:ascii="黑体" w:hAnsi="黑体" w:cs="黑体" w:eastAsia="黑体"/>
                <w:szCs w:val="21"/>
              </w:rPr>
              <w:t>小时内响应，</w:t>
            </w:r>
            <w:r>
              <w:rPr>
                <w:rFonts w:eastAsia="黑体" w:cs="黑体" w:ascii="黑体" w:hAnsi="黑体"/>
                <w:szCs w:val="21"/>
              </w:rPr>
              <w:t>3</w:t>
            </w:r>
            <w:r>
              <w:rPr>
                <w:rFonts w:ascii="黑体" w:hAnsi="黑体" w:cs="黑体" w:eastAsia="黑体"/>
                <w:szCs w:val="21"/>
              </w:rPr>
              <w:t>个工作日解决，解决率</w:t>
            </w:r>
            <w:r>
              <w:rPr>
                <w:rFonts w:eastAsia="黑体" w:cs="黑体" w:ascii="黑体" w:hAnsi="黑体"/>
                <w:szCs w:val="21"/>
              </w:rPr>
              <w:t>100%</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完成所有要求</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任一项没有满足扣</w:t>
            </w:r>
            <w:r>
              <w:rPr>
                <w:rFonts w:eastAsia="黑体" w:cs="黑体" w:ascii="黑体" w:hAnsi="黑体"/>
                <w:szCs w:val="21"/>
              </w:rPr>
              <w:t>5</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孤儿客户流失数</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92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不产生孤儿客户流失</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不流失</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流失</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773"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指挥</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级：常规指标并清晰</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级：详细指导并告知操作方法</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级：坚决洽当处理不合理要求并对后果负责，控制场面</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级：团队工作井然，成员离场行为较好</w:t>
            </w:r>
          </w:p>
          <w:p>
            <w:pPr>
              <w:pStyle w:val="Normal"/>
              <w:widowControl/>
              <w:jc w:val="start"/>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级：指挥具有艺术性，成员不易违规</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职业化</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级：岗位理论基础掌握，处理复杂工作</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级：危机及冲突中，通过独特经验化解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级：没有监督情况下主动节约并不占有不属于自己的利益</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级：本职工作获取享受快乐</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级：认知岗位的价值性与高尚性，内心愿为之付出</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以客户为中心</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级：提供必要服务</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级：迅速而不可分辩解决客户需求</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级：找出客户深层次（真实）需求并提供相应产品服力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级：成为客户信赖对象，并维护组织利益下影响客户决策</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级：维护客户利益，而促进长远组织利益</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服务细致</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完成公司</w:t>
            </w:r>
            <w:r>
              <w:rPr>
                <w:rFonts w:eastAsia="黑体" w:cs="黑体" w:ascii="黑体" w:hAnsi="黑体"/>
                <w:bCs/>
                <w:color w:val="000000"/>
                <w:szCs w:val="21"/>
              </w:rPr>
              <w:t>KPI</w:t>
            </w:r>
            <w:r>
              <w:rPr>
                <w:rFonts w:ascii="黑体" w:hAnsi="黑体" w:cs="黑体" w:eastAsia="黑体"/>
                <w:bCs/>
                <w:color w:val="000000"/>
                <w:szCs w:val="21"/>
              </w:rPr>
              <w:t>服务流程</w:t>
            </w:r>
          </w:p>
          <w:p>
            <w:pPr>
              <w:pStyle w:val="Normal"/>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主动性问询服务性问题</w:t>
            </w:r>
          </w:p>
          <w:p>
            <w:pPr>
              <w:pStyle w:val="Normal"/>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无客户性投诉的流程执行</w:t>
            </w:r>
          </w:p>
          <w:p>
            <w:pPr>
              <w:pStyle w:val="Normal"/>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适用性全面服务与实诚性服务</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能给客户带来意想不到的服务知识与感受</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6"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09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027"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7132" w:type="dxa"/>
            <w:gridSpan w:val="13"/>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9159"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9159"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生产总监考核评分表（月度）</w:t>
      </w:r>
    </w:p>
    <w:p>
      <w:pPr>
        <w:pStyle w:val="Normal"/>
        <w:jc w:val="end"/>
        <w:rPr>
          <w:rFonts w:ascii="宋体" w:hAnsi="宋体" w:cs="宋体"/>
          <w:b/>
          <w:b/>
        </w:rPr>
      </w:pPr>
      <w:r>
        <w:rPr>
          <w:rFonts w:ascii="宋体" w:hAnsi="宋体" w:cs="宋体"/>
          <w:b/>
        </w:rPr>
        <w:t>考核期间：        年   月</w:t>
      </w:r>
    </w:p>
    <w:tbl>
      <w:tblPr>
        <w:tblW w:w="9524" w:type="dxa"/>
        <w:jc w:val="start"/>
        <w:tblInd w:w="0" w:type="dxa"/>
        <w:tblLayout w:type="fixed"/>
        <w:tblCellMar>
          <w:top w:w="0" w:type="dxa"/>
          <w:start w:w="108" w:type="dxa"/>
          <w:bottom w:w="0" w:type="dxa"/>
          <w:end w:w="108" w:type="dxa"/>
        </w:tblCellMar>
      </w:tblPr>
      <w:tblGrid>
        <w:gridCol w:w="601"/>
        <w:gridCol w:w="227"/>
        <w:gridCol w:w="301"/>
        <w:gridCol w:w="742"/>
        <w:gridCol w:w="397"/>
        <w:gridCol w:w="180"/>
        <w:gridCol w:w="539"/>
        <w:gridCol w:w="702"/>
        <w:gridCol w:w="838"/>
        <w:gridCol w:w="441"/>
        <w:gridCol w:w="2036"/>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5"/>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997"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4"/>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279"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3173"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693"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4"/>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279"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3173"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60%</w:t>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生产目标实现率</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生产目标实现率达到</w:t>
            </w:r>
            <w:r>
              <w:rPr>
                <w:rFonts w:eastAsia="黑体" w:cs="黑体" w:ascii="黑体" w:hAnsi="黑体"/>
                <w:szCs w:val="21"/>
              </w:rPr>
              <w:t>95%</w:t>
            </w:r>
            <w:r>
              <w:rPr>
                <w:rFonts w:ascii="黑体" w:hAnsi="黑体" w:cs="黑体" w:eastAsia="黑体"/>
                <w:szCs w:val="21"/>
              </w:rPr>
              <w:t>以上</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生产目标实现</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生产目标实现率低于</w:t>
            </w:r>
            <w:r>
              <w:rPr>
                <w:rFonts w:eastAsia="黑体" w:cs="黑体" w:ascii="黑体" w:hAnsi="黑体"/>
                <w:szCs w:val="21"/>
              </w:rPr>
              <w:t>85%  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生产总成本控制</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生产总成本较上期降低</w:t>
            </w:r>
            <w:r>
              <w:rPr>
                <w:rFonts w:eastAsia="黑体" w:cs="宋体" w:ascii="黑体" w:hAnsi="黑体"/>
                <w:szCs w:val="21"/>
              </w:rPr>
              <w:t>1‰</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宋体"/>
                <w:szCs w:val="21"/>
              </w:rPr>
            </w:pPr>
            <w:r>
              <w:rPr>
                <w:rFonts w:ascii="黑体" w:hAnsi="黑体" w:cs="宋体" w:eastAsia="黑体"/>
                <w:szCs w:val="21"/>
              </w:rPr>
              <w:t xml:space="preserve">按要求完成  </w:t>
            </w:r>
            <w:r>
              <w:rPr>
                <w:rFonts w:eastAsia="黑体" w:cs="宋体" w:ascii="黑体" w:hAnsi="黑体"/>
                <w:szCs w:val="21"/>
              </w:rPr>
              <w:t>10</w:t>
            </w:r>
            <w:r>
              <w:rPr>
                <w:rFonts w:ascii="黑体" w:hAnsi="黑体" w:cs="宋体" w:eastAsia="黑体"/>
                <w:szCs w:val="21"/>
              </w:rPr>
              <w:t>分</w:t>
            </w:r>
          </w:p>
          <w:p>
            <w:pPr>
              <w:pStyle w:val="Normal"/>
              <w:jc w:val="center"/>
              <w:rPr>
                <w:rFonts w:ascii="黑体" w:hAnsi="黑体" w:eastAsia="黑体" w:cs="宋体"/>
                <w:szCs w:val="21"/>
              </w:rPr>
            </w:pPr>
            <w:r>
              <w:rPr>
                <w:rFonts w:ascii="黑体" w:hAnsi="黑体" w:cs="宋体" w:eastAsia="黑体"/>
                <w:szCs w:val="21"/>
              </w:rPr>
              <w:t xml:space="preserve">与上期持平  </w:t>
            </w:r>
            <w:r>
              <w:rPr>
                <w:rFonts w:eastAsia="黑体" w:cs="宋体" w:ascii="黑体" w:hAnsi="黑体"/>
                <w:szCs w:val="21"/>
              </w:rPr>
              <w:t>5</w:t>
            </w:r>
            <w:r>
              <w:rPr>
                <w:rFonts w:ascii="黑体" w:hAnsi="黑体" w:cs="宋体" w:eastAsia="黑体"/>
                <w:szCs w:val="21"/>
              </w:rPr>
              <w:t>分</w:t>
            </w:r>
          </w:p>
          <w:p>
            <w:pPr>
              <w:pStyle w:val="Normal"/>
              <w:jc w:val="center"/>
              <w:rPr>
                <w:rFonts w:ascii="黑体" w:hAnsi="黑体" w:eastAsia="黑体" w:cs="宋体"/>
                <w:szCs w:val="21"/>
              </w:rPr>
            </w:pPr>
            <w:r>
              <w:rPr>
                <w:rFonts w:ascii="黑体" w:hAnsi="黑体" w:cs="宋体" w:eastAsia="黑体"/>
                <w:szCs w:val="21"/>
              </w:rPr>
              <w:t xml:space="preserve">生产总成本超出预算  </w:t>
            </w:r>
            <w:r>
              <w:rPr>
                <w:rFonts w:eastAsia="黑体" w:cs="宋体" w:ascii="黑体" w:hAnsi="黑体"/>
                <w:szCs w:val="21"/>
              </w:rPr>
              <w:t>0</w:t>
            </w:r>
            <w:r>
              <w:rPr>
                <w:rFonts w:ascii="黑体" w:hAnsi="黑体" w:cs="宋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生产质量</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产品合格率为</w:t>
            </w:r>
            <w:r>
              <w:rPr>
                <w:rFonts w:eastAsia="黑体" w:cs="黑体" w:ascii="黑体" w:hAnsi="黑体"/>
                <w:szCs w:val="21"/>
              </w:rPr>
              <w:t>98%</w:t>
            </w:r>
            <w:r>
              <w:rPr>
                <w:rFonts w:ascii="黑体" w:hAnsi="黑体" w:cs="黑体" w:eastAsia="黑体"/>
                <w:szCs w:val="21"/>
              </w:rPr>
              <w:t>以上，无质量事故发生</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合格率为</w:t>
            </w:r>
            <w:r>
              <w:rPr>
                <w:rFonts w:eastAsia="黑体" w:cs="黑体" w:ascii="黑体" w:hAnsi="黑体"/>
                <w:szCs w:val="21"/>
              </w:rPr>
              <w:t>95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合格率低于</w:t>
            </w:r>
            <w:r>
              <w:rPr>
                <w:rFonts w:eastAsia="黑体" w:cs="黑体" w:ascii="黑体" w:hAnsi="黑体"/>
                <w:szCs w:val="21"/>
              </w:rPr>
              <w:t>95%   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新技术、设备、工艺推广</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培训时间达到</w:t>
            </w:r>
            <w:r>
              <w:rPr>
                <w:rFonts w:eastAsia="黑体" w:cs="黑体" w:ascii="黑体" w:hAnsi="黑体"/>
                <w:szCs w:val="21"/>
              </w:rPr>
              <w:t>5</w:t>
            </w:r>
            <w:r>
              <w:rPr>
                <w:rFonts w:ascii="黑体" w:hAnsi="黑体" w:cs="黑体" w:eastAsia="黑体"/>
                <w:szCs w:val="21"/>
              </w:rPr>
              <w:t>课时，劳动生产率提升</w:t>
            </w:r>
            <w:r>
              <w:rPr>
                <w:rFonts w:eastAsia="黑体" w:cs="黑体" w:ascii="黑体" w:hAnsi="黑体"/>
                <w:szCs w:val="21"/>
              </w:rPr>
              <w:t>5%</w:t>
            </w:r>
            <w:r>
              <w:rPr>
                <w:rFonts w:ascii="黑体" w:hAnsi="黑体" w:cs="黑体" w:eastAsia="黑体"/>
                <w:szCs w:val="21"/>
              </w:rPr>
              <w:t>以上</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无变化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劳动生产率下降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生产管理</w:t>
            </w:r>
          </w:p>
          <w:p>
            <w:pPr>
              <w:pStyle w:val="Normal"/>
              <w:rPr>
                <w:rFonts w:ascii="黑体" w:hAnsi="黑体" w:eastAsia="黑体" w:cs="黑体"/>
                <w:szCs w:val="21"/>
              </w:rPr>
            </w:pPr>
            <w:r>
              <w:rPr>
                <w:rFonts w:eastAsia="黑体" w:cs="黑体" w:ascii="黑体" w:hAnsi="黑体"/>
                <w:szCs w:val="21"/>
              </w:rPr>
              <w:t>40%</w:t>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生产流程体系的建立与完善</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建立生产管理制度、方法、流程</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安全培训</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每月安全培训超</w:t>
            </w:r>
            <w:r>
              <w:rPr>
                <w:rFonts w:eastAsia="黑体" w:cs="黑体" w:ascii="黑体" w:hAnsi="黑体"/>
                <w:szCs w:val="21"/>
              </w:rPr>
              <w:t>10</w:t>
            </w:r>
            <w:r>
              <w:rPr>
                <w:rFonts w:ascii="黑体" w:hAnsi="黑体" w:cs="黑体" w:eastAsia="黑体"/>
                <w:szCs w:val="21"/>
              </w:rPr>
              <w:t>课时</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10</w:t>
            </w:r>
            <w:r>
              <w:rPr>
                <w:rFonts w:ascii="黑体" w:hAnsi="黑体" w:cs="黑体" w:eastAsia="黑体"/>
                <w:szCs w:val="21"/>
              </w:rPr>
              <w:t xml:space="preserve">课时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未达到</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安全事故</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279"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无安全事故发生</w:t>
            </w:r>
          </w:p>
        </w:tc>
        <w:tc>
          <w:tcPr>
            <w:tcW w:w="31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无事故发生</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有事故发生</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6"/>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537"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指挥</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级：常规指标并清晰</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级：详细指导并告知操作方法</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级：坚决洽当处理不合理要求并对后果负责，控制场面</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级：团队工作井然，成员离场行为较好</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级：指挥具有艺术性，成员不易违规</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color w:val="000000"/>
                <w:szCs w:val="21"/>
              </w:rPr>
            </w:pPr>
            <w:r>
              <w:rPr>
                <w:rFonts w:ascii="黑体" w:hAnsi="黑体" w:cs="黑体" w:eastAsia="黑体"/>
                <w:color w:val="000000"/>
                <w:szCs w:val="21"/>
              </w:rPr>
              <w:t>学习力</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级：有学习意识但无行动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级：主动学习</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级：自费学习并得到技能</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级：学习后用于实践</w:t>
            </w:r>
          </w:p>
          <w:p>
            <w:pPr>
              <w:pStyle w:val="Normal"/>
              <w:widowControl/>
              <w:jc w:val="start"/>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级：学习后实践并得到良好效果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4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7076" w:type="dxa"/>
            <w:gridSpan w:val="13"/>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923"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923"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行政总监考核评分表（月度）</w:t>
      </w:r>
    </w:p>
    <w:p>
      <w:pPr>
        <w:pStyle w:val="Normal"/>
        <w:jc w:val="end"/>
        <w:rPr>
          <w:rFonts w:ascii="宋体" w:hAnsi="宋体" w:cs="宋体"/>
          <w:b/>
          <w:b/>
        </w:rPr>
      </w:pPr>
      <w:r>
        <w:rPr>
          <w:rFonts w:ascii="宋体" w:hAnsi="宋体" w:cs="宋体"/>
          <w:b/>
        </w:rPr>
        <w:t>考核期间：        年   月</w:t>
      </w:r>
    </w:p>
    <w:tbl>
      <w:tblPr>
        <w:tblW w:w="9524" w:type="dxa"/>
        <w:jc w:val="start"/>
        <w:tblInd w:w="0" w:type="dxa"/>
        <w:tblLayout w:type="fixed"/>
        <w:tblCellMar>
          <w:top w:w="0" w:type="dxa"/>
          <w:start w:w="108" w:type="dxa"/>
          <w:bottom w:w="0" w:type="dxa"/>
          <w:end w:w="108" w:type="dxa"/>
        </w:tblCellMar>
      </w:tblPr>
      <w:tblGrid>
        <w:gridCol w:w="597"/>
        <w:gridCol w:w="226"/>
        <w:gridCol w:w="300"/>
        <w:gridCol w:w="740"/>
        <w:gridCol w:w="753"/>
        <w:gridCol w:w="359"/>
        <w:gridCol w:w="181"/>
        <w:gridCol w:w="372"/>
        <w:gridCol w:w="981"/>
        <w:gridCol w:w="639"/>
        <w:gridCol w:w="1818"/>
        <w:gridCol w:w="1208"/>
        <w:gridCol w:w="416"/>
        <w:gridCol w:w="10"/>
        <w:gridCol w:w="45"/>
        <w:gridCol w:w="418"/>
        <w:gridCol w:w="26"/>
        <w:gridCol w:w="435"/>
      </w:tblGrid>
      <w:tr>
        <w:trPr>
          <w:trHeight w:val="340" w:hRule="atLeast"/>
          <w:cantSplit w:val="true"/>
        </w:trPr>
        <w:tc>
          <w:tcPr>
            <w:tcW w:w="823"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2"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4"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5015"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2"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53"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20"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30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50"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2"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jc w:val="center"/>
              <w:rPr>
                <w:rFonts w:ascii="黑体" w:hAnsi="黑体" w:eastAsia="黑体" w:cs="黑体"/>
                <w:szCs w:val="21"/>
              </w:rPr>
            </w:pPr>
            <w:r>
              <w:rPr>
                <w:rFonts w:eastAsia="黑体" w:cs="黑体" w:ascii="黑体" w:hAnsi="黑体"/>
                <w:szCs w:val="21"/>
              </w:rPr>
            </w:r>
          </w:p>
        </w:tc>
        <w:tc>
          <w:tcPr>
            <w:tcW w:w="553"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center"/>
              <w:rPr>
                <w:rFonts w:ascii="黑体" w:hAnsi="黑体" w:eastAsia="黑体" w:cs="黑体"/>
                <w:bCs w:val="false"/>
                <w:szCs w:val="21"/>
              </w:rPr>
            </w:pPr>
            <w:r>
              <w:rPr>
                <w:rFonts w:eastAsia="黑体" w:cs="黑体" w:ascii="黑体" w:hAnsi="黑体"/>
                <w:bCs w:val="false"/>
                <w:szCs w:val="21"/>
              </w:rPr>
            </w:r>
          </w:p>
        </w:tc>
        <w:tc>
          <w:tcPr>
            <w:tcW w:w="1620"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30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50%</w:t>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jc w:val="center"/>
              <w:rPr>
                <w:rFonts w:ascii="黑体" w:hAnsi="黑体" w:eastAsia="黑体" w:cs="黑体"/>
                <w:szCs w:val="21"/>
              </w:rPr>
            </w:pPr>
            <w:r>
              <w:rPr>
                <w:rFonts w:ascii="黑体" w:hAnsi="黑体" w:cs="黑体" w:eastAsia="黑体"/>
                <w:szCs w:val="21"/>
              </w:rPr>
              <w:t>战略计划制定、实施</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center"/>
              <w:rPr>
                <w:rFonts w:ascii="黑体" w:hAnsi="黑体" w:eastAsia="黑体" w:cs="黑体"/>
                <w:bCs w:val="false"/>
                <w:szCs w:val="21"/>
              </w:rPr>
            </w:pPr>
            <w:r>
              <w:rPr>
                <w:rFonts w:eastAsia="黑体" w:cs="黑体" w:ascii="黑体" w:hAnsi="黑体"/>
                <w:bCs w:val="false"/>
                <w:szCs w:val="21"/>
              </w:rPr>
              <w:t>20%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分解战略目标，于每年十二月底前提交年度计划，于每月三日前核查计划达标情况</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目标分解准确完整度为</w:t>
            </w:r>
            <w:r>
              <w:rPr>
                <w:rFonts w:eastAsia="黑体" w:cs="黑体" w:ascii="黑体" w:hAnsi="黑体"/>
                <w:szCs w:val="21"/>
              </w:rPr>
              <w:t>100%</w:t>
            </w:r>
            <w:r>
              <w:rPr>
                <w:rFonts w:ascii="黑体" w:hAnsi="黑体" w:cs="黑体" w:eastAsia="黑体"/>
                <w:szCs w:val="21"/>
              </w:rPr>
              <w:t>，计划达标率</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完整合理度达到</w:t>
            </w:r>
            <w:r>
              <w:rPr>
                <w:rFonts w:eastAsia="黑体" w:cs="黑体" w:ascii="黑体" w:hAnsi="黑体"/>
                <w:szCs w:val="21"/>
              </w:rPr>
              <w:t>90%</w:t>
            </w:r>
            <w:r>
              <w:rPr>
                <w:rFonts w:ascii="黑体" w:hAnsi="黑体" w:cs="黑体" w:eastAsia="黑体"/>
                <w:szCs w:val="21"/>
              </w:rPr>
              <w:t>以上，达标率</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分解有漏项或不合理，达标率</w:t>
            </w:r>
            <w:r>
              <w:rPr>
                <w:rFonts w:eastAsia="黑体" w:cs="黑体" w:ascii="黑体" w:hAnsi="黑体"/>
                <w:szCs w:val="21"/>
              </w:rPr>
              <w:t>80%</w:t>
            </w:r>
            <w:r>
              <w:rPr>
                <w:rFonts w:ascii="黑体" w:hAnsi="黑体" w:cs="黑体" w:eastAsia="黑体"/>
                <w:szCs w:val="21"/>
              </w:rPr>
              <w:t xml:space="preserve">以下   </w:t>
            </w:r>
            <w:r>
              <w:rPr>
                <w:rFonts w:eastAsia="黑体" w:cs="黑体" w:ascii="黑体" w:hAnsi="黑体"/>
                <w:szCs w:val="21"/>
              </w:rPr>
              <w:t>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jc w:val="center"/>
              <w:rPr>
                <w:rFonts w:ascii="黑体" w:hAnsi="黑体" w:eastAsia="黑体" w:cs="黑体"/>
                <w:szCs w:val="21"/>
              </w:rPr>
            </w:pPr>
            <w:r>
              <w:rPr>
                <w:rFonts w:ascii="黑体" w:hAnsi="黑体" w:cs="黑体" w:eastAsia="黑体"/>
                <w:szCs w:val="21"/>
              </w:rPr>
              <w:t>公司重要活动、会议筹备</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center"/>
              <w:rPr>
                <w:rFonts w:ascii="黑体" w:hAnsi="黑体" w:eastAsia="黑体" w:cs="黑体"/>
                <w:bCs w:val="false"/>
                <w:szCs w:val="21"/>
              </w:rPr>
            </w:pPr>
            <w:r>
              <w:rPr>
                <w:rFonts w:eastAsia="黑体" w:cs="黑体" w:ascii="黑体" w:hAnsi="黑体"/>
                <w:bCs w:val="false"/>
                <w:szCs w:val="21"/>
              </w:rPr>
              <w:t>10%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事先有方案，按计划执行，全程顺利，参会者满意度高</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按所有要求执行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无方案、计划，整体活动进行顺利者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出现重大事故或与会者评价低于</w:t>
            </w:r>
            <w:r>
              <w:rPr>
                <w:rFonts w:eastAsia="黑体" w:cs="黑体" w:ascii="黑体" w:hAnsi="黑体"/>
                <w:szCs w:val="21"/>
              </w:rPr>
              <w:t>70</w:t>
            </w:r>
            <w:r>
              <w:rPr>
                <w:rFonts w:ascii="黑体" w:hAnsi="黑体" w:cs="黑体" w:eastAsia="黑体"/>
                <w:szCs w:val="21"/>
              </w:rPr>
              <w:t xml:space="preserve">分者  </w:t>
            </w:r>
            <w:r>
              <w:rPr>
                <w:rFonts w:eastAsia="黑体" w:cs="黑体" w:ascii="黑体" w:hAnsi="黑体"/>
                <w:szCs w:val="21"/>
              </w:rPr>
              <w:t>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办公费用控制</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费用控制在预算内，较同期节约</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费用较同期节约</w:t>
            </w:r>
            <w:r>
              <w:rPr>
                <w:rFonts w:eastAsia="黑体" w:cs="黑体" w:ascii="黑体" w:hAnsi="黑体"/>
                <w:szCs w:val="21"/>
              </w:rPr>
              <w:t>1%</w:t>
            </w:r>
            <w:r>
              <w:rPr>
                <w:rFonts w:ascii="黑体" w:hAnsi="黑体" w:cs="黑体" w:eastAsia="黑体"/>
                <w:szCs w:val="21"/>
              </w:rPr>
              <w:t xml:space="preserve">者  </w:t>
            </w:r>
            <w:r>
              <w:rPr>
                <w:rFonts w:eastAsia="黑体" w:cs="黑体" w:ascii="黑体" w:hAnsi="黑体"/>
                <w:szCs w:val="21"/>
              </w:rPr>
              <w:t>15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费用控制在预算内，与同期持平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费用超预算</w:t>
            </w:r>
            <w:r>
              <w:rPr>
                <w:rFonts w:eastAsia="黑体" w:cs="黑体" w:ascii="黑体" w:hAnsi="黑体"/>
                <w:szCs w:val="21"/>
              </w:rPr>
              <w:t>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外联关系维护</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与各相关政府部门保持良好关系，能够积极促进企业发展，无隐患，无负面事件发生</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达到要求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有一定的关系维护，仍有努力空间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部分关系维护不当，出现负面影响  </w:t>
            </w:r>
            <w:r>
              <w:rPr>
                <w:rFonts w:eastAsia="黑体" w:cs="黑体" w:ascii="黑体" w:hAnsi="黑体"/>
                <w:szCs w:val="21"/>
              </w:rPr>
              <w:t>0</w:t>
            </w:r>
            <w:r>
              <w:rPr>
                <w:rFonts w:ascii="黑体" w:hAnsi="黑体" w:cs="黑体" w:eastAsia="黑体"/>
                <w:szCs w:val="21"/>
              </w:rPr>
              <w:t>分</w:t>
            </w:r>
          </w:p>
        </w:tc>
        <w:tc>
          <w:tcPr>
            <w:tcW w:w="41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管理项目</w:t>
            </w:r>
          </w:p>
          <w:p>
            <w:pPr>
              <w:pStyle w:val="Normal"/>
              <w:jc w:val="center"/>
              <w:rPr>
                <w:rFonts w:ascii="黑体" w:hAnsi="黑体" w:eastAsia="黑体" w:cs="黑体"/>
                <w:szCs w:val="21"/>
              </w:rPr>
            </w:pPr>
            <w:r>
              <w:rPr>
                <w:rFonts w:eastAsia="黑体" w:cs="黑体" w:ascii="黑体" w:hAnsi="黑体"/>
                <w:szCs w:val="21"/>
              </w:rPr>
              <w:t>30%</w:t>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管理体系及工作流程建设</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有各项人事行政管理制度，执行度高</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行政管理制度完善及执行率达</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以下</w:t>
            </w:r>
            <w:r>
              <w:rPr>
                <w:rFonts w:eastAsia="黑体" w:cs="黑体" w:ascii="黑体" w:hAnsi="黑体"/>
                <w:szCs w:val="21"/>
              </w:rPr>
              <w:t>0</w:t>
            </w:r>
            <w:r>
              <w:rPr>
                <w:rFonts w:ascii="黑体" w:hAnsi="黑体" w:cs="黑体" w:eastAsia="黑体"/>
                <w:szCs w:val="21"/>
              </w:rPr>
              <w:t>分</w:t>
            </w:r>
          </w:p>
        </w:tc>
        <w:tc>
          <w:tcPr>
            <w:tcW w:w="41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公文管理</w:t>
            </w:r>
          </w:p>
        </w:tc>
        <w:tc>
          <w:tcPr>
            <w:tcW w:w="553"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620"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有公文管理办法，对外公文格式规范，存档齐全</w:t>
            </w:r>
          </w:p>
        </w:tc>
        <w:tc>
          <w:tcPr>
            <w:tcW w:w="3026"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对外公文无差错，内部存档齐全，无公文管理办法流程</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对外公文出错或出现重要公文丢失</w:t>
            </w:r>
            <w:r>
              <w:rPr>
                <w:rFonts w:eastAsia="黑体" w:cs="黑体" w:ascii="黑体" w:hAnsi="黑体"/>
                <w:szCs w:val="21"/>
              </w:rPr>
              <w:t>0</w:t>
            </w:r>
            <w:r>
              <w:rPr>
                <w:rFonts w:ascii="黑体" w:hAnsi="黑体" w:cs="黑体" w:eastAsia="黑体"/>
                <w:szCs w:val="21"/>
              </w:rPr>
              <w:t>分</w:t>
            </w:r>
          </w:p>
        </w:tc>
        <w:tc>
          <w:tcPr>
            <w:tcW w:w="41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915"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队伍建设</w:t>
            </w:r>
          </w:p>
          <w:p>
            <w:pPr>
              <w:pStyle w:val="Normal"/>
              <w:jc w:val="center"/>
              <w:rPr>
                <w:rFonts w:ascii="黑体" w:hAnsi="黑体" w:eastAsia="黑体" w:cs="黑体"/>
                <w:szCs w:val="21"/>
              </w:rPr>
            </w:pPr>
            <w:r>
              <w:rPr>
                <w:rFonts w:eastAsia="黑体" w:cs="黑体" w:ascii="黑体" w:hAnsi="黑体"/>
                <w:szCs w:val="21"/>
              </w:rPr>
              <w:t>20%</w:t>
            </w:r>
          </w:p>
        </w:tc>
        <w:tc>
          <w:tcPr>
            <w:tcW w:w="11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tc>
        <w:tc>
          <w:tcPr>
            <w:tcW w:w="553"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2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公司人才队伍建设有标准，有计划，各级各类人才储备完整无缺项</w:t>
            </w:r>
          </w:p>
        </w:tc>
        <w:tc>
          <w:tcPr>
            <w:tcW w:w="30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队伍建设达标率达到</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 xml:space="preserve">以下   </w:t>
            </w:r>
            <w:r>
              <w:rPr>
                <w:rFonts w:eastAsia="黑体" w:cs="黑体" w:ascii="黑体" w:hAnsi="黑体"/>
                <w:szCs w:val="21"/>
              </w:rPr>
              <w:t>0</w:t>
            </w:r>
            <w:r>
              <w:rPr>
                <w:rFonts w:ascii="黑体" w:hAnsi="黑体" w:cs="黑体" w:eastAsia="黑体"/>
                <w:szCs w:val="21"/>
              </w:rPr>
              <w:t>分</w:t>
            </w:r>
          </w:p>
        </w:tc>
        <w:tc>
          <w:tcPr>
            <w:tcW w:w="41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8"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549"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jc w:val="center"/>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597"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6"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领导力</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公平</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级：不对别人指点，不对除下级以外人进行品格指责</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级：对下级与同事进行正态评定</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级：利用制度对工作作出正确评定</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级：主动提出别人工作改进方案</w:t>
            </w:r>
          </w:p>
          <w:p>
            <w:pPr>
              <w:pStyle w:val="Normal"/>
              <w:rPr>
                <w:szCs w:val="21"/>
              </w:rPr>
            </w:pPr>
            <w:r>
              <w:rPr>
                <w:rFonts w:eastAsia="黑体" w:cs="黑体" w:ascii="黑体" w:hAnsi="黑体"/>
                <w:color w:val="000000"/>
                <w:szCs w:val="21"/>
              </w:rPr>
              <w:t>5</w:t>
            </w:r>
            <w:r>
              <w:rPr>
                <w:rFonts w:ascii="黑体" w:hAnsi="黑体" w:cs="黑体" w:eastAsia="黑体"/>
                <w:color w:val="000000"/>
                <w:szCs w:val="21"/>
              </w:rPr>
              <w:t>级：对别人提供支持，并产生积极效果</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49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color w:val="000000"/>
                <w:szCs w:val="21"/>
              </w:rPr>
            </w:pPr>
            <w:r>
              <w:rPr>
                <w:rFonts w:ascii="黑体" w:hAnsi="黑体" w:cs="黑体" w:eastAsia="黑体"/>
                <w:color w:val="000000"/>
                <w:szCs w:val="21"/>
              </w:rPr>
              <w:t>团队合作</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81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级：尊重他人，同理心倾听，接纳不同意见，合理和包容</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级：直言，分享他们的观点和信息使团队前进</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级：支持团队（领导者）的决定，即使自己有不同意见</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级：愿意提供即使是不属自己日常工作职责范围的帮助</w:t>
            </w:r>
          </w:p>
          <w:p>
            <w:pPr>
              <w:pStyle w:val="Normal"/>
              <w:widowContro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级：跨边界建立关系以发展非正式及正式工作网络</w:t>
            </w:r>
          </w:p>
        </w:tc>
        <w:tc>
          <w:tcPr>
            <w:tcW w:w="120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7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8"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549" w:type="dxa"/>
            <w:gridSpan w:val="1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7"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927" w:type="dxa"/>
            <w:gridSpan w:val="1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597"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927" w:type="dxa"/>
            <w:gridSpan w:val="17"/>
            <w:tcBorders>
              <w:top w:val="single" w:sz="6" w:space="0" w:color="000000"/>
              <w:start w:val="single" w:sz="6" w:space="0" w:color="000000"/>
              <w:bottom w:val="single" w:sz="12"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签字：</w:t>
            </w:r>
          </w:p>
          <w:p>
            <w:pPr>
              <w:pStyle w:val="Normal"/>
              <w:ind w:firstLine="6300"/>
              <w:jc w:val="center"/>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营销总监考核评分表（月度）</w:t>
      </w:r>
    </w:p>
    <w:p>
      <w:pPr>
        <w:pStyle w:val="Normal"/>
        <w:jc w:val="end"/>
        <w:rPr>
          <w:rFonts w:ascii="宋体" w:hAnsi="宋体" w:cs="宋体"/>
          <w:b/>
          <w:b/>
        </w:rPr>
      </w:pPr>
      <w:r>
        <w:rPr>
          <w:rFonts w:ascii="宋体" w:hAnsi="宋体" w:cs="宋体"/>
          <w:b/>
        </w:rPr>
        <w:t>考核期间：        年   月</w:t>
      </w:r>
    </w:p>
    <w:tbl>
      <w:tblPr>
        <w:tblW w:w="9524" w:type="dxa"/>
        <w:jc w:val="start"/>
        <w:tblInd w:w="0" w:type="dxa"/>
        <w:tblLayout w:type="fixed"/>
        <w:tblCellMar>
          <w:top w:w="0" w:type="dxa"/>
          <w:start w:w="108" w:type="dxa"/>
          <w:bottom w:w="0" w:type="dxa"/>
          <w:end w:w="108" w:type="dxa"/>
        </w:tblCellMar>
      </w:tblPr>
      <w:tblGrid>
        <w:gridCol w:w="599"/>
        <w:gridCol w:w="527"/>
        <w:gridCol w:w="741"/>
        <w:gridCol w:w="754"/>
        <w:gridCol w:w="359"/>
        <w:gridCol w:w="359"/>
        <w:gridCol w:w="536"/>
        <w:gridCol w:w="641"/>
        <w:gridCol w:w="796"/>
        <w:gridCol w:w="1667"/>
        <w:gridCol w:w="1137"/>
        <w:gridCol w:w="83"/>
        <w:gridCol w:w="396"/>
        <w:gridCol w:w="55"/>
        <w:gridCol w:w="418"/>
        <w:gridCol w:w="26"/>
        <w:gridCol w:w="430"/>
      </w:tblGrid>
      <w:tr>
        <w:trPr>
          <w:trHeight w:val="340" w:hRule="atLeast"/>
          <w:cantSplit w:val="true"/>
        </w:trPr>
        <w:tc>
          <w:tcPr>
            <w:tcW w:w="59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38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6"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5008"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p>
            <w:pPr>
              <w:pStyle w:val="Normal"/>
              <w:jc w:val="center"/>
              <w:rPr>
                <w:rFonts w:ascii="黑体" w:hAnsi="黑体" w:eastAsia="黑体" w:cs="黑体"/>
                <w:szCs w:val="21"/>
              </w:rPr>
            </w:pPr>
            <w:r>
              <w:rPr>
                <w:rFonts w:eastAsia="黑体" w:cs="黑体" w:ascii="黑体" w:hAnsi="黑体"/>
                <w:szCs w:val="21"/>
              </w:rPr>
            </w:r>
          </w:p>
        </w:tc>
        <w:tc>
          <w:tcPr>
            <w:tcW w:w="527"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895"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437"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804"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408"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895"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437"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804"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w:t>
            </w:r>
          </w:p>
          <w:p>
            <w:pPr>
              <w:pStyle w:val="Normal"/>
              <w:jc w:val="center"/>
              <w:rPr>
                <w:rFonts w:ascii="黑体" w:hAnsi="黑体" w:eastAsia="黑体" w:cs="黑体"/>
                <w:szCs w:val="21"/>
              </w:rPr>
            </w:pPr>
            <w:r>
              <w:rPr>
                <w:rFonts w:ascii="黑体" w:hAnsi="黑体" w:cs="黑体" w:eastAsia="黑体"/>
                <w:szCs w:val="21"/>
              </w:rPr>
              <w:t>指标</w:t>
            </w:r>
          </w:p>
          <w:p>
            <w:pPr>
              <w:pStyle w:val="Normal"/>
              <w:jc w:val="center"/>
              <w:rPr>
                <w:rFonts w:ascii="黑体" w:hAnsi="黑体" w:eastAsia="黑体" w:cs="黑体"/>
                <w:szCs w:val="21"/>
              </w:rPr>
            </w:pPr>
            <w:r>
              <w:rPr>
                <w:rFonts w:eastAsia="黑体" w:cs="黑体" w:ascii="黑体" w:hAnsi="黑体"/>
                <w:szCs w:val="21"/>
              </w:rPr>
              <w:t>80%</w:t>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销售额</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300</w:t>
            </w:r>
            <w:r>
              <w:rPr>
                <w:rFonts w:ascii="黑体" w:hAnsi="黑体" w:cs="黑体" w:eastAsia="黑体"/>
                <w:szCs w:val="21"/>
              </w:rPr>
              <w:t>万</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达成销售额  </w:t>
            </w:r>
            <w:r>
              <w:rPr>
                <w:rFonts w:eastAsia="黑体" w:cs="黑体" w:ascii="黑体" w:hAnsi="黑体"/>
                <w:szCs w:val="21"/>
              </w:rPr>
              <w:t>40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达成</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30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80%</w:t>
            </w:r>
            <w:r>
              <w:rPr>
                <w:rFonts w:ascii="黑体" w:hAnsi="黑体" w:cs="黑体" w:eastAsia="黑体"/>
                <w:szCs w:val="21"/>
              </w:rPr>
              <w:t xml:space="preserve">为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客户保有量</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每月新客户开发量为</w:t>
            </w:r>
            <w:r>
              <w:rPr>
                <w:rFonts w:eastAsia="黑体" w:cs="黑体" w:ascii="黑体" w:hAnsi="黑体"/>
                <w:szCs w:val="21"/>
              </w:rPr>
              <w:t>5%</w:t>
            </w:r>
            <w:r>
              <w:rPr>
                <w:rFonts w:ascii="黑体" w:hAnsi="黑体" w:cs="黑体" w:eastAsia="黑体"/>
                <w:szCs w:val="21"/>
              </w:rPr>
              <w:t>，无老客户流失</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保持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低于原客户数的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回款率</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ascii="黑体" w:hAnsi="黑体"/>
                <w:szCs w:val="21"/>
              </w:rPr>
              <w:t>10%</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每月回款率达到</w:t>
            </w:r>
            <w:r>
              <w:rPr>
                <w:rFonts w:eastAsia="黑体" w:cs="黑体" w:ascii="黑体" w:hAnsi="黑体"/>
                <w:szCs w:val="21"/>
              </w:rPr>
              <w:t>95%</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回款率达到</w:t>
            </w:r>
            <w:r>
              <w:rPr>
                <w:rFonts w:eastAsia="黑体" w:cs="黑体" w:ascii="黑体" w:hAnsi="黑体"/>
                <w:szCs w:val="21"/>
              </w:rPr>
              <w:t>85%  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70%  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市场推广会</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cs="黑体" w:ascii="黑体" w:hAnsi="黑体"/>
                <w:szCs w:val="21"/>
              </w:rPr>
              <w:t>1</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一个月两次，每次实到客户家数</w:t>
            </w:r>
            <w:r>
              <w:rPr>
                <w:rFonts w:eastAsia="黑体" w:cs="黑体" w:ascii="黑体" w:hAnsi="黑体"/>
                <w:szCs w:val="21"/>
              </w:rPr>
              <w:t>20</w:t>
            </w:r>
            <w:r>
              <w:rPr>
                <w:rFonts w:ascii="黑体" w:hAnsi="黑体" w:cs="黑体" w:eastAsia="黑体"/>
                <w:szCs w:val="21"/>
              </w:rPr>
              <w:t>家</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完成数量和家数要求</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只实现数量或家数</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两项均未达标</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58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管理工作</w:t>
            </w:r>
          </w:p>
          <w:p>
            <w:pPr>
              <w:pStyle w:val="Normal"/>
              <w:jc w:val="center"/>
              <w:rPr>
                <w:rFonts w:ascii="黑体" w:hAnsi="黑体" w:eastAsia="黑体" w:cs="黑体"/>
                <w:szCs w:val="21"/>
              </w:rPr>
            </w:pPr>
            <w:r>
              <w:rPr>
                <w:rFonts w:eastAsia="黑体" w:cs="黑体" w:ascii="黑体" w:hAnsi="黑体"/>
                <w:szCs w:val="21"/>
              </w:rPr>
              <w:t>20%</w:t>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市场分析报告</w:t>
            </w:r>
          </w:p>
        </w:tc>
        <w:tc>
          <w:tcPr>
            <w:tcW w:w="895" w:type="dxa"/>
            <w:gridSpan w:val="2"/>
            <w:tcBorders>
              <w:top w:val="single" w:sz="6" w:space="0" w:color="000000"/>
              <w:start w:val="single" w:sz="6" w:space="0" w:color="000000"/>
              <w:bottom w:val="single" w:sz="4" w:space="0" w:color="000000"/>
              <w:end w:val="single" w:sz="4" w:space="0" w:color="000000"/>
            </w:tcBorders>
            <w:vAlign w:val="center"/>
          </w:tcPr>
          <w:p>
            <w:pPr>
              <w:pStyle w:val="Normal"/>
              <w:spacing w:lineRule="atLeast" w:line="400"/>
              <w:jc w:val="center"/>
              <w:rPr>
                <w:rFonts w:ascii="黑体" w:hAnsi="黑体" w:eastAsia="黑体" w:cs="黑体"/>
                <w:szCs w:val="21"/>
              </w:rPr>
            </w:pPr>
            <w:r>
              <w:rPr>
                <w:rFonts w:eastAsia="黑体" w:cs="黑体" w:ascii="黑体" w:hAnsi="黑体"/>
                <w:szCs w:val="21"/>
              </w:rPr>
              <w:t>10%</w:t>
            </w:r>
          </w:p>
        </w:tc>
        <w:tc>
          <w:tcPr>
            <w:tcW w:w="1437" w:type="dxa"/>
            <w:gridSpan w:val="2"/>
            <w:tcBorders>
              <w:top w:val="single" w:sz="6" w:space="0" w:color="000000"/>
              <w:start w:val="single" w:sz="4" w:space="0" w:color="000000"/>
              <w:bottom w:val="single" w:sz="4"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每月５号前按标准提交，准确率达到</w:t>
            </w:r>
            <w:r>
              <w:rPr>
                <w:rFonts w:eastAsia="黑体" w:cs="黑体" w:ascii="黑体" w:hAnsi="黑体"/>
                <w:szCs w:val="21"/>
              </w:rPr>
              <w:t>90%</w:t>
            </w:r>
          </w:p>
        </w:tc>
        <w:tc>
          <w:tcPr>
            <w:tcW w:w="2804"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两项均达到目标值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达标一项的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其它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客户投诉解决</w:t>
            </w:r>
          </w:p>
        </w:tc>
        <w:tc>
          <w:tcPr>
            <w:tcW w:w="895" w:type="dxa"/>
            <w:gridSpan w:val="2"/>
            <w:tcBorders>
              <w:top w:val="single" w:sz="4"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ascii="黑体" w:hAnsi="黑体"/>
                <w:szCs w:val="21"/>
              </w:rPr>
              <w:t>10%</w:t>
            </w:r>
          </w:p>
        </w:tc>
        <w:tc>
          <w:tcPr>
            <w:tcW w:w="1437" w:type="dxa"/>
            <w:gridSpan w:val="2"/>
            <w:tcBorders>
              <w:top w:val="single" w:sz="4"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在三个工作日内响应，１００</w:t>
            </w:r>
            <w:r>
              <w:rPr>
                <w:rFonts w:eastAsia="黑体" w:cs="黑体" w:ascii="黑体" w:hAnsi="黑体"/>
                <w:szCs w:val="21"/>
              </w:rPr>
              <w:t>%</w:t>
            </w:r>
            <w:r>
              <w:rPr>
                <w:rFonts w:ascii="黑体" w:hAnsi="黑体" w:cs="黑体" w:eastAsia="黑体"/>
                <w:szCs w:val="21"/>
              </w:rPr>
              <w:t>解决</w:t>
            </w:r>
          </w:p>
        </w:tc>
        <w:tc>
          <w:tcPr>
            <w:tcW w:w="2804"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两项均达到目标值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达标一项的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其它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业务人才培养</w:t>
            </w:r>
          </w:p>
        </w:tc>
        <w:tc>
          <w:tcPr>
            <w:tcW w:w="895"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437" w:type="dxa"/>
            <w:gridSpan w:val="2"/>
            <w:tcBorders>
              <w:top w:val="single" w:sz="4"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p>
            <w:pPr>
              <w:pStyle w:val="Normal"/>
              <w:jc w:val="center"/>
              <w:rPr>
                <w:rFonts w:ascii="黑体" w:hAnsi="黑体" w:eastAsia="黑体" w:cs="黑体"/>
                <w:szCs w:val="21"/>
              </w:rPr>
            </w:pPr>
            <w:r>
              <w:rPr>
                <w:rFonts w:ascii="黑体" w:hAnsi="黑体" w:cs="黑体" w:eastAsia="黑体"/>
                <w:szCs w:val="21"/>
              </w:rPr>
              <w:t>培养储备经理</w:t>
            </w:r>
            <w:r>
              <w:rPr>
                <w:rFonts w:eastAsia="黑体" w:cs="黑体" w:ascii="黑体" w:hAnsi="黑体"/>
                <w:szCs w:val="21"/>
              </w:rPr>
              <w:t>1</w:t>
            </w:r>
            <w:r>
              <w:rPr>
                <w:rFonts w:ascii="黑体" w:hAnsi="黑体" w:cs="黑体" w:eastAsia="黑体"/>
                <w:szCs w:val="21"/>
              </w:rPr>
              <w:t>名，主管</w:t>
            </w:r>
            <w:r>
              <w:rPr>
                <w:rFonts w:eastAsia="黑体" w:cs="黑体" w:ascii="黑体" w:hAnsi="黑体"/>
                <w:szCs w:val="21"/>
              </w:rPr>
              <w:t>2</w:t>
            </w:r>
            <w:r>
              <w:rPr>
                <w:rFonts w:ascii="黑体" w:hAnsi="黑体" w:cs="黑体" w:eastAsia="黑体"/>
                <w:szCs w:val="21"/>
              </w:rPr>
              <w:t>名</w:t>
            </w:r>
          </w:p>
          <w:p>
            <w:pPr>
              <w:pStyle w:val="Normal"/>
              <w:jc w:val="center"/>
              <w:rPr>
                <w:rFonts w:ascii="黑体" w:hAnsi="黑体" w:eastAsia="黑体" w:cs="黑体"/>
                <w:szCs w:val="21"/>
              </w:rPr>
            </w:pPr>
            <w:r>
              <w:rPr>
                <w:rFonts w:eastAsia="黑体" w:cs="黑体" w:ascii="黑体" w:hAnsi="黑体"/>
                <w:szCs w:val="21"/>
              </w:rPr>
            </w:r>
          </w:p>
        </w:tc>
        <w:tc>
          <w:tcPr>
            <w:tcW w:w="2804"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缺少一名扣</w:t>
            </w:r>
            <w:r>
              <w:rPr>
                <w:rFonts w:eastAsia="黑体" w:cs="黑体" w:ascii="黑体" w:hAnsi="黑体"/>
                <w:szCs w:val="21"/>
              </w:rPr>
              <w:t>3</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1" w:type="dxa"/>
            <w:gridSpan w:val="4"/>
            <w:tcBorders>
              <w:top w:val="single" w:sz="6" w:space="0" w:color="000000"/>
              <w:start w:val="single" w:sz="6" w:space="0" w:color="000000"/>
              <w:bottom w:val="single" w:sz="4"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544" w:type="dxa"/>
            <w:gridSpan w:val="12"/>
            <w:tcBorders>
              <w:top w:val="single" w:sz="6" w:space="0" w:color="000000"/>
              <w:start w:val="single" w:sz="6" w:space="0" w:color="000000"/>
              <w:bottom w:val="single" w:sz="4" w:space="0" w:color="000000"/>
              <w:end w:val="single" w:sz="12" w:space="0" w:color="000000"/>
            </w:tcBorders>
            <w:vAlign w:val="center"/>
          </w:tcPr>
          <w:p>
            <w:pPr>
              <w:pStyle w:val="Style14"/>
              <w:snapToGrid w:val="false"/>
              <w:jc w:val="center"/>
              <w:rPr>
                <w:rFonts w:ascii="黑体" w:hAnsi="黑体" w:eastAsia="黑体" w:cs="黑体"/>
                <w:bCs w:val="false"/>
                <w:szCs w:val="21"/>
              </w:rPr>
            </w:pPr>
            <w:r>
              <w:rPr>
                <w:rFonts w:eastAsia="黑体" w:cs="黑体" w:ascii="黑体" w:hAnsi="黑体"/>
                <w:bCs w:val="false"/>
                <w:szCs w:val="21"/>
              </w:rPr>
            </w:r>
          </w:p>
        </w:tc>
      </w:tr>
      <w:tr>
        <w:trPr>
          <w:trHeight w:val="1215" w:hRule="atLeast"/>
          <w:cantSplit w:val="true"/>
        </w:trPr>
        <w:tc>
          <w:tcPr>
            <w:tcW w:w="599" w:type="dxa"/>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7"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5"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18"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40" w:type="dxa"/>
            <w:gridSpan w:val="4"/>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20"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51"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0" w:type="dxa"/>
            <w:tcBorders>
              <w:top w:val="single" w:sz="4" w:space="0" w:color="000000"/>
              <w:start w:val="single" w:sz="6" w:space="0" w:color="000000"/>
              <w:bottom w:val="single" w:sz="4"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9" w:type="dxa"/>
            <w:vMerge w:val="restart"/>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以客户为中心</w:t>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级：提供必要服务</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级：迅速而不可分辩解决客户需求</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级：找出客户深层次（真实）需求并提供相应产品服力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级：成为客户信赖对象，并维护组织利益下影响客户决策</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级：维护客户利益，而促进长远组织利益</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人际关系</w:t>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级：接受邀请，维持正常工作关系</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级：建立融洽关系讨论非工作事例</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级：社会交往普遍发生</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级：成为密友并能正当拓展业务</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级：亲和力强，感染不同层次社会伙伴成为战略合作方</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center"/>
              <w:rPr>
                <w:rFonts w:ascii="黑体" w:hAnsi="黑体" w:eastAsia="黑体" w:cs="黑体"/>
                <w:color w:val="000000"/>
                <w:szCs w:val="21"/>
              </w:rPr>
            </w:pPr>
            <w:r>
              <w:rPr>
                <w:rFonts w:eastAsia="黑体" w:cs="黑体" w:ascii="黑体" w:hAnsi="黑体"/>
                <w:color w:val="000000"/>
                <w:szCs w:val="21"/>
              </w:rPr>
            </w:r>
          </w:p>
          <w:p>
            <w:pPr>
              <w:pStyle w:val="Normal"/>
              <w:widowControl/>
              <w:jc w:val="center"/>
              <w:rPr>
                <w:rFonts w:ascii="黑体" w:hAnsi="黑体" w:eastAsia="黑体" w:cs="黑体"/>
                <w:color w:val="000000"/>
                <w:szCs w:val="21"/>
              </w:rPr>
            </w:pPr>
            <w:r>
              <w:rPr>
                <w:rFonts w:ascii="黑体" w:hAnsi="黑体" w:cs="黑体" w:eastAsia="黑体"/>
                <w:color w:val="000000"/>
                <w:szCs w:val="21"/>
              </w:rPr>
              <w:t>决策</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级：不散布公司信息、技术、公司不足之处</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级：不在公司需要本人时并公司处于危机时主动离去</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级：生涯规划与公司发展一致，并谈判回报过程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级：危机关键时体现本职工作价值案例</w:t>
            </w:r>
          </w:p>
          <w:p>
            <w:pPr>
              <w:pStyle w:val="Normal"/>
              <w:widowContro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级：通过本职工作，扭转局势，创造新局面</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63"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1"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544" w:type="dxa"/>
            <w:gridSpan w:val="1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925" w:type="dxa"/>
            <w:gridSpan w:val="1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599"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925" w:type="dxa"/>
            <w:gridSpan w:val="16"/>
            <w:tcBorders>
              <w:top w:val="single" w:sz="6" w:space="0" w:color="000000"/>
              <w:start w:val="single" w:sz="6" w:space="0" w:color="000000"/>
              <w:bottom w:val="single" w:sz="12"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签字：</w:t>
            </w:r>
          </w:p>
          <w:p>
            <w:pPr>
              <w:pStyle w:val="Normal"/>
              <w:ind w:firstLine="6300"/>
              <w:jc w:val="center"/>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rPr>
          <w:rFonts w:ascii="楷体_GB2312;宋体" w:hAnsi="楷体_GB2312;宋体" w:eastAsia="楷体_GB2312;宋体"/>
          <w:b/>
          <w:b/>
          <w:sz w:val="32"/>
          <w:szCs w:val="32"/>
        </w:rPr>
      </w:pPr>
      <w:r>
        <w:rPr>
          <w:rFonts w:ascii="楷体_GB2312;宋体" w:hAnsi="楷体_GB2312;宋体" w:eastAsia="楷体_GB2312;宋体"/>
          <w:b/>
          <w:sz w:val="32"/>
          <w:szCs w:val="32"/>
        </w:rPr>
        <w:t>三、中层绩效考核表</w:t>
      </w:r>
    </w:p>
    <w:p>
      <w:pPr>
        <w:pStyle w:val="Normal"/>
        <w:numPr>
          <w:ilvl w:val="0"/>
          <w:numId w:val="0"/>
        </w:numPr>
        <w:jc w:val="center"/>
        <w:outlineLvl w:val="0"/>
        <w:rPr>
          <w:rFonts w:ascii="宋体" w:hAnsi="宋体" w:cs="宋体"/>
        </w:rPr>
      </w:pPr>
      <w:r>
        <w:rPr>
          <w:rFonts w:ascii="宋体" w:hAnsi="宋体" w:cs="宋体"/>
          <w:b/>
          <w:sz w:val="24"/>
        </w:rPr>
        <w:t>财务部经理考核评分表（月度）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60%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财务报表审核报送</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财务报表在规定期限内报送，无差错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报表延时或错报</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财务分析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7</w:t>
            </w:r>
            <w:r>
              <w:rPr>
                <w:rFonts w:ascii="黑体" w:hAnsi="黑体" w:cs="黑体" w:eastAsia="黑体"/>
                <w:szCs w:val="21"/>
              </w:rPr>
              <w:t>日前按标准出上月财务分析报告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按时提交报告，但报告质量采信度一般</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延时提交或报告不予采信</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财务预算管理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1</w:t>
            </w:r>
            <w:r>
              <w:rPr>
                <w:rFonts w:ascii="黑体" w:hAnsi="黑体" w:cs="黑体" w:eastAsia="黑体"/>
                <w:szCs w:val="21"/>
              </w:rPr>
              <w:t>日出本月预算，预算费用与实际费用误差率在</w:t>
            </w:r>
            <w:r>
              <w:rPr>
                <w:rFonts w:eastAsia="黑体" w:cs="黑体" w:ascii="黑体" w:hAnsi="黑体"/>
                <w:szCs w:val="21"/>
              </w:rPr>
              <w:t>5%</w:t>
            </w:r>
            <w:r>
              <w:rPr>
                <w:rFonts w:ascii="黑体" w:hAnsi="黑体" w:cs="黑体" w:eastAsia="黑体"/>
                <w:szCs w:val="21"/>
              </w:rPr>
              <w:t>以内</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制定预算，误差率在</w:t>
            </w:r>
            <w:r>
              <w:rPr>
                <w:rFonts w:eastAsia="黑体" w:cs="黑体" w:ascii="黑体" w:hAnsi="黑体"/>
                <w:szCs w:val="21"/>
              </w:rPr>
              <w:t>5%-10%</w:t>
            </w:r>
            <w:r>
              <w:rPr>
                <w:rFonts w:ascii="黑体" w:hAnsi="黑体" w:cs="黑体" w:eastAsia="黑体"/>
                <w:szCs w:val="21"/>
              </w:rPr>
              <w:t>为</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误差率超</w:t>
            </w:r>
            <w:r>
              <w:rPr>
                <w:rFonts w:eastAsia="黑体" w:cs="黑体" w:ascii="黑体" w:hAnsi="黑体"/>
                <w:szCs w:val="21"/>
              </w:rPr>
              <w:t>10%</w:t>
            </w:r>
            <w:r>
              <w:rPr>
                <w:rFonts w:ascii="黑体" w:hAnsi="黑体" w:cs="黑体" w:eastAsia="黑体"/>
                <w:szCs w:val="21"/>
              </w:rPr>
              <w:t>或无预算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合理避税额</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在法律范围内不高于同等规模水平</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纳税额高于同等规模、行业企业水平，未充分利用国家优惠政策</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财务核算</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日前完成财务核算，无差错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财务资金筹划</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资金使用成本低于银行利息，主要业务资金不断流</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资金不断流，但资金使用成本与银行利息基本持平</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资金断流或使用成本高于银行利息</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40%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财务体系流程建设及培训</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财务体系流程建立、优化完善</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财务体系流程完善</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w:t>
            </w:r>
            <w:r>
              <w:rPr>
                <w:rFonts w:eastAsia="黑体" w:cs="黑体" w:ascii="黑体" w:hAnsi="黑体"/>
                <w:szCs w:val="21"/>
              </w:rPr>
              <w:t>80%-90%</w:t>
            </w:r>
            <w:r>
              <w:rPr>
                <w:rFonts w:ascii="黑体" w:hAnsi="黑体" w:cs="黑体" w:eastAsia="黑体"/>
                <w:szCs w:val="21"/>
              </w:rPr>
              <w:t>为</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财务体系完善度低于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财务信息管理</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资料齐全，无外泄</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资料丢失或外泄</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12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9</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财务专业人才培养</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培养主管</w:t>
            </w:r>
            <w:r>
              <w:rPr>
                <w:rFonts w:eastAsia="黑体" w:cs="黑体" w:ascii="黑体" w:hAnsi="黑体"/>
                <w:szCs w:val="21"/>
              </w:rPr>
              <w:t>2</w:t>
            </w:r>
            <w:r>
              <w:rPr>
                <w:rFonts w:ascii="黑体" w:hAnsi="黑体" w:cs="黑体" w:eastAsia="黑体"/>
                <w:szCs w:val="21"/>
              </w:rPr>
              <w:t>名</w:t>
            </w:r>
          </w:p>
          <w:p>
            <w:pPr>
              <w:pStyle w:val="Normal"/>
              <w:jc w:val="center"/>
              <w:rPr>
                <w:rFonts w:ascii="黑体" w:hAnsi="黑体" w:eastAsia="黑体" w:cs="黑体"/>
                <w:szCs w:val="21"/>
              </w:rPr>
            </w:pPr>
            <w:r>
              <w:rPr>
                <w:rFonts w:ascii="黑体" w:hAnsi="黑体" w:cs="黑体" w:eastAsia="黑体"/>
                <w:szCs w:val="21"/>
              </w:rPr>
              <w:t>专员</w:t>
            </w:r>
            <w:r>
              <w:rPr>
                <w:rFonts w:eastAsia="黑体" w:cs="黑体" w:ascii="黑体" w:hAnsi="黑体"/>
                <w:szCs w:val="21"/>
              </w:rPr>
              <w:t>2</w:t>
            </w:r>
            <w:r>
              <w:rPr>
                <w:rFonts w:ascii="黑体" w:hAnsi="黑体" w:cs="黑体" w:eastAsia="黑体"/>
                <w:szCs w:val="21"/>
              </w:rPr>
              <w:t>名</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缺少一名扣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4"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tabs>
          <w:tab w:val="clear" w:pos="420"/>
          <w:tab w:val="left" w:pos="3780" w:leader="none"/>
        </w:tabs>
        <w:jc w:val="center"/>
        <w:outlineLvl w:val="0"/>
        <w:rPr>
          <w:rFonts w:ascii="宋体" w:hAnsi="宋体" w:cs="宋体"/>
        </w:rPr>
      </w:pPr>
      <w:r>
        <w:rPr>
          <w:rFonts w:ascii="宋体" w:hAnsi="宋体" w:cs="宋体"/>
          <w:b/>
          <w:sz w:val="24"/>
        </w:rPr>
        <w:t>采购部经理考核评分表（月度）</w:t>
      </w:r>
    </w:p>
    <w:p>
      <w:pPr>
        <w:pStyle w:val="Normal"/>
        <w:jc w:val="end"/>
        <w:rPr>
          <w:rFonts w:ascii="宋体" w:hAnsi="宋体" w:cs="宋体"/>
        </w:rPr>
      </w:pPr>
      <w:r>
        <w:rPr>
          <w:rFonts w:ascii="宋体" w:hAnsi="宋体" w:cs="宋体"/>
        </w:rPr>
        <w:t>考核期间：        年   月</w:t>
      </w:r>
    </w:p>
    <w:p>
      <w:pPr>
        <w:pStyle w:val="Normal"/>
        <w:jc w:val="end"/>
        <w:rPr>
          <w:rFonts w:ascii="宋体" w:hAnsi="宋体" w:cs="宋体"/>
          <w:b/>
          <w:b/>
        </w:rPr>
      </w:pPr>
      <w:r>
        <w:rPr>
          <w:rFonts w:cs="宋体" w:ascii="宋体" w:hAnsi="宋体"/>
          <w:b/>
        </w:rPr>
      </w:r>
    </w:p>
    <w:tbl>
      <w:tblPr>
        <w:tblW w:w="9288" w:type="dxa"/>
        <w:jc w:val="start"/>
        <w:tblInd w:w="0" w:type="dxa"/>
        <w:tblLayout w:type="fixed"/>
        <w:tblCellMar>
          <w:top w:w="0" w:type="dxa"/>
          <w:start w:w="108" w:type="dxa"/>
          <w:bottom w:w="0" w:type="dxa"/>
          <w:end w:w="108" w:type="dxa"/>
        </w:tblCellMar>
      </w:tblPr>
      <w:tblGrid>
        <w:gridCol w:w="603"/>
        <w:gridCol w:w="528"/>
        <w:gridCol w:w="742"/>
        <w:gridCol w:w="1116"/>
        <w:gridCol w:w="702"/>
        <w:gridCol w:w="839"/>
        <w:gridCol w:w="848"/>
        <w:gridCol w:w="2532"/>
        <w:gridCol w:w="449"/>
        <w:gridCol w:w="473"/>
        <w:gridCol w:w="456"/>
      </w:tblGrid>
      <w:tr>
        <w:trPr>
          <w:trHeight w:val="340" w:hRule="atLeast"/>
          <w:cantSplit w:val="true"/>
        </w:trPr>
        <w:tc>
          <w:tcPr>
            <w:tcW w:w="603"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386" w:type="dxa"/>
            <w:gridSpan w:val="3"/>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1"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58" w:type="dxa"/>
            <w:gridSpan w:val="5"/>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w:t>
            </w:r>
          </w:p>
          <w:p>
            <w:pPr>
              <w:pStyle w:val="Normal"/>
              <w:jc w:val="center"/>
              <w:rPr>
                <w:rFonts w:ascii="黑体" w:hAnsi="黑体" w:eastAsia="黑体" w:cs="黑体"/>
                <w:szCs w:val="21"/>
              </w:rPr>
            </w:pPr>
            <w:r>
              <w:rPr>
                <w:rFonts w:ascii="黑体" w:hAnsi="黑体" w:cs="黑体" w:eastAsia="黑体"/>
                <w:szCs w:val="21"/>
              </w:rPr>
              <w:t>绩效</w:t>
            </w:r>
          </w:p>
        </w:tc>
        <w:tc>
          <w:tcPr>
            <w:tcW w:w="528"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7"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78"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687"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53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采购业绩</w:t>
            </w:r>
          </w:p>
          <w:p>
            <w:pPr>
              <w:pStyle w:val="Normal"/>
              <w:jc w:val="center"/>
              <w:rPr>
                <w:rFonts w:ascii="黑体" w:hAnsi="黑体" w:eastAsia="黑体" w:cs="黑体"/>
                <w:szCs w:val="21"/>
              </w:rPr>
            </w:pPr>
            <w:r>
              <w:rPr>
                <w:rFonts w:eastAsia="黑体" w:cs="黑体" w:ascii="黑体" w:hAnsi="黑体"/>
                <w:szCs w:val="21"/>
              </w:rPr>
              <w:t>(70%)</w:t>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采购及时性</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szCs w:val="21"/>
              </w:rPr>
              <w:t>20%</w:t>
            </w:r>
          </w:p>
        </w:tc>
        <w:tc>
          <w:tcPr>
            <w:tcW w:w="168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自提出需求</w:t>
            </w:r>
            <w:r>
              <w:rPr>
                <w:rFonts w:eastAsia="黑体" w:cs="黑体" w:ascii="黑体" w:hAnsi="黑体"/>
                <w:szCs w:val="21"/>
              </w:rPr>
              <w:t>7</w:t>
            </w:r>
            <w:r>
              <w:rPr>
                <w:rFonts w:ascii="黑体" w:hAnsi="黑体" w:cs="黑体" w:eastAsia="黑体"/>
                <w:szCs w:val="21"/>
              </w:rPr>
              <w:t>小时</w:t>
            </w:r>
          </w:p>
        </w:tc>
        <w:tc>
          <w:tcPr>
            <w:tcW w:w="253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r>
              <w:rPr>
                <w:rFonts w:ascii="黑体" w:hAnsi="黑体" w:cs="黑体" w:eastAsia="黑体"/>
                <w:szCs w:val="21"/>
              </w:rPr>
              <w:t>小时内完成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每超出</w:t>
            </w:r>
            <w:r>
              <w:rPr>
                <w:rFonts w:eastAsia="黑体" w:cs="黑体" w:ascii="黑体" w:hAnsi="黑体"/>
                <w:szCs w:val="21"/>
              </w:rPr>
              <w:t>1</w:t>
            </w:r>
            <w:r>
              <w:rPr>
                <w:rFonts w:ascii="黑体" w:hAnsi="黑体" w:cs="黑体" w:eastAsia="黑体"/>
                <w:szCs w:val="21"/>
              </w:rPr>
              <w:t>小时扣</w:t>
            </w:r>
            <w:r>
              <w:rPr>
                <w:rFonts w:eastAsia="黑体" w:cs="黑体" w:ascii="黑体" w:hAnsi="黑体"/>
                <w:szCs w:val="21"/>
              </w:rPr>
              <w:t>3</w:t>
            </w:r>
            <w:r>
              <w:rPr>
                <w:rFonts w:ascii="黑体" w:hAnsi="黑体" w:cs="黑体" w:eastAsia="黑体"/>
                <w:szCs w:val="21"/>
              </w:rPr>
              <w:t>分，最低</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资金支付后滞期</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比上一个周期延迟</w:t>
            </w:r>
            <w:r>
              <w:rPr>
                <w:rFonts w:eastAsia="黑体" w:cs="黑体" w:ascii="黑体" w:hAnsi="黑体"/>
                <w:szCs w:val="21"/>
              </w:rPr>
              <w:t>1</w:t>
            </w:r>
            <w:r>
              <w:rPr>
                <w:rFonts w:ascii="黑体" w:hAnsi="黑体" w:cs="黑体" w:eastAsia="黑体"/>
                <w:szCs w:val="21"/>
              </w:rPr>
              <w:t>天以上</w:t>
            </w:r>
          </w:p>
        </w:tc>
        <w:tc>
          <w:tcPr>
            <w:tcW w:w="253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比上一周期延迟</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与上一周期持平</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短于上一周期</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费用节省率</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比上期降低</w:t>
            </w:r>
          </w:p>
        </w:tc>
        <w:tc>
          <w:tcPr>
            <w:tcW w:w="253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比上期降低</w:t>
            </w:r>
            <w:r>
              <w:rPr>
                <w:rFonts w:eastAsia="黑体" w:cs="黑体" w:ascii="黑体" w:hAnsi="黑体"/>
                <w:szCs w:val="21"/>
              </w:rPr>
              <w:t>1%</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与上期持平</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高于上期</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次品率</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7"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w:t>
            </w:r>
            <w:r>
              <w:rPr>
                <w:rFonts w:eastAsia="黑体" w:cs="黑体" w:ascii="黑体" w:hAnsi="黑体"/>
                <w:szCs w:val="21"/>
              </w:rPr>
              <w:t>1%</w:t>
            </w:r>
            <w:r>
              <w:rPr>
                <w:rFonts w:ascii="黑体" w:hAnsi="黑体" w:cs="黑体" w:eastAsia="黑体"/>
                <w:szCs w:val="21"/>
              </w:rPr>
              <w:t>以内</w:t>
            </w:r>
          </w:p>
        </w:tc>
        <w:tc>
          <w:tcPr>
            <w:tcW w:w="2532" w:type="dxa"/>
            <w:tcBorders>
              <w:top w:val="single" w:sz="6" w:space="0" w:color="000000"/>
              <w:start w:val="single" w:sz="6" w:space="0" w:color="000000"/>
              <w:bottom w:val="single" w:sz="4"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 xml:space="preserve">以内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高于</w:t>
            </w:r>
            <w:r>
              <w:rPr>
                <w:rFonts w:eastAsia="黑体" w:cs="黑体" w:ascii="黑体" w:hAnsi="黑体"/>
                <w:szCs w:val="21"/>
              </w:rPr>
              <w:t>1%</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供应商管理</w:t>
            </w:r>
            <w:r>
              <w:rPr>
                <w:rFonts w:eastAsia="黑体" w:cs="黑体" w:ascii="黑体" w:hAnsi="黑体"/>
                <w:szCs w:val="21"/>
              </w:rPr>
              <w:t>(20%)</w:t>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供应商资料库建设</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7"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5</w:t>
            </w:r>
            <w:r>
              <w:rPr>
                <w:rFonts w:ascii="黑体" w:hAnsi="黑体" w:cs="黑体" w:eastAsia="黑体"/>
                <w:szCs w:val="21"/>
              </w:rPr>
              <w:t>号前上交资料，不少于</w:t>
            </w:r>
            <w:r>
              <w:rPr>
                <w:rFonts w:eastAsia="黑体" w:cs="黑体" w:ascii="黑体" w:hAnsi="黑体"/>
                <w:szCs w:val="21"/>
              </w:rPr>
              <w:t>3</w:t>
            </w:r>
            <w:r>
              <w:rPr>
                <w:rFonts w:ascii="黑体" w:hAnsi="黑体" w:cs="黑体" w:eastAsia="黑体"/>
                <w:szCs w:val="21"/>
              </w:rPr>
              <w:t>家新供应商</w:t>
            </w:r>
          </w:p>
        </w:tc>
        <w:tc>
          <w:tcPr>
            <w:tcW w:w="2532"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准时上交，数量超过</w:t>
            </w:r>
            <w:r>
              <w:rPr>
                <w:rFonts w:eastAsia="黑体" w:cs="黑体" w:ascii="黑体" w:hAnsi="黑体"/>
                <w:szCs w:val="21"/>
              </w:rPr>
              <w:t>3</w:t>
            </w:r>
            <w:r>
              <w:rPr>
                <w:rFonts w:ascii="黑体" w:hAnsi="黑体" w:cs="黑体" w:eastAsia="黑体"/>
                <w:szCs w:val="21"/>
              </w:rPr>
              <w:t>家为</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延时上交或数量不足单项为</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两项均未满足为</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供应商意向合作协议书</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行业供应商不低于</w:t>
            </w:r>
            <w:r>
              <w:rPr>
                <w:rFonts w:eastAsia="黑体" w:cs="黑体" w:ascii="黑体" w:hAnsi="黑体"/>
                <w:szCs w:val="21"/>
              </w:rPr>
              <w:t>70%</w:t>
            </w:r>
          </w:p>
        </w:tc>
        <w:tc>
          <w:tcPr>
            <w:tcW w:w="253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行业供应商</w:t>
            </w:r>
            <w:r>
              <w:rPr>
                <w:rFonts w:eastAsia="黑体" w:cs="黑体" w:ascii="黑体" w:hAnsi="黑体"/>
                <w:szCs w:val="21"/>
              </w:rPr>
              <w:t>&gt;70%</w:t>
            </w:r>
            <w:r>
              <w:rPr>
                <w:rFonts w:ascii="黑体" w:hAnsi="黑体" w:cs="黑体" w:eastAsia="黑体"/>
                <w:szCs w:val="21"/>
              </w:rPr>
              <w:t>为</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行业供应商</w:t>
            </w:r>
            <w:r>
              <w:rPr>
                <w:rFonts w:eastAsia="黑体" w:cs="黑体" w:ascii="黑体" w:hAnsi="黑体"/>
                <w:szCs w:val="21"/>
              </w:rPr>
              <w:t>60%-70%</w:t>
            </w:r>
            <w:r>
              <w:rPr>
                <w:rFonts w:ascii="黑体" w:hAnsi="黑体" w:cs="黑体" w:eastAsia="黑体"/>
                <w:szCs w:val="21"/>
              </w:rPr>
              <w:t>为</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行业供应商</w:t>
            </w:r>
            <w:r>
              <w:rPr>
                <w:rFonts w:eastAsia="黑体" w:cs="黑体" w:ascii="黑体" w:hAnsi="黑体"/>
                <w:szCs w:val="21"/>
              </w:rPr>
              <w:t>&lt;60%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58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采购管理</w:t>
            </w:r>
            <w:r>
              <w:rPr>
                <w:rFonts w:eastAsia="黑体" w:cs="黑体" w:ascii="黑体" w:hAnsi="黑体"/>
                <w:szCs w:val="21"/>
              </w:rPr>
              <w:t>(10%)</w:t>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采购分析调查报告</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7"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按标准</w:t>
            </w:r>
            <w:r>
              <w:rPr>
                <w:rFonts w:eastAsia="黑体" w:cs="黑体" w:ascii="黑体" w:hAnsi="黑体"/>
                <w:szCs w:val="21"/>
              </w:rPr>
              <w:t>5</w:t>
            </w:r>
            <w:r>
              <w:rPr>
                <w:rFonts w:ascii="黑体" w:hAnsi="黑体" w:cs="黑体" w:eastAsia="黑体"/>
                <w:szCs w:val="21"/>
              </w:rPr>
              <w:t>号前上交</w:t>
            </w:r>
          </w:p>
        </w:tc>
        <w:tc>
          <w:tcPr>
            <w:tcW w:w="2532"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按标准及时间要求提交</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满足时间或标准任一项</w:t>
            </w:r>
            <w:r>
              <w:rPr>
                <w:rFonts w:eastAsia="黑体" w:cs="黑体" w:ascii="黑体" w:hAnsi="黑体"/>
                <w:szCs w:val="21"/>
              </w:rPr>
              <w:t>3</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两项均不满足</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行情分析</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7"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市场分析</w:t>
            </w:r>
            <w:r>
              <w:rPr>
                <w:rFonts w:eastAsia="黑体" w:cs="黑体" w:ascii="黑体" w:hAnsi="黑体"/>
                <w:szCs w:val="21"/>
              </w:rPr>
              <w:t>5</w:t>
            </w:r>
            <w:r>
              <w:rPr>
                <w:rFonts w:ascii="黑体" w:hAnsi="黑体" w:cs="黑体" w:eastAsia="黑体"/>
                <w:szCs w:val="21"/>
              </w:rPr>
              <w:t>号前上交，并提供规定数据</w:t>
            </w:r>
          </w:p>
        </w:tc>
        <w:tc>
          <w:tcPr>
            <w:tcW w:w="2532"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按标准及时间要求提交</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满足时间或标准任一项</w:t>
            </w:r>
            <w:r>
              <w:rPr>
                <w:rFonts w:eastAsia="黑体" w:cs="黑体" w:ascii="黑体" w:hAnsi="黑体"/>
                <w:szCs w:val="21"/>
              </w:rPr>
              <w:t>3</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两项均不满足</w:t>
            </w:r>
            <w:r>
              <w:rPr>
                <w:rFonts w:eastAsia="黑体" w:cs="黑体" w:ascii="黑体" w:hAnsi="黑体"/>
                <w:szCs w:val="21"/>
              </w:rPr>
              <w:t>0</w:t>
            </w:r>
            <w:r>
              <w:rPr>
                <w:rFonts w:ascii="黑体" w:hAnsi="黑体" w:cs="黑体" w:eastAsia="黑体"/>
                <w:szCs w:val="21"/>
              </w:rPr>
              <w:t>分</w:t>
            </w:r>
          </w:p>
        </w:tc>
        <w:tc>
          <w:tcPr>
            <w:tcW w:w="44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3"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3"/>
            <w:tcBorders>
              <w:top w:val="single" w:sz="6" w:space="0" w:color="000000"/>
              <w:start w:val="single" w:sz="6" w:space="0" w:color="000000"/>
              <w:bottom w:val="single" w:sz="12"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299" w:type="dxa"/>
            <w:gridSpan w:val="7"/>
            <w:tcBorders>
              <w:top w:val="single" w:sz="6" w:space="0" w:color="000000"/>
              <w:start w:val="single" w:sz="6" w:space="0" w:color="000000"/>
              <w:bottom w:val="single" w:sz="12"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bl>
    <w:p>
      <w:pPr>
        <w:pStyle w:val="Normal"/>
        <w:rPr/>
      </w:pPr>
      <w:r>
        <w:rPr/>
      </w:r>
    </w:p>
    <w:p>
      <w:pPr>
        <w:pStyle w:val="Normal"/>
        <w:rPr/>
      </w:pPr>
      <w:r>
        <w:rPr/>
      </w:r>
    </w:p>
    <w:p>
      <w:pPr>
        <w:pStyle w:val="Normal"/>
        <w:rPr/>
      </w:pPr>
      <w:r>
        <w:rPr/>
      </w:r>
    </w:p>
    <w:tbl>
      <w:tblPr>
        <w:tblW w:w="9288" w:type="dxa"/>
        <w:jc w:val="start"/>
        <w:tblInd w:w="0" w:type="dxa"/>
        <w:tblLayout w:type="fixed"/>
        <w:tblCellMar>
          <w:top w:w="0" w:type="dxa"/>
          <w:start w:w="108" w:type="dxa"/>
          <w:bottom w:w="0" w:type="dxa"/>
          <w:end w:w="108" w:type="dxa"/>
        </w:tblCellMar>
      </w:tblPr>
      <w:tblGrid>
        <w:gridCol w:w="603"/>
        <w:gridCol w:w="528"/>
        <w:gridCol w:w="1137"/>
        <w:gridCol w:w="721"/>
        <w:gridCol w:w="3779"/>
        <w:gridCol w:w="1220"/>
        <w:gridCol w:w="426"/>
        <w:gridCol w:w="444"/>
        <w:gridCol w:w="430"/>
      </w:tblGrid>
      <w:tr>
        <w:trPr>
          <w:trHeight w:val="340" w:hRule="atLeast"/>
          <w:cantSplit w:val="true"/>
        </w:trPr>
        <w:tc>
          <w:tcPr>
            <w:tcW w:w="603"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tcBorders>
              <w:top w:val="single" w:sz="12"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137"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721"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7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0" w:type="dxa"/>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3"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13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72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79" w:type="dxa"/>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2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13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慎独</w:t>
            </w:r>
          </w:p>
        </w:tc>
        <w:tc>
          <w:tcPr>
            <w:tcW w:w="72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79" w:type="dxa"/>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级：工作时不做工作无关事宜，迫不得己时才突破标准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级：按制度与工作标准达成结果</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级：没有因为工作质量与业绩扣罚经历</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级：以工作质量为守则，上级是否在场并不重要</w:t>
            </w:r>
          </w:p>
          <w:p>
            <w:pPr>
              <w:pStyle w:val="Normal"/>
              <w:rPr/>
            </w:pPr>
            <w:r>
              <w:rPr>
                <w:rFonts w:eastAsia="黑体" w:cs="黑体" w:ascii="黑体" w:hAnsi="黑体"/>
                <w:color w:val="000000"/>
                <w:szCs w:val="21"/>
              </w:rPr>
              <w:t>5</w:t>
            </w:r>
            <w:r>
              <w:rPr>
                <w:rFonts w:ascii="黑体" w:hAnsi="黑体" w:cs="黑体" w:eastAsia="黑体"/>
                <w:color w:val="000000"/>
                <w:szCs w:val="21"/>
              </w:rPr>
              <w:t>级：认知工作，甘心情愿工作，超出上级期望</w:t>
            </w:r>
          </w:p>
        </w:tc>
        <w:tc>
          <w:tcPr>
            <w:tcW w:w="122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13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人际关系</w:t>
            </w:r>
          </w:p>
        </w:tc>
        <w:tc>
          <w:tcPr>
            <w:tcW w:w="72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79" w:type="dxa"/>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级：接受邀请，维持正常工作关系</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级：建立融洽关系讨论非工作事例</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级：社会交往普遍发生</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级：成为密友并能正当拓展业务</w:t>
            </w:r>
          </w:p>
          <w:p>
            <w:pPr>
              <w:pStyle w:val="Normal"/>
              <w:rPr/>
            </w:pPr>
            <w:r>
              <w:rPr>
                <w:rFonts w:eastAsia="黑体" w:cs="黑体" w:ascii="黑体" w:hAnsi="黑体"/>
                <w:color w:val="000000"/>
                <w:szCs w:val="21"/>
              </w:rPr>
              <w:t>5</w:t>
            </w:r>
            <w:r>
              <w:rPr>
                <w:rFonts w:ascii="黑体" w:hAnsi="黑体" w:cs="黑体" w:eastAsia="黑体"/>
                <w:color w:val="000000"/>
                <w:szCs w:val="21"/>
              </w:rPr>
              <w:t>级：亲和力强，感染不同层次社会伙伴成为战略合作方</w:t>
            </w:r>
          </w:p>
        </w:tc>
        <w:tc>
          <w:tcPr>
            <w:tcW w:w="122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13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21"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79" w:type="dxa"/>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2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299" w:type="dxa"/>
            <w:gridSpan w:val="5"/>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3"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5" w:type="dxa"/>
            <w:gridSpan w:val="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3"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5" w:type="dxa"/>
            <w:gridSpan w:val="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技术部经理考核评分表（月度）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181"/>
        <w:gridCol w:w="521"/>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技术发展</w:t>
            </w:r>
            <w:r>
              <w:rPr>
                <w:rFonts w:eastAsia="黑体" w:cs="黑体" w:ascii="黑体" w:hAnsi="黑体"/>
                <w:szCs w:val="21"/>
              </w:rPr>
              <w:t>70%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技术革新数量</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每月至少一项新技术、新工艺推出</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新技术、新工艺顺利推出，产生效果得</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无推出得</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技术减耗率</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新技术、新工艺所节省的能耗率降低</w:t>
            </w:r>
            <w:r>
              <w:rPr>
                <w:rFonts w:eastAsia="黑体" w:cs="黑体" w:ascii="黑体" w:hAnsi="黑体"/>
                <w:szCs w:val="21"/>
              </w:rPr>
              <w:t>15%</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降低</w:t>
            </w:r>
            <w:r>
              <w:rPr>
                <w:rFonts w:eastAsia="黑体" w:cs="黑体" w:ascii="黑体" w:hAnsi="黑体"/>
                <w:szCs w:val="21"/>
              </w:rPr>
              <w:t>150%</w:t>
            </w:r>
            <w:r>
              <w:rPr>
                <w:rFonts w:ascii="黑体" w:hAnsi="黑体" w:cs="黑体" w:eastAsia="黑体"/>
                <w:szCs w:val="21"/>
              </w:rPr>
              <w:t>以上得</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降低</w:t>
            </w:r>
            <w:r>
              <w:rPr>
                <w:rFonts w:eastAsia="黑体" w:cs="黑体" w:ascii="黑体" w:hAnsi="黑体"/>
                <w:szCs w:val="21"/>
              </w:rPr>
              <w:t>10%</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降低不足</w:t>
            </w:r>
            <w:r>
              <w:rPr>
                <w:rFonts w:eastAsia="黑体" w:cs="黑体" w:ascii="黑体" w:hAnsi="黑体"/>
                <w:szCs w:val="21"/>
              </w:rPr>
              <w:t>5%</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行业调研报告</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号前按要求提交行业技术信息调研报告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按时按质提交得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按时提交，采信率在</w:t>
            </w:r>
            <w:r>
              <w:rPr>
                <w:rFonts w:eastAsia="黑体" w:cs="黑体" w:ascii="黑体" w:hAnsi="黑体"/>
                <w:szCs w:val="21"/>
              </w:rPr>
              <w:t>80%</w:t>
            </w:r>
            <w:r>
              <w:rPr>
                <w:rFonts w:ascii="黑体" w:hAnsi="黑体" w:cs="黑体" w:eastAsia="黑体"/>
                <w:szCs w:val="21"/>
              </w:rPr>
              <w:t>以上得</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延时提交或不予采信得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技术申报</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每季度进行一次新技术申报</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有新技术申报得</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无得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技术培训</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每月开展技术培训</w:t>
            </w:r>
            <w:r>
              <w:rPr>
                <w:rFonts w:eastAsia="黑体" w:cs="黑体" w:ascii="黑体" w:hAnsi="黑体"/>
                <w:szCs w:val="21"/>
              </w:rPr>
              <w:t>20</w:t>
            </w:r>
            <w:r>
              <w:rPr>
                <w:rFonts w:ascii="黑体" w:hAnsi="黑体" w:cs="黑体" w:eastAsia="黑体"/>
                <w:szCs w:val="21"/>
              </w:rPr>
              <w:t>课时</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超过</w:t>
            </w:r>
            <w:r>
              <w:rPr>
                <w:rFonts w:eastAsia="黑体" w:cs="黑体" w:ascii="黑体" w:hAnsi="黑体"/>
                <w:szCs w:val="21"/>
              </w:rPr>
              <w:t>20</w:t>
            </w:r>
            <w:r>
              <w:rPr>
                <w:rFonts w:ascii="黑体" w:hAnsi="黑体" w:cs="黑体" w:eastAsia="黑体"/>
                <w:szCs w:val="21"/>
              </w:rPr>
              <w:t>课时</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超过</w:t>
            </w:r>
            <w:r>
              <w:rPr>
                <w:rFonts w:eastAsia="黑体" w:cs="黑体" w:ascii="黑体" w:hAnsi="黑体"/>
                <w:szCs w:val="21"/>
              </w:rPr>
              <w:t>10</w:t>
            </w:r>
            <w:r>
              <w:rPr>
                <w:rFonts w:ascii="黑体" w:hAnsi="黑体" w:cs="黑体" w:eastAsia="黑体"/>
                <w:szCs w:val="21"/>
              </w:rPr>
              <w:t>课时</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10</w:t>
            </w:r>
            <w:r>
              <w:rPr>
                <w:rFonts w:ascii="黑体" w:hAnsi="黑体" w:cs="黑体" w:eastAsia="黑体"/>
                <w:szCs w:val="21"/>
              </w:rPr>
              <w:t>课时</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技术资料编制</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针对新技术、新工艺编制相应技术文档齐全</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r>
              <w:rPr>
                <w:rFonts w:ascii="黑体" w:hAnsi="黑体" w:cs="黑体" w:eastAsia="黑体"/>
                <w:szCs w:val="21"/>
              </w:rPr>
              <w:t>天内按质完成新技术工艺技术文档编制</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30</w:t>
            </w:r>
            <w:r>
              <w:rPr>
                <w:rFonts w:ascii="黑体" w:hAnsi="黑体" w:cs="黑体" w:eastAsia="黑体"/>
                <w:szCs w:val="21"/>
              </w:rPr>
              <w:t>天内完成</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超过</w:t>
            </w:r>
            <w:r>
              <w:rPr>
                <w:rFonts w:eastAsia="黑体" w:cs="黑体" w:ascii="黑体" w:hAnsi="黑体"/>
                <w:szCs w:val="21"/>
              </w:rPr>
              <w:t>30</w:t>
            </w:r>
            <w:r>
              <w:rPr>
                <w:rFonts w:ascii="黑体" w:hAnsi="黑体" w:cs="黑体" w:eastAsia="黑体"/>
                <w:szCs w:val="21"/>
              </w:rPr>
              <w:t>天或质量不达标</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技术管理</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技术流程体系的建立与完善</w:t>
            </w:r>
          </w:p>
        </w:tc>
        <w:tc>
          <w:tcPr>
            <w:tcW w:w="702"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建立技术管理管理制度、方法、流程</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58"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技术人员培养</w:t>
            </w:r>
          </w:p>
        </w:tc>
        <w:tc>
          <w:tcPr>
            <w:tcW w:w="702"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培养至少</w:t>
            </w:r>
            <w:r>
              <w:rPr>
                <w:rFonts w:eastAsia="黑体" w:cs="黑体" w:ascii="黑体" w:hAnsi="黑体"/>
                <w:szCs w:val="21"/>
              </w:rPr>
              <w:t>3</w:t>
            </w:r>
            <w:r>
              <w:rPr>
                <w:rFonts w:ascii="黑体" w:hAnsi="黑体" w:cs="黑体" w:eastAsia="黑体"/>
                <w:szCs w:val="21"/>
              </w:rPr>
              <w:t>名技术专干</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缺少一人扣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主动性</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创新</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级：对周围事物的关心和兴趣</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级：勤用脑</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级：创造力</w:t>
            </w:r>
            <w:r>
              <w:rPr>
                <w:rFonts w:eastAsia="黑体" w:cs="黑体" w:ascii="黑体" w:hAnsi="黑体"/>
                <w:color w:val="000000"/>
                <w:szCs w:val="21"/>
              </w:rPr>
              <w:t>=</w:t>
            </w:r>
            <w:r>
              <w:rPr>
                <w:rFonts w:ascii="黑体" w:hAnsi="黑体" w:cs="黑体" w:eastAsia="黑体"/>
                <w:color w:val="000000"/>
                <w:szCs w:val="21"/>
              </w:rPr>
              <w:t>综合能力</w:t>
            </w:r>
            <w:r>
              <w:rPr>
                <w:rFonts w:eastAsia="黑体" w:cs="黑体" w:ascii="黑体" w:hAnsi="黑体"/>
                <w:color w:val="000000"/>
                <w:szCs w:val="21"/>
              </w:rPr>
              <w:t>+</w:t>
            </w:r>
            <w:r>
              <w:rPr>
                <w:rFonts w:ascii="黑体" w:hAnsi="黑体" w:cs="黑体" w:eastAsia="黑体"/>
                <w:color w:val="000000"/>
                <w:szCs w:val="21"/>
              </w:rPr>
              <w:t>想象力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级：要唤醒心中的创造潜力</w:t>
            </w:r>
          </w:p>
          <w:p>
            <w:pPr>
              <w:pStyle w:val="Normal"/>
              <w:rPr/>
            </w:pPr>
            <w:r>
              <w:rPr>
                <w:rFonts w:eastAsia="黑体" w:cs="黑体" w:ascii="黑体" w:hAnsi="黑体"/>
                <w:color w:val="000000"/>
                <w:szCs w:val="21"/>
              </w:rPr>
              <w:t>5</w:t>
            </w:r>
            <w:r>
              <w:rPr>
                <w:rFonts w:ascii="黑体" w:hAnsi="黑体" w:cs="黑体" w:eastAsia="黑体"/>
                <w:color w:val="000000"/>
                <w:szCs w:val="21"/>
              </w:rPr>
              <w:t>级：有小设想，奇想妙想，创新方案设计，小发明，科学小论文</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学习力</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级：有学习意识但无行动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级：主动学习</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级：自费学习并得到技能</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级：学习后用于实践</w:t>
            </w:r>
          </w:p>
          <w:p>
            <w:pPr>
              <w:pStyle w:val="Normal"/>
              <w:rPr/>
            </w:pPr>
            <w:r>
              <w:rPr>
                <w:rFonts w:eastAsia="黑体" w:cs="黑体" w:ascii="黑体" w:hAnsi="黑体"/>
                <w:color w:val="000000"/>
                <w:szCs w:val="21"/>
              </w:rPr>
              <w:t>5</w:t>
            </w:r>
            <w:r>
              <w:rPr>
                <w:rFonts w:ascii="黑体" w:hAnsi="黑体" w:cs="黑体" w:eastAsia="黑体"/>
                <w:color w:val="000000"/>
                <w:szCs w:val="21"/>
              </w:rPr>
              <w:t>级：学习后实践并得到良好效果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tcPr>
          <w:p>
            <w:pPr>
              <w:pStyle w:val="Normal"/>
              <w:snapToGrid w:val="false"/>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客服部经理考核评分表（月度）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757"/>
        <w:gridCol w:w="359"/>
        <w:gridCol w:w="361"/>
        <w:gridCol w:w="341"/>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客户服务</w:t>
            </w:r>
          </w:p>
          <w:p>
            <w:pPr>
              <w:pStyle w:val="Normal"/>
              <w:jc w:val="center"/>
              <w:rPr>
                <w:rFonts w:ascii="黑体" w:hAnsi="黑体" w:eastAsia="黑体" w:cs="黑体"/>
                <w:szCs w:val="21"/>
              </w:rPr>
            </w:pPr>
            <w:r>
              <w:rPr>
                <w:rFonts w:eastAsia="黑体" w:cs="黑体" w:ascii="黑体" w:hAnsi="黑体"/>
                <w:szCs w:val="21"/>
              </w:rPr>
              <w:t>60%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客户回访</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所有客户每三月回访一次</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完成所有回访安排</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完成</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完成低于</w:t>
            </w:r>
            <w:r>
              <w:rPr>
                <w:rFonts w:eastAsia="黑体" w:cs="黑体" w:ascii="黑体" w:hAnsi="黑体"/>
                <w:szCs w:val="21"/>
              </w:rPr>
              <w:t>90%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客户投诉处理</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30%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客户投诉在</w:t>
            </w:r>
            <w:r>
              <w:rPr>
                <w:rFonts w:eastAsia="黑体" w:cs="黑体" w:ascii="黑体" w:hAnsi="黑体"/>
                <w:szCs w:val="21"/>
              </w:rPr>
              <w:t>2</w:t>
            </w:r>
            <w:r>
              <w:rPr>
                <w:rFonts w:ascii="黑体" w:hAnsi="黑体" w:cs="黑体" w:eastAsia="黑体"/>
                <w:szCs w:val="21"/>
              </w:rPr>
              <w:t>小时内响应，</w:t>
            </w:r>
            <w:r>
              <w:rPr>
                <w:rFonts w:eastAsia="黑体" w:cs="黑体" w:ascii="黑体" w:hAnsi="黑体"/>
                <w:szCs w:val="21"/>
              </w:rPr>
              <w:t>3</w:t>
            </w:r>
            <w:r>
              <w:rPr>
                <w:rFonts w:ascii="黑体" w:hAnsi="黑体" w:cs="黑体" w:eastAsia="黑体"/>
                <w:szCs w:val="21"/>
              </w:rPr>
              <w:t>个工作日解决，解决率</w:t>
            </w:r>
            <w:r>
              <w:rPr>
                <w:rFonts w:eastAsia="黑体" w:cs="黑体" w:ascii="黑体" w:hAnsi="黑体"/>
                <w:szCs w:val="21"/>
              </w:rPr>
              <w:t>100%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完成所有要求</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任一项没有满足扣</w:t>
            </w:r>
            <w:r>
              <w:rPr>
                <w:rFonts w:eastAsia="黑体" w:cs="黑体" w:ascii="黑体" w:hAnsi="黑体"/>
                <w:szCs w:val="21"/>
              </w:rPr>
              <w:t>10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客户满意度</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分以上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分以上</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w:t>
            </w:r>
            <w:r>
              <w:rPr>
                <w:rFonts w:ascii="黑体" w:hAnsi="黑体" w:cs="黑体" w:eastAsia="黑体"/>
                <w:szCs w:val="21"/>
              </w:rPr>
              <w:t>分</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客服培训</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培训课时</w:t>
            </w:r>
            <w:r>
              <w:rPr>
                <w:rFonts w:eastAsia="黑体" w:cs="黑体" w:ascii="黑体" w:hAnsi="黑体"/>
                <w:szCs w:val="21"/>
              </w:rPr>
              <w:t>10</w:t>
            </w:r>
            <w:r>
              <w:rPr>
                <w:rFonts w:ascii="黑体" w:hAnsi="黑体" w:cs="黑体" w:eastAsia="黑体"/>
                <w:szCs w:val="21"/>
              </w:rPr>
              <w:t>课时以上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培训课时</w:t>
            </w:r>
            <w:r>
              <w:rPr>
                <w:rFonts w:eastAsia="黑体" w:cs="黑体" w:ascii="黑体" w:hAnsi="黑体"/>
                <w:szCs w:val="21"/>
              </w:rPr>
              <w:t>10</w:t>
            </w:r>
            <w:r>
              <w:rPr>
                <w:rFonts w:ascii="黑体" w:hAnsi="黑体" w:cs="黑体" w:eastAsia="黑体"/>
                <w:szCs w:val="21"/>
              </w:rPr>
              <w:t>课时以上</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6</w:t>
            </w:r>
            <w:r>
              <w:rPr>
                <w:rFonts w:ascii="黑体" w:hAnsi="黑体" w:cs="黑体" w:eastAsia="黑体"/>
                <w:szCs w:val="21"/>
              </w:rPr>
              <w:t>课时以上</w:t>
            </w:r>
            <w:r>
              <w:rPr>
                <w:rFonts w:eastAsia="黑体" w:cs="黑体" w:ascii="黑体" w:hAnsi="黑体"/>
                <w:szCs w:val="21"/>
              </w:rPr>
              <w:t>3</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低于</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客服管理</w:t>
            </w:r>
          </w:p>
          <w:p>
            <w:pPr>
              <w:pStyle w:val="Normal"/>
              <w:rPr>
                <w:rFonts w:ascii="黑体" w:hAnsi="黑体" w:eastAsia="黑体" w:cs="黑体"/>
                <w:szCs w:val="21"/>
              </w:rPr>
            </w:pPr>
            <w:r>
              <w:rPr>
                <w:rFonts w:eastAsia="黑体" w:cs="黑体" w:ascii="黑体" w:hAnsi="黑体"/>
                <w:szCs w:val="21"/>
              </w:rPr>
              <w:t>30%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客服流程体系的建立与完善</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w:t>
            </w:r>
            <w:r>
              <w:rPr>
                <w:rFonts w:eastAsia="黑体" w:cs="黑体" w:ascii="黑体" w:hAnsi="黑体"/>
                <w:szCs w:val="21"/>
              </w:rPr>
              <w:t>CRM</w:t>
            </w:r>
            <w:r>
              <w:rPr>
                <w:rFonts w:ascii="黑体" w:hAnsi="黑体" w:cs="黑体" w:eastAsia="黑体"/>
                <w:szCs w:val="21"/>
              </w:rPr>
              <w:t>信息系统、培养客服管理制度、方法、流程</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客户信息管理</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客户信息资料齐整，无错漏</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错漏在</w:t>
            </w:r>
            <w:r>
              <w:rPr>
                <w:rFonts w:eastAsia="黑体" w:cs="黑体" w:ascii="黑体" w:hAnsi="黑体"/>
                <w:szCs w:val="21"/>
              </w:rPr>
              <w:t>3%</w:t>
            </w:r>
            <w:r>
              <w:rPr>
                <w:rFonts w:ascii="黑体" w:hAnsi="黑体" w:cs="黑体" w:eastAsia="黑体"/>
                <w:szCs w:val="21"/>
              </w:rPr>
              <w:t>以内</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错漏超过</w:t>
            </w:r>
            <w:r>
              <w:rPr>
                <w:rFonts w:eastAsia="黑体" w:cs="黑体" w:ascii="黑体" w:hAnsi="黑体"/>
                <w:szCs w:val="21"/>
              </w:rPr>
              <w:t>3%</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孤儿客户管理</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销售额</w:t>
            </w:r>
          </w:p>
        </w:tc>
        <w:tc>
          <w:tcPr>
            <w:tcW w:w="702"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销售收入不低于去年同期</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销售收入超过同期</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低于同期</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58"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流失数</w:t>
            </w:r>
          </w:p>
        </w:tc>
        <w:tc>
          <w:tcPr>
            <w:tcW w:w="702"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不产生孤儿客户流失</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不流失</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流失</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主动性</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以客户为中心</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级：提供必要服务</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级：迅速而不可分辩解决客户需求</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级：找出客户深层次（真实）需求并提供相应产品服力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级：成为客户信赖对象，并维护组织利益下影响客户决策</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级：维护客户利益，而促进长远组织利益</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服务细致</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完成公司</w:t>
            </w:r>
            <w:r>
              <w:rPr>
                <w:rFonts w:eastAsia="黑体" w:cs="黑体" w:ascii="黑体" w:hAnsi="黑体"/>
                <w:bCs/>
                <w:color w:val="000000"/>
                <w:szCs w:val="21"/>
              </w:rPr>
              <w:t>KPI</w:t>
            </w:r>
            <w:r>
              <w:rPr>
                <w:rFonts w:ascii="黑体" w:hAnsi="黑体" w:cs="黑体" w:eastAsia="黑体"/>
                <w:bCs/>
                <w:color w:val="000000"/>
                <w:szCs w:val="21"/>
              </w:rPr>
              <w:t>服务流程</w:t>
            </w:r>
          </w:p>
          <w:p>
            <w:pPr>
              <w:pStyle w:val="Normal"/>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主动性问询服务性问题</w:t>
            </w:r>
          </w:p>
          <w:p>
            <w:pPr>
              <w:pStyle w:val="Normal"/>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无客户性投诉的流程执行</w:t>
            </w:r>
          </w:p>
          <w:p>
            <w:pPr>
              <w:pStyle w:val="Normal"/>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适用性全面服务与实诚性服务</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能给客户带来意想不到的服务知识与感受</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027"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660" w:type="dxa"/>
            <w:gridSpan w:val="14"/>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人力资源部经理考核评分表（月度）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50%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招聘达成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提出招聘需求</w:t>
            </w:r>
            <w:r>
              <w:rPr>
                <w:rFonts w:eastAsia="黑体" w:cs="黑体" w:ascii="黑体" w:hAnsi="黑体"/>
                <w:szCs w:val="21"/>
              </w:rPr>
              <w:t>20</w:t>
            </w:r>
            <w:r>
              <w:rPr>
                <w:rFonts w:ascii="黑体" w:hAnsi="黑体" w:cs="黑体" w:eastAsia="黑体"/>
                <w:szCs w:val="21"/>
              </w:rPr>
              <w:t>天内完成，完成需招聘岗位数量</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在规定时间内完成人员到岗</w:t>
            </w:r>
            <w:r>
              <w:rPr>
                <w:rFonts w:eastAsia="黑体" w:cs="黑体" w:ascii="黑体" w:hAnsi="黑体"/>
                <w:szCs w:val="21"/>
              </w:rPr>
              <w:t>90%</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在规定时间内完成人员到岗</w:t>
            </w:r>
            <w:r>
              <w:rPr>
                <w:rFonts w:eastAsia="黑体" w:cs="黑体" w:ascii="黑体" w:hAnsi="黑体"/>
                <w:szCs w:val="21"/>
              </w:rPr>
              <w:t>85%</w:t>
            </w:r>
            <w:r>
              <w:rPr>
                <w:rFonts w:ascii="黑体" w:hAnsi="黑体" w:cs="黑体" w:eastAsia="黑体"/>
                <w:szCs w:val="21"/>
              </w:rPr>
              <w:t>以上得</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其余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劳动纠纷解决</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劳动纠纷在第一时间解决，不扩大事端</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劳动纠纷解决率</w:t>
            </w:r>
            <w:r>
              <w:rPr>
                <w:rFonts w:eastAsia="黑体" w:cs="黑体" w:ascii="黑体" w:hAnsi="黑体"/>
                <w:szCs w:val="21"/>
              </w:rPr>
              <w:t>100%</w:t>
            </w:r>
            <w:r>
              <w:rPr>
                <w:rFonts w:ascii="黑体" w:hAnsi="黑体" w:cs="黑体" w:eastAsia="黑体"/>
                <w:szCs w:val="21"/>
              </w:rPr>
              <w:t>，未发生劳动仲裁</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发生劳动仲裁事件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培训完成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按培训计划组织人员培训</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培训计划实现率在</w:t>
            </w:r>
            <w:r>
              <w:rPr>
                <w:rFonts w:eastAsia="黑体" w:cs="黑体" w:ascii="黑体" w:hAnsi="黑体"/>
                <w:szCs w:val="21"/>
              </w:rPr>
              <w:t>90%</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培训计划实现率在</w:t>
            </w:r>
            <w:r>
              <w:rPr>
                <w:rFonts w:eastAsia="黑体" w:cs="黑体" w:ascii="黑体" w:hAnsi="黑体"/>
                <w:szCs w:val="21"/>
              </w:rPr>
              <w:t>80%-90%</w:t>
            </w:r>
            <w:r>
              <w:rPr>
                <w:rFonts w:ascii="黑体" w:hAnsi="黑体" w:cs="黑体" w:eastAsia="黑体"/>
                <w:szCs w:val="21"/>
              </w:rPr>
              <w:t>得</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培训计划实现率</w:t>
            </w:r>
            <w:r>
              <w:rPr>
                <w:rFonts w:eastAsia="黑体" w:cs="黑体" w:ascii="黑体" w:hAnsi="黑体"/>
                <w:szCs w:val="21"/>
              </w:rPr>
              <w:t>&lt;80%</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绩效薪资计算</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号前提交，无差错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按时提交，准确率</w:t>
            </w:r>
            <w:r>
              <w:rPr>
                <w:rFonts w:eastAsia="黑体" w:cs="黑体" w:ascii="黑体" w:hAnsi="黑体"/>
                <w:szCs w:val="21"/>
              </w:rPr>
              <w:t>100%10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延时提交或出错</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员工奖惩处理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按制度执行，公平公正</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按公司制度执行，员工普遍接受得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出现员工重大投诉事件或违章处理事件得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30%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人力资源报告</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27</w:t>
            </w:r>
            <w:r>
              <w:rPr>
                <w:rFonts w:ascii="黑体" w:hAnsi="黑体" w:cs="黑体" w:eastAsia="黑体"/>
                <w:szCs w:val="21"/>
              </w:rPr>
              <w:t>日前按质提交</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按时提交，采信度在</w:t>
            </w:r>
            <w:r>
              <w:rPr>
                <w:rFonts w:eastAsia="黑体" w:cs="黑体" w:ascii="黑体" w:hAnsi="黑体"/>
                <w:szCs w:val="21"/>
              </w:rPr>
              <w:t>90%</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按时提交，采信度在</w:t>
            </w:r>
            <w:r>
              <w:rPr>
                <w:rFonts w:eastAsia="黑体" w:cs="黑体" w:ascii="黑体" w:hAnsi="黑体"/>
                <w:szCs w:val="21"/>
              </w:rPr>
              <w:t>80%</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延时提交或采信度低于</w:t>
            </w:r>
            <w:r>
              <w:rPr>
                <w:rFonts w:eastAsia="黑体" w:cs="黑体" w:ascii="黑体" w:hAnsi="黑体"/>
                <w:szCs w:val="21"/>
              </w:rPr>
              <w:t>80%</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工作分析</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完成各岗位工作分析，形成工作说明书</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完成所有岗位工作分析得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w:t>
            </w:r>
            <w:r>
              <w:rPr>
                <w:rFonts w:eastAsia="黑体" w:cs="黑体" w:ascii="黑体" w:hAnsi="黑体"/>
                <w:szCs w:val="21"/>
              </w:rPr>
              <w:t>90%</w:t>
            </w:r>
            <w:r>
              <w:rPr>
                <w:rFonts w:ascii="黑体" w:hAnsi="黑体" w:cs="黑体" w:eastAsia="黑体"/>
                <w:szCs w:val="21"/>
              </w:rPr>
              <w:t>以上岗位工作分析得</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90%</w:t>
            </w:r>
            <w:r>
              <w:rPr>
                <w:rFonts w:ascii="黑体" w:hAnsi="黑体" w:cs="黑体" w:eastAsia="黑体"/>
                <w:szCs w:val="21"/>
              </w:rPr>
              <w:t>岗位工作分析完成得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员工关系管理</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员工日常关系维护，职业生涯规划</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员工流失率低于同期得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员工流失率基本与同期持平得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员工流失率低于同期得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9</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p>
            <w:pPr>
              <w:pStyle w:val="Normal"/>
              <w:jc w:val="center"/>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新员工培养</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对新员工开展培训、帮助新员工渡过试用期</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新员工试用通过率在</w:t>
            </w:r>
            <w:r>
              <w:rPr>
                <w:rFonts w:eastAsia="黑体" w:cs="黑体" w:ascii="黑体" w:hAnsi="黑体"/>
                <w:szCs w:val="21"/>
              </w:rPr>
              <w:t>90%</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新员工试用通过率在</w:t>
            </w:r>
            <w:r>
              <w:rPr>
                <w:rFonts w:eastAsia="黑体" w:cs="黑体" w:ascii="黑体" w:hAnsi="黑体"/>
                <w:szCs w:val="21"/>
              </w:rPr>
              <w:t>85%</w:t>
            </w:r>
            <w:r>
              <w:rPr>
                <w:rFonts w:ascii="黑体" w:hAnsi="黑体" w:cs="黑体" w:eastAsia="黑体"/>
                <w:szCs w:val="21"/>
              </w:rPr>
              <w:t>以上得</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新员工试用通过率低于</w:t>
            </w:r>
            <w:r>
              <w:rPr>
                <w:rFonts w:eastAsia="黑体" w:cs="黑体" w:ascii="黑体" w:hAnsi="黑体"/>
                <w:szCs w:val="21"/>
              </w:rPr>
              <w:t>85%</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91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人力资源专业人才培养</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培养主管</w:t>
            </w:r>
            <w:r>
              <w:rPr>
                <w:rFonts w:eastAsia="黑体" w:cs="黑体" w:ascii="黑体" w:hAnsi="黑体"/>
                <w:szCs w:val="21"/>
              </w:rPr>
              <w:t>2</w:t>
            </w:r>
            <w:r>
              <w:rPr>
                <w:rFonts w:ascii="黑体" w:hAnsi="黑体" w:cs="黑体" w:eastAsia="黑体"/>
                <w:szCs w:val="21"/>
              </w:rPr>
              <w:t>名</w:t>
            </w:r>
          </w:p>
          <w:p>
            <w:pPr>
              <w:pStyle w:val="Normal"/>
              <w:jc w:val="center"/>
              <w:rPr>
                <w:rFonts w:ascii="黑体" w:hAnsi="黑体" w:eastAsia="黑体" w:cs="黑体"/>
                <w:szCs w:val="21"/>
              </w:rPr>
            </w:pPr>
            <w:r>
              <w:rPr>
                <w:rFonts w:ascii="黑体" w:hAnsi="黑体" w:cs="黑体" w:eastAsia="黑体"/>
                <w:szCs w:val="21"/>
              </w:rPr>
              <w:t>专员</w:t>
            </w:r>
            <w:r>
              <w:rPr>
                <w:rFonts w:eastAsia="黑体" w:cs="黑体" w:ascii="黑体" w:hAnsi="黑体"/>
                <w:szCs w:val="21"/>
              </w:rPr>
              <w:t>2</w:t>
            </w:r>
            <w:r>
              <w:rPr>
                <w:rFonts w:ascii="黑体" w:hAnsi="黑体" w:cs="黑体" w:eastAsia="黑体"/>
                <w:szCs w:val="21"/>
              </w:rPr>
              <w:t>名</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缺少一名扣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团队精神</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级：大方传播必要信息助于别人成长或工作</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级：与别人合作不会发生情绪上隔阂，总能让每一位员工参与会议的讨论（目标，决策）</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级：总能选择最佳赞誉方式并授权准确</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级：亲自或协同解决冲突并有好效果</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级：所处团队成员执行工作氛围良好</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生产部经理考核评分表（月度）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397"/>
        <w:gridCol w:w="180"/>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5"/>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4"/>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693"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4"/>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生产成本和质量控制</w:t>
            </w:r>
          </w:p>
          <w:p>
            <w:pPr>
              <w:pStyle w:val="Normal"/>
              <w:jc w:val="center"/>
              <w:rPr>
                <w:rFonts w:ascii="黑体" w:hAnsi="黑体" w:eastAsia="黑体" w:cs="黑体"/>
                <w:szCs w:val="21"/>
              </w:rPr>
            </w:pPr>
            <w:r>
              <w:rPr>
                <w:rFonts w:eastAsia="黑体" w:cs="黑体" w:ascii="黑体" w:hAnsi="黑体"/>
                <w:szCs w:val="21"/>
              </w:rPr>
              <w:t>70%</w:t>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生产原材料成本控制</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原材料成本控制在总生产成本的</w:t>
            </w:r>
            <w:r>
              <w:rPr>
                <w:rFonts w:eastAsia="黑体" w:cs="黑体" w:ascii="黑体" w:hAnsi="黑体"/>
                <w:szCs w:val="21"/>
              </w:rPr>
              <w:t>25%</w:t>
            </w:r>
            <w:r>
              <w:rPr>
                <w:rFonts w:ascii="黑体" w:hAnsi="黑体" w:cs="黑体" w:eastAsia="黑体"/>
                <w:szCs w:val="21"/>
              </w:rPr>
              <w:t>以内</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numPr>
                <w:ilvl w:val="0"/>
                <w:numId w:val="4"/>
              </w:numPr>
              <w:jc w:val="center"/>
              <w:rPr>
                <w:rFonts w:ascii="黑体" w:hAnsi="黑体" w:eastAsia="黑体" w:cs="宋体"/>
                <w:szCs w:val="21"/>
              </w:rPr>
            </w:pPr>
            <w:r>
              <w:rPr>
                <w:rFonts w:ascii="黑体" w:hAnsi="黑体" w:cs="宋体" w:eastAsia="黑体"/>
                <w:szCs w:val="21"/>
              </w:rPr>
              <w:t>生产原材料成本控制率在</w:t>
            </w:r>
            <w:r>
              <w:rPr>
                <w:rFonts w:eastAsia="黑体" w:cs="宋体" w:ascii="黑体" w:hAnsi="黑体"/>
                <w:szCs w:val="21"/>
              </w:rPr>
              <w:t>25%</w:t>
            </w:r>
            <w:r>
              <w:rPr>
                <w:rFonts w:ascii="黑体" w:hAnsi="黑体" w:cs="宋体" w:eastAsia="黑体"/>
                <w:szCs w:val="21"/>
              </w:rPr>
              <w:t>以内得</w:t>
            </w:r>
            <w:r>
              <w:rPr>
                <w:rFonts w:eastAsia="黑体" w:cs="宋体" w:ascii="黑体" w:hAnsi="黑体"/>
                <w:szCs w:val="21"/>
              </w:rPr>
              <w:t>10</w:t>
            </w:r>
            <w:r>
              <w:rPr>
                <w:rFonts w:ascii="黑体" w:hAnsi="黑体" w:cs="宋体" w:eastAsia="黑体"/>
                <w:szCs w:val="21"/>
              </w:rPr>
              <w:t>分</w:t>
            </w:r>
          </w:p>
          <w:p>
            <w:pPr>
              <w:pStyle w:val="Normal"/>
              <w:numPr>
                <w:ilvl w:val="0"/>
                <w:numId w:val="4"/>
              </w:numPr>
              <w:jc w:val="center"/>
              <w:rPr>
                <w:rFonts w:ascii="黑体" w:hAnsi="黑体" w:eastAsia="黑体" w:cs="宋体"/>
                <w:szCs w:val="21"/>
              </w:rPr>
            </w:pPr>
            <w:r>
              <w:rPr>
                <w:rFonts w:ascii="黑体" w:hAnsi="黑体" w:cs="宋体" w:eastAsia="黑体"/>
                <w:szCs w:val="21"/>
              </w:rPr>
              <w:t>生产原材料成本控制率在</w:t>
            </w:r>
            <w:r>
              <w:rPr>
                <w:rFonts w:eastAsia="黑体" w:cs="宋体" w:ascii="黑体" w:hAnsi="黑体"/>
                <w:szCs w:val="21"/>
              </w:rPr>
              <w:t>30%</w:t>
            </w:r>
            <w:r>
              <w:rPr>
                <w:rFonts w:ascii="黑体" w:hAnsi="黑体" w:cs="宋体" w:eastAsia="黑体"/>
                <w:szCs w:val="21"/>
              </w:rPr>
              <w:t>以内得</w:t>
            </w:r>
            <w:r>
              <w:rPr>
                <w:rFonts w:eastAsia="黑体" w:cs="宋体" w:ascii="黑体" w:hAnsi="黑体"/>
                <w:szCs w:val="21"/>
              </w:rPr>
              <w:t>5</w:t>
            </w:r>
            <w:r>
              <w:rPr>
                <w:rFonts w:ascii="黑体" w:hAnsi="黑体" w:cs="宋体" w:eastAsia="黑体"/>
                <w:szCs w:val="21"/>
              </w:rPr>
              <w:t>分</w:t>
            </w:r>
          </w:p>
          <w:p>
            <w:pPr>
              <w:pStyle w:val="Normal"/>
              <w:numPr>
                <w:ilvl w:val="0"/>
                <w:numId w:val="4"/>
              </w:numPr>
              <w:jc w:val="center"/>
              <w:rPr>
                <w:rFonts w:ascii="黑体" w:hAnsi="黑体" w:eastAsia="黑体" w:cs="宋体"/>
                <w:szCs w:val="21"/>
              </w:rPr>
            </w:pPr>
            <w:r>
              <w:rPr>
                <w:rFonts w:ascii="黑体" w:hAnsi="黑体" w:cs="宋体" w:eastAsia="黑体"/>
                <w:szCs w:val="21"/>
              </w:rPr>
              <w:t>生产原材料成本控制率在</w:t>
            </w:r>
            <w:r>
              <w:rPr>
                <w:rFonts w:eastAsia="黑体" w:cs="宋体" w:ascii="黑体" w:hAnsi="黑体"/>
                <w:szCs w:val="21"/>
              </w:rPr>
              <w:t>30%</w:t>
            </w:r>
            <w:r>
              <w:rPr>
                <w:rFonts w:ascii="黑体" w:hAnsi="黑体" w:cs="宋体" w:eastAsia="黑体"/>
                <w:szCs w:val="21"/>
              </w:rPr>
              <w:t>以上得</w:t>
            </w:r>
            <w:r>
              <w:rPr>
                <w:rFonts w:eastAsia="黑体" w:cs="宋体" w:ascii="黑体" w:hAnsi="黑体"/>
                <w:szCs w:val="21"/>
              </w:rPr>
              <w:t>0</w:t>
            </w:r>
            <w:r>
              <w:rPr>
                <w:rFonts w:ascii="黑体" w:hAnsi="黑体" w:cs="宋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生产原材料次品率</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原材料次品率不超过</w:t>
            </w:r>
            <w:r>
              <w:rPr>
                <w:rFonts w:eastAsia="黑体" w:cs="宋体" w:ascii="黑体" w:hAnsi="黑体"/>
                <w:szCs w:val="21"/>
              </w:rPr>
              <w:t>5‰</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numPr>
                <w:ilvl w:val="0"/>
                <w:numId w:val="10"/>
              </w:numPr>
              <w:jc w:val="center"/>
              <w:rPr>
                <w:rFonts w:ascii="黑体" w:hAnsi="黑体" w:eastAsia="黑体" w:cs="宋体"/>
                <w:szCs w:val="21"/>
              </w:rPr>
            </w:pPr>
            <w:r>
              <w:rPr>
                <w:rFonts w:ascii="黑体" w:hAnsi="黑体" w:cs="宋体" w:eastAsia="黑体"/>
                <w:szCs w:val="21"/>
              </w:rPr>
              <w:t>生产原材料次品率为</w:t>
            </w:r>
            <w:r>
              <w:rPr>
                <w:rFonts w:eastAsia="黑体" w:cs="宋体" w:ascii="黑体" w:hAnsi="黑体"/>
                <w:szCs w:val="21"/>
              </w:rPr>
              <w:t>5‰</w:t>
            </w:r>
            <w:r>
              <w:rPr>
                <w:rFonts w:ascii="黑体" w:hAnsi="黑体" w:cs="宋体" w:eastAsia="黑体"/>
                <w:szCs w:val="21"/>
              </w:rPr>
              <w:t>以内得</w:t>
            </w:r>
            <w:r>
              <w:rPr>
                <w:rFonts w:eastAsia="黑体" w:cs="宋体" w:ascii="黑体" w:hAnsi="黑体"/>
                <w:szCs w:val="21"/>
              </w:rPr>
              <w:t>10</w:t>
            </w:r>
            <w:r>
              <w:rPr>
                <w:rFonts w:ascii="黑体" w:hAnsi="黑体" w:cs="宋体" w:eastAsia="黑体"/>
                <w:szCs w:val="21"/>
              </w:rPr>
              <w:t>分</w:t>
            </w:r>
          </w:p>
          <w:p>
            <w:pPr>
              <w:pStyle w:val="Normal"/>
              <w:numPr>
                <w:ilvl w:val="0"/>
                <w:numId w:val="10"/>
              </w:numPr>
              <w:jc w:val="center"/>
              <w:rPr>
                <w:rFonts w:ascii="黑体" w:hAnsi="黑体" w:eastAsia="黑体" w:cs="宋体"/>
                <w:szCs w:val="21"/>
              </w:rPr>
            </w:pPr>
            <w:r>
              <w:rPr>
                <w:rFonts w:ascii="黑体" w:hAnsi="黑体" w:cs="宋体" w:eastAsia="黑体"/>
                <w:szCs w:val="21"/>
              </w:rPr>
              <w:t>生产原材料次品率为</w:t>
            </w:r>
            <w:r>
              <w:rPr>
                <w:rFonts w:eastAsia="黑体" w:cs="宋体" w:ascii="黑体" w:hAnsi="黑体"/>
                <w:szCs w:val="21"/>
              </w:rPr>
              <w:t>6‰</w:t>
            </w:r>
            <w:r>
              <w:rPr>
                <w:rFonts w:ascii="黑体" w:hAnsi="黑体" w:cs="宋体" w:eastAsia="黑体"/>
                <w:szCs w:val="21"/>
              </w:rPr>
              <w:t>得</w:t>
            </w:r>
            <w:r>
              <w:rPr>
                <w:rFonts w:eastAsia="黑体" w:cs="宋体" w:ascii="黑体" w:hAnsi="黑体"/>
                <w:szCs w:val="21"/>
              </w:rPr>
              <w:t>5</w:t>
            </w:r>
            <w:r>
              <w:rPr>
                <w:rFonts w:ascii="黑体" w:hAnsi="黑体" w:cs="宋体" w:eastAsia="黑体"/>
                <w:szCs w:val="21"/>
              </w:rPr>
              <w:t>分</w:t>
            </w:r>
          </w:p>
          <w:p>
            <w:pPr>
              <w:pStyle w:val="Normal"/>
              <w:numPr>
                <w:ilvl w:val="0"/>
                <w:numId w:val="10"/>
              </w:numPr>
              <w:jc w:val="center"/>
              <w:rPr>
                <w:rFonts w:ascii="黑体" w:hAnsi="黑体" w:eastAsia="黑体" w:cs="宋体"/>
                <w:szCs w:val="21"/>
              </w:rPr>
            </w:pPr>
            <w:r>
              <w:rPr>
                <w:rFonts w:ascii="黑体" w:hAnsi="黑体" w:cs="宋体" w:eastAsia="黑体"/>
                <w:szCs w:val="21"/>
              </w:rPr>
              <w:t>生产原材料次品率超过</w:t>
            </w:r>
            <w:r>
              <w:rPr>
                <w:rFonts w:eastAsia="黑体" w:cs="宋体" w:ascii="黑体" w:hAnsi="黑体"/>
                <w:szCs w:val="21"/>
              </w:rPr>
              <w:t>6‰</w:t>
            </w:r>
            <w:r>
              <w:rPr>
                <w:rFonts w:ascii="黑体" w:hAnsi="黑体" w:cs="宋体" w:eastAsia="黑体"/>
                <w:szCs w:val="21"/>
              </w:rPr>
              <w:t>得</w:t>
            </w:r>
            <w:r>
              <w:rPr>
                <w:rFonts w:eastAsia="黑体" w:cs="宋体" w:ascii="黑体" w:hAnsi="黑体"/>
                <w:szCs w:val="21"/>
              </w:rPr>
              <w:t>0</w:t>
            </w:r>
            <w:r>
              <w:rPr>
                <w:rFonts w:ascii="黑体" w:hAnsi="黑体" w:cs="宋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生产总成本控制</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生产总成本较同期降低</w:t>
            </w:r>
            <w:r>
              <w:rPr>
                <w:rFonts w:eastAsia="黑体" w:cs="宋体" w:ascii="黑体" w:hAnsi="黑体"/>
                <w:szCs w:val="21"/>
              </w:rPr>
              <w:t>1‰</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宋体"/>
                <w:szCs w:val="21"/>
              </w:rPr>
            </w:pPr>
            <w:r>
              <w:rPr>
                <w:rFonts w:eastAsia="黑体" w:cs="宋体" w:ascii="黑体" w:hAnsi="黑体"/>
                <w:szCs w:val="21"/>
              </w:rPr>
              <w:t>A</w:t>
            </w:r>
            <w:r>
              <w:rPr>
                <w:rFonts w:ascii="黑体" w:hAnsi="黑体" w:cs="宋体" w:eastAsia="黑体"/>
                <w:szCs w:val="21"/>
              </w:rPr>
              <w:t>）生产成本降低率大于</w:t>
            </w:r>
            <w:r>
              <w:rPr>
                <w:rFonts w:eastAsia="黑体" w:cs="宋体" w:ascii="黑体" w:hAnsi="黑体"/>
                <w:szCs w:val="21"/>
              </w:rPr>
              <w:t>1‰</w:t>
            </w:r>
            <w:r>
              <w:rPr>
                <w:rFonts w:ascii="黑体" w:hAnsi="黑体" w:cs="宋体" w:eastAsia="黑体"/>
                <w:szCs w:val="21"/>
              </w:rPr>
              <w:t>得</w:t>
            </w:r>
            <w:r>
              <w:rPr>
                <w:rFonts w:eastAsia="黑体" w:cs="宋体" w:ascii="黑体" w:hAnsi="黑体"/>
                <w:szCs w:val="21"/>
              </w:rPr>
              <w:t>20</w:t>
            </w:r>
            <w:r>
              <w:rPr>
                <w:rFonts w:ascii="黑体" w:hAnsi="黑体" w:cs="宋体" w:eastAsia="黑体"/>
                <w:szCs w:val="21"/>
              </w:rPr>
              <w:t>分</w:t>
            </w:r>
          </w:p>
          <w:p>
            <w:pPr>
              <w:pStyle w:val="Normal"/>
              <w:jc w:val="center"/>
              <w:rPr>
                <w:rFonts w:ascii="黑体" w:hAnsi="黑体" w:eastAsia="黑体" w:cs="宋体"/>
                <w:szCs w:val="21"/>
              </w:rPr>
            </w:pPr>
            <w:r>
              <w:rPr>
                <w:rFonts w:eastAsia="黑体" w:cs="宋体" w:ascii="黑体" w:hAnsi="黑体"/>
                <w:szCs w:val="21"/>
              </w:rPr>
              <w:t>B</w:t>
            </w:r>
            <w:r>
              <w:rPr>
                <w:rFonts w:ascii="黑体" w:hAnsi="黑体" w:cs="宋体" w:eastAsia="黑体"/>
                <w:szCs w:val="21"/>
              </w:rPr>
              <w:t>）生产成本降低度</w:t>
            </w:r>
            <w:r>
              <w:rPr>
                <w:rFonts w:eastAsia="黑体" w:cs="宋体" w:ascii="黑体" w:hAnsi="黑体"/>
                <w:szCs w:val="21"/>
              </w:rPr>
              <w:t>1‰</w:t>
            </w:r>
            <w:r>
              <w:rPr>
                <w:rFonts w:ascii="黑体" w:hAnsi="黑体" w:cs="宋体" w:eastAsia="黑体"/>
                <w:szCs w:val="21"/>
              </w:rPr>
              <w:t>得</w:t>
            </w:r>
            <w:r>
              <w:rPr>
                <w:rFonts w:eastAsia="黑体" w:cs="宋体" w:ascii="黑体" w:hAnsi="黑体"/>
                <w:szCs w:val="21"/>
              </w:rPr>
              <w:t>10</w:t>
            </w:r>
            <w:r>
              <w:rPr>
                <w:rFonts w:ascii="黑体" w:hAnsi="黑体" w:cs="宋体" w:eastAsia="黑体"/>
                <w:szCs w:val="21"/>
              </w:rPr>
              <w:t>分</w:t>
            </w:r>
          </w:p>
          <w:p>
            <w:pPr>
              <w:pStyle w:val="Normal"/>
              <w:jc w:val="center"/>
              <w:rPr>
                <w:rFonts w:ascii="黑体" w:hAnsi="黑体" w:eastAsia="黑体" w:cs="宋体"/>
                <w:szCs w:val="21"/>
              </w:rPr>
            </w:pPr>
            <w:r>
              <w:rPr>
                <w:rFonts w:eastAsia="黑体" w:cs="宋体" w:ascii="黑体" w:hAnsi="黑体"/>
                <w:szCs w:val="21"/>
              </w:rPr>
              <w:t>C</w:t>
            </w:r>
            <w:r>
              <w:rPr>
                <w:rFonts w:ascii="黑体" w:hAnsi="黑体" w:cs="宋体" w:eastAsia="黑体"/>
                <w:szCs w:val="21"/>
              </w:rPr>
              <w:t>）生产总成本未降低或超出预算得</w:t>
            </w:r>
            <w:r>
              <w:rPr>
                <w:rFonts w:eastAsia="黑体" w:cs="宋体" w:ascii="黑体" w:hAnsi="黑体"/>
                <w:szCs w:val="21"/>
              </w:rPr>
              <w:t>0</w:t>
            </w:r>
            <w:r>
              <w:rPr>
                <w:rFonts w:ascii="黑体" w:hAnsi="黑体" w:cs="宋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生产合格率</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生产合格率为</w:t>
            </w:r>
            <w:r>
              <w:rPr>
                <w:rFonts w:eastAsia="黑体" w:cs="黑体" w:ascii="黑体" w:hAnsi="黑体"/>
                <w:szCs w:val="21"/>
              </w:rPr>
              <w:t>99%</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numPr>
                <w:ilvl w:val="0"/>
                <w:numId w:val="6"/>
              </w:numPr>
              <w:rPr>
                <w:rFonts w:ascii="黑体" w:hAnsi="黑体" w:eastAsia="黑体" w:cs="黑体"/>
                <w:szCs w:val="21"/>
              </w:rPr>
            </w:pPr>
            <w:r>
              <w:rPr>
                <w:rFonts w:ascii="黑体" w:hAnsi="黑体" w:cs="黑体" w:eastAsia="黑体"/>
                <w:szCs w:val="21"/>
              </w:rPr>
              <w:t>生产合格率大于</w:t>
            </w:r>
            <w:r>
              <w:rPr>
                <w:rFonts w:eastAsia="黑体" w:cs="黑体" w:ascii="黑体" w:hAnsi="黑体"/>
                <w:szCs w:val="21"/>
              </w:rPr>
              <w:t>99%</w:t>
            </w:r>
            <w:r>
              <w:rPr>
                <w:rFonts w:ascii="黑体" w:hAnsi="黑体" w:cs="黑体" w:eastAsia="黑体"/>
                <w:szCs w:val="21"/>
              </w:rPr>
              <w:t>得</w:t>
            </w:r>
            <w:r>
              <w:rPr>
                <w:rFonts w:eastAsia="黑体" w:cs="黑体" w:ascii="黑体" w:hAnsi="黑体"/>
                <w:szCs w:val="21"/>
              </w:rPr>
              <w:t>20</w:t>
            </w:r>
            <w:r>
              <w:rPr>
                <w:rFonts w:ascii="黑体" w:hAnsi="黑体" w:cs="黑体" w:eastAsia="黑体"/>
                <w:szCs w:val="21"/>
              </w:rPr>
              <w:t>分</w:t>
            </w:r>
          </w:p>
          <w:p>
            <w:pPr>
              <w:pStyle w:val="Normal"/>
              <w:numPr>
                <w:ilvl w:val="0"/>
                <w:numId w:val="6"/>
              </w:numPr>
              <w:rPr>
                <w:rFonts w:ascii="黑体" w:hAnsi="黑体" w:eastAsia="黑体" w:cs="黑体"/>
                <w:szCs w:val="21"/>
              </w:rPr>
            </w:pPr>
            <w:r>
              <w:rPr>
                <w:rFonts w:ascii="黑体" w:hAnsi="黑体" w:cs="黑体" w:eastAsia="黑体"/>
                <w:szCs w:val="21"/>
              </w:rPr>
              <w:t>生产合格率为</w:t>
            </w:r>
            <w:r>
              <w:rPr>
                <w:rFonts w:eastAsia="黑体" w:cs="黑体" w:ascii="黑体" w:hAnsi="黑体"/>
                <w:szCs w:val="21"/>
              </w:rPr>
              <w:t>95%-99%</w:t>
            </w:r>
            <w:r>
              <w:rPr>
                <w:rFonts w:ascii="黑体" w:hAnsi="黑体" w:cs="黑体" w:eastAsia="黑体"/>
                <w:szCs w:val="21"/>
              </w:rPr>
              <w:t>得</w:t>
            </w:r>
            <w:r>
              <w:rPr>
                <w:rFonts w:eastAsia="黑体" w:cs="黑体" w:ascii="黑体" w:hAnsi="黑体"/>
                <w:szCs w:val="21"/>
              </w:rPr>
              <w:t>10</w:t>
            </w:r>
            <w:r>
              <w:rPr>
                <w:rFonts w:ascii="黑体" w:hAnsi="黑体" w:cs="黑体" w:eastAsia="黑体"/>
                <w:szCs w:val="21"/>
              </w:rPr>
              <w:t>分</w:t>
            </w:r>
          </w:p>
          <w:p>
            <w:pPr>
              <w:pStyle w:val="Normal"/>
              <w:numPr>
                <w:ilvl w:val="0"/>
                <w:numId w:val="6"/>
              </w:numPr>
              <w:rPr>
                <w:rFonts w:ascii="黑体" w:hAnsi="黑体" w:eastAsia="黑体" w:cs="黑体"/>
                <w:szCs w:val="21"/>
              </w:rPr>
            </w:pPr>
            <w:r>
              <w:rPr>
                <w:rFonts w:ascii="黑体" w:hAnsi="黑体" w:cs="黑体" w:eastAsia="黑体"/>
                <w:szCs w:val="21"/>
              </w:rPr>
              <w:t>生产合格率低于</w:t>
            </w:r>
            <w:r>
              <w:rPr>
                <w:rFonts w:eastAsia="黑体" w:cs="黑体" w:ascii="黑体" w:hAnsi="黑体"/>
                <w:szCs w:val="21"/>
              </w:rPr>
              <w:t>95%</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生产目标实现率</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生产目标实现率超</w:t>
            </w:r>
            <w:r>
              <w:rPr>
                <w:rFonts w:eastAsia="黑体" w:cs="黑体" w:ascii="黑体" w:hAnsi="黑体"/>
                <w:szCs w:val="21"/>
              </w:rPr>
              <w:t>95%</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numPr>
                <w:ilvl w:val="0"/>
                <w:numId w:val="9"/>
              </w:numPr>
              <w:jc w:val="center"/>
              <w:rPr>
                <w:rFonts w:ascii="黑体" w:hAnsi="黑体" w:eastAsia="黑体" w:cs="黑体"/>
                <w:szCs w:val="21"/>
              </w:rPr>
            </w:pPr>
            <w:r>
              <w:rPr>
                <w:rFonts w:ascii="黑体" w:hAnsi="黑体" w:cs="黑体" w:eastAsia="黑体"/>
                <w:szCs w:val="21"/>
              </w:rPr>
              <w:t>生产目标实现率超</w:t>
            </w:r>
            <w:r>
              <w:rPr>
                <w:rFonts w:eastAsia="黑体" w:cs="黑体" w:ascii="黑体" w:hAnsi="黑体"/>
                <w:szCs w:val="21"/>
              </w:rPr>
              <w:t>95%</w:t>
            </w:r>
            <w:r>
              <w:rPr>
                <w:rFonts w:ascii="黑体" w:hAnsi="黑体" w:cs="黑体" w:eastAsia="黑体"/>
                <w:szCs w:val="21"/>
              </w:rPr>
              <w:t>得</w:t>
            </w:r>
            <w:r>
              <w:rPr>
                <w:rFonts w:eastAsia="黑体" w:cs="黑体" w:ascii="黑体" w:hAnsi="黑体"/>
                <w:szCs w:val="21"/>
              </w:rPr>
              <w:t>10</w:t>
            </w:r>
            <w:r>
              <w:rPr>
                <w:rFonts w:ascii="黑体" w:hAnsi="黑体" w:cs="黑体" w:eastAsia="黑体"/>
                <w:szCs w:val="21"/>
              </w:rPr>
              <w:t>分</w:t>
            </w:r>
          </w:p>
          <w:p>
            <w:pPr>
              <w:pStyle w:val="Normal"/>
              <w:numPr>
                <w:ilvl w:val="0"/>
                <w:numId w:val="9"/>
              </w:numPr>
              <w:jc w:val="center"/>
              <w:rPr>
                <w:rFonts w:ascii="黑体" w:hAnsi="黑体" w:eastAsia="黑体" w:cs="黑体"/>
                <w:szCs w:val="21"/>
              </w:rPr>
            </w:pPr>
            <w:r>
              <w:rPr>
                <w:rFonts w:ascii="黑体" w:hAnsi="黑体" w:cs="黑体" w:eastAsia="黑体"/>
                <w:szCs w:val="21"/>
              </w:rPr>
              <w:t>生产目标实现率在</w:t>
            </w:r>
            <w:r>
              <w:rPr>
                <w:rFonts w:eastAsia="黑体" w:cs="黑体" w:ascii="黑体" w:hAnsi="黑体"/>
                <w:szCs w:val="21"/>
              </w:rPr>
              <w:t>90%-95%</w:t>
            </w:r>
            <w:r>
              <w:rPr>
                <w:rFonts w:ascii="黑体" w:hAnsi="黑体" w:cs="黑体" w:eastAsia="黑体"/>
                <w:szCs w:val="21"/>
              </w:rPr>
              <w:t>得</w:t>
            </w:r>
            <w:r>
              <w:rPr>
                <w:rFonts w:eastAsia="黑体" w:cs="黑体" w:ascii="黑体" w:hAnsi="黑体"/>
                <w:szCs w:val="21"/>
              </w:rPr>
              <w:t>5</w:t>
            </w:r>
            <w:r>
              <w:rPr>
                <w:rFonts w:ascii="黑体" w:hAnsi="黑体" w:cs="黑体" w:eastAsia="黑体"/>
                <w:szCs w:val="21"/>
              </w:rPr>
              <w:t>分</w:t>
            </w:r>
          </w:p>
          <w:p>
            <w:pPr>
              <w:pStyle w:val="Normal"/>
              <w:numPr>
                <w:ilvl w:val="0"/>
                <w:numId w:val="9"/>
              </w:numPr>
              <w:jc w:val="center"/>
              <w:rPr>
                <w:rFonts w:ascii="黑体" w:hAnsi="黑体" w:eastAsia="黑体" w:cs="黑体"/>
                <w:szCs w:val="21"/>
              </w:rPr>
            </w:pPr>
            <w:r>
              <w:rPr>
                <w:rFonts w:ascii="黑体" w:hAnsi="黑体" w:cs="黑体" w:eastAsia="黑体"/>
                <w:szCs w:val="21"/>
              </w:rPr>
              <w:t>生产目标实现率低于</w:t>
            </w:r>
            <w:r>
              <w:rPr>
                <w:rFonts w:eastAsia="黑体" w:cs="黑体" w:ascii="黑体" w:hAnsi="黑体"/>
                <w:szCs w:val="21"/>
              </w:rPr>
              <w:t>90%</w:t>
            </w:r>
            <w:r>
              <w:rPr>
                <w:rFonts w:ascii="黑体" w:hAnsi="黑体" w:cs="黑体" w:eastAsia="黑体"/>
                <w:szCs w:val="21"/>
              </w:rPr>
              <w:t>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生产管理</w:t>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生产流程体系的建立与完善</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建立生产管理管理制度、方法、流程</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安全管理</w:t>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安全培训</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每月安全培训超</w:t>
            </w:r>
            <w:r>
              <w:rPr>
                <w:rFonts w:eastAsia="黑体" w:cs="黑体" w:ascii="黑体" w:hAnsi="黑体"/>
                <w:szCs w:val="21"/>
              </w:rPr>
              <w:t>10</w:t>
            </w:r>
            <w:r>
              <w:rPr>
                <w:rFonts w:ascii="黑体" w:hAnsi="黑体" w:cs="黑体" w:eastAsia="黑体"/>
                <w:szCs w:val="21"/>
              </w:rPr>
              <w:t>课时</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10</w:t>
            </w:r>
            <w:r>
              <w:rPr>
                <w:rFonts w:ascii="黑体" w:hAnsi="黑体" w:cs="黑体" w:eastAsia="黑体"/>
                <w:szCs w:val="21"/>
              </w:rPr>
              <w:t>课时</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未达到</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3"/>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安全事故控制</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无安全事故发生</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无事故发生</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有事故发生</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6"/>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指挥</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级：常规指标并清晰</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级：详细指导并告知操作方法</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级：坚决洽当处理不合理要求并对后果负责，控制场面</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级：团队工作井然，成员离场行为较好</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级：指挥具有艺术性，成员不易违规</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13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7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4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840" w:type="dxa"/>
            <w:gridSpan w:val="13"/>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市场部经理考核评分表（月度）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528"/>
        <w:gridCol w:w="742"/>
        <w:gridCol w:w="577"/>
        <w:gridCol w:w="540"/>
        <w:gridCol w:w="180"/>
        <w:gridCol w:w="718"/>
        <w:gridCol w:w="643"/>
        <w:gridCol w:w="848"/>
        <w:gridCol w:w="1391"/>
        <w:gridCol w:w="1141"/>
        <w:gridCol w:w="78"/>
        <w:gridCol w:w="371"/>
        <w:gridCol w:w="55"/>
        <w:gridCol w:w="418"/>
        <w:gridCol w:w="26"/>
        <w:gridCol w:w="431"/>
      </w:tblGrid>
      <w:tr>
        <w:trPr>
          <w:trHeight w:val="340" w:hRule="atLeast"/>
          <w:cantSplit w:val="true"/>
        </w:trPr>
        <w:tc>
          <w:tcPr>
            <w:tcW w:w="601"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387"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1"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59"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w:t>
            </w:r>
          </w:p>
          <w:p>
            <w:pPr>
              <w:pStyle w:val="Normal"/>
              <w:jc w:val="center"/>
              <w:rPr>
                <w:rFonts w:ascii="黑体" w:hAnsi="黑体" w:eastAsia="黑体" w:cs="黑体"/>
                <w:szCs w:val="21"/>
              </w:rPr>
            </w:pPr>
            <w:r>
              <w:rPr>
                <w:rFonts w:ascii="黑体" w:hAnsi="黑体" w:cs="黑体" w:eastAsia="黑体"/>
                <w:szCs w:val="21"/>
              </w:rPr>
              <w:t>绩效</w:t>
            </w:r>
          </w:p>
        </w:tc>
        <w:tc>
          <w:tcPr>
            <w:tcW w:w="528"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9"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898"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491"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2"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79"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9"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898"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491"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532"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市场策划</w:t>
            </w:r>
          </w:p>
          <w:p>
            <w:pPr>
              <w:pStyle w:val="Normal"/>
              <w:jc w:val="center"/>
              <w:rPr>
                <w:rFonts w:ascii="黑体" w:hAnsi="黑体" w:eastAsia="黑体" w:cs="黑体"/>
                <w:szCs w:val="21"/>
              </w:rPr>
            </w:pPr>
            <w:r>
              <w:rPr>
                <w:rFonts w:eastAsia="黑体" w:cs="黑体" w:ascii="黑体" w:hAnsi="黑体"/>
                <w:szCs w:val="21"/>
              </w:rPr>
              <w:t>80%</w:t>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市场费用</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30%</w:t>
            </w:r>
          </w:p>
        </w:tc>
        <w:tc>
          <w:tcPr>
            <w:tcW w:w="149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费销比在预算范围内，与同期相比下降</w:t>
            </w:r>
          </w:p>
        </w:tc>
        <w:tc>
          <w:tcPr>
            <w:tcW w:w="253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符合两项要求</w:t>
            </w:r>
            <w:r>
              <w:rPr>
                <w:rFonts w:eastAsia="黑体" w:cs="黑体" w:ascii="黑体" w:hAnsi="黑体"/>
                <w:szCs w:val="21"/>
              </w:rPr>
              <w:t>30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费销比在预算范围内，但并未下降</w:t>
            </w:r>
            <w:r>
              <w:rPr>
                <w:rFonts w:eastAsia="黑体" w:cs="黑体" w:ascii="黑体" w:hAnsi="黑体"/>
                <w:szCs w:val="21"/>
              </w:rPr>
              <w:t>15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费销比超出预算范围</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广告投放销售增长</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20%</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投放后与投放前销售增长额高于投放费用</w:t>
            </w:r>
            <w:r>
              <w:rPr>
                <w:rFonts w:eastAsia="黑体" w:ascii="黑体" w:hAnsi="黑体"/>
                <w:szCs w:val="21"/>
              </w:rPr>
              <w:t>10</w:t>
            </w:r>
            <w:r>
              <w:rPr>
                <w:rFonts w:ascii="黑体" w:hAnsi="黑体" w:eastAsia="黑体"/>
                <w:szCs w:val="21"/>
              </w:rPr>
              <w:t>倍以上</w:t>
            </w:r>
          </w:p>
        </w:tc>
        <w:tc>
          <w:tcPr>
            <w:tcW w:w="253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达到要求</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销售增长额高于</w:t>
            </w:r>
            <w:r>
              <w:rPr>
                <w:rFonts w:eastAsia="黑体" w:cs="黑体" w:ascii="黑体" w:hAnsi="黑体"/>
                <w:szCs w:val="21"/>
              </w:rPr>
              <w:t>5</w:t>
            </w:r>
            <w:r>
              <w:rPr>
                <w:rFonts w:ascii="黑体" w:hAnsi="黑体" w:cs="黑体" w:eastAsia="黑体"/>
                <w:szCs w:val="21"/>
              </w:rPr>
              <w:t>倍以上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未实现增长</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7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品牌美誉度</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20%</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企业品牌美誉度较同期增长</w:t>
            </w:r>
          </w:p>
        </w:tc>
        <w:tc>
          <w:tcPr>
            <w:tcW w:w="253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增长</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基本持平</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下降</w:t>
            </w:r>
            <w:r>
              <w:rPr>
                <w:rFonts w:eastAsia="黑体" w:cs="黑体" w:ascii="黑体" w:hAnsi="黑体"/>
                <w:szCs w:val="21"/>
              </w:rPr>
              <w:t>0</w:t>
            </w:r>
            <w:r>
              <w:rPr>
                <w:rFonts w:ascii="黑体" w:hAnsi="黑体" w:cs="黑体" w:eastAsia="黑体"/>
                <w:szCs w:val="21"/>
              </w:rPr>
              <w:t>份</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市场调研报告</w:t>
            </w:r>
          </w:p>
        </w:tc>
        <w:tc>
          <w:tcPr>
            <w:tcW w:w="898" w:type="dxa"/>
            <w:gridSpan w:val="2"/>
            <w:tcBorders>
              <w:top w:val="single" w:sz="4"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5%</w:t>
            </w:r>
          </w:p>
        </w:tc>
        <w:tc>
          <w:tcPr>
            <w:tcW w:w="1491" w:type="dxa"/>
            <w:gridSpan w:val="2"/>
            <w:tcBorders>
              <w:top w:val="single" w:sz="4" w:space="0" w:color="000000"/>
              <w:start w:val="single" w:sz="4" w:space="0" w:color="000000"/>
              <w:bottom w:val="single" w:sz="6"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每月</w:t>
            </w:r>
            <w:r>
              <w:rPr>
                <w:rFonts w:eastAsia="黑体" w:ascii="黑体" w:hAnsi="黑体"/>
                <w:szCs w:val="21"/>
              </w:rPr>
              <w:t>25</w:t>
            </w:r>
            <w:r>
              <w:rPr>
                <w:rFonts w:ascii="黑体" w:hAnsi="黑体" w:eastAsia="黑体"/>
                <w:szCs w:val="21"/>
              </w:rPr>
              <w:t>日前出外部市场调研报告</w:t>
            </w:r>
          </w:p>
        </w:tc>
        <w:tc>
          <w:tcPr>
            <w:tcW w:w="2532"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在规定时间内按质提交</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延时或不予采信</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策划分析报告</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5%</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每月</w:t>
            </w:r>
            <w:r>
              <w:rPr>
                <w:rFonts w:eastAsia="黑体" w:ascii="黑体" w:hAnsi="黑体"/>
                <w:szCs w:val="21"/>
              </w:rPr>
              <w:t>25</w:t>
            </w:r>
            <w:r>
              <w:rPr>
                <w:rFonts w:ascii="黑体" w:hAnsi="黑体" w:eastAsia="黑体"/>
                <w:szCs w:val="21"/>
              </w:rPr>
              <w:t xml:space="preserve">日前提交内部策划分析报告 </w:t>
            </w:r>
          </w:p>
        </w:tc>
        <w:tc>
          <w:tcPr>
            <w:tcW w:w="253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在规定时间内按质提交</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延时或不予采信</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58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策划管理</w:t>
            </w:r>
            <w:r>
              <w:rPr>
                <w:rFonts w:eastAsia="黑体" w:cs="黑体" w:ascii="黑体" w:hAnsi="黑体"/>
                <w:szCs w:val="21"/>
              </w:rPr>
              <w:t>20%</w:t>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费用预算</w:t>
            </w:r>
          </w:p>
        </w:tc>
        <w:tc>
          <w:tcPr>
            <w:tcW w:w="898" w:type="dxa"/>
            <w:gridSpan w:val="2"/>
            <w:tcBorders>
              <w:top w:val="single" w:sz="6" w:space="0" w:color="000000"/>
              <w:start w:val="single" w:sz="6" w:space="0" w:color="000000"/>
              <w:bottom w:val="single" w:sz="4"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10%</w:t>
            </w:r>
          </w:p>
        </w:tc>
        <w:tc>
          <w:tcPr>
            <w:tcW w:w="1491" w:type="dxa"/>
            <w:gridSpan w:val="2"/>
            <w:tcBorders>
              <w:top w:val="single" w:sz="6" w:space="0" w:color="000000"/>
              <w:start w:val="single" w:sz="4" w:space="0" w:color="000000"/>
              <w:bottom w:val="single" w:sz="4"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费用预算与实际花费误差率在</w:t>
            </w:r>
            <w:r>
              <w:rPr>
                <w:rFonts w:eastAsia="黑体" w:ascii="黑体" w:hAnsi="黑体"/>
                <w:szCs w:val="21"/>
              </w:rPr>
              <w:t>3%</w:t>
            </w:r>
            <w:r>
              <w:rPr>
                <w:rFonts w:ascii="黑体" w:hAnsi="黑体" w:eastAsia="黑体"/>
                <w:szCs w:val="21"/>
              </w:rPr>
              <w:t>以内</w:t>
            </w:r>
          </w:p>
        </w:tc>
        <w:tc>
          <w:tcPr>
            <w:tcW w:w="2532"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以内</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以内</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超过</w:t>
            </w:r>
            <w:r>
              <w:rPr>
                <w:rFonts w:eastAsia="黑体" w:cs="黑体" w:ascii="黑体" w:hAnsi="黑体"/>
                <w:szCs w:val="21"/>
              </w:rPr>
              <w:t>5%0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合作机构管理</w:t>
            </w:r>
          </w:p>
        </w:tc>
        <w:tc>
          <w:tcPr>
            <w:tcW w:w="898" w:type="dxa"/>
            <w:gridSpan w:val="2"/>
            <w:tcBorders>
              <w:top w:val="single" w:sz="4"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10%</w:t>
            </w:r>
          </w:p>
        </w:tc>
        <w:tc>
          <w:tcPr>
            <w:tcW w:w="1491" w:type="dxa"/>
            <w:gridSpan w:val="2"/>
            <w:tcBorders>
              <w:top w:val="single" w:sz="4" w:space="0" w:color="000000"/>
              <w:start w:val="single" w:sz="4" w:space="0" w:color="000000"/>
              <w:bottom w:val="single" w:sz="6" w:space="0" w:color="000000"/>
              <w:end w:val="single" w:sz="6" w:space="0" w:color="000000"/>
            </w:tcBorders>
          </w:tcPr>
          <w:p>
            <w:pPr>
              <w:pStyle w:val="Normal"/>
              <w:spacing w:lineRule="atLeast" w:line="400"/>
              <w:jc w:val="center"/>
              <w:rPr>
                <w:rFonts w:ascii="黑体" w:hAnsi="黑体" w:eastAsia="黑体"/>
                <w:szCs w:val="21"/>
              </w:rPr>
            </w:pPr>
            <w:r>
              <w:rPr>
                <w:rFonts w:ascii="黑体" w:hAnsi="黑体" w:eastAsia="黑体"/>
                <w:szCs w:val="21"/>
              </w:rPr>
              <w:t>每月新增</w:t>
            </w:r>
            <w:r>
              <w:rPr>
                <w:rFonts w:eastAsia="黑体" w:ascii="黑体" w:hAnsi="黑体"/>
                <w:szCs w:val="21"/>
              </w:rPr>
              <w:t>3</w:t>
            </w:r>
            <w:r>
              <w:rPr>
                <w:rFonts w:ascii="黑体" w:hAnsi="黑体" w:eastAsia="黑体"/>
                <w:szCs w:val="21"/>
              </w:rPr>
              <w:t>家合作机构</w:t>
            </w:r>
          </w:p>
        </w:tc>
        <w:tc>
          <w:tcPr>
            <w:tcW w:w="2532"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家以上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1</w:t>
            </w:r>
            <w:r>
              <w:rPr>
                <w:rFonts w:ascii="黑体" w:hAnsi="黑体" w:cs="黑体" w:eastAsia="黑体"/>
                <w:szCs w:val="21"/>
              </w:rPr>
              <w:t>家以上</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无</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7"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7" w:type="dxa"/>
            <w:gridSpan w:val="4"/>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0"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1"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主动性</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1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1"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创新</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级：对周围事物的关心和兴趣</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级：勤用脑</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级：创造力</w:t>
            </w:r>
            <w:r>
              <w:rPr>
                <w:rFonts w:eastAsia="黑体" w:cs="黑体" w:ascii="黑体" w:hAnsi="黑体"/>
                <w:color w:val="000000"/>
                <w:szCs w:val="21"/>
              </w:rPr>
              <w:t>=</w:t>
            </w:r>
            <w:r>
              <w:rPr>
                <w:rFonts w:ascii="黑体" w:hAnsi="黑体" w:cs="黑体" w:eastAsia="黑体"/>
                <w:color w:val="000000"/>
                <w:szCs w:val="21"/>
              </w:rPr>
              <w:t>综合能力</w:t>
            </w:r>
            <w:r>
              <w:rPr>
                <w:rFonts w:eastAsia="黑体" w:cs="黑体" w:ascii="黑体" w:hAnsi="黑体"/>
                <w:color w:val="000000"/>
                <w:szCs w:val="21"/>
              </w:rPr>
              <w:t>+</w:t>
            </w:r>
            <w:r>
              <w:rPr>
                <w:rFonts w:ascii="黑体" w:hAnsi="黑体" w:cs="黑体" w:eastAsia="黑体"/>
                <w:color w:val="000000"/>
                <w:szCs w:val="21"/>
              </w:rPr>
              <w:t>想象力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级：要唤醒心中的创造潜力</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级：有小设想，奇想妙想，创新方案设计，小发明，科学小论文</w:t>
            </w:r>
          </w:p>
        </w:tc>
        <w:tc>
          <w:tcPr>
            <w:tcW w:w="121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1"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人际关系</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级：接受邀请，维持正常工作关系</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级：建立融洽关系讨论非工作事例</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级：社会交往普遍发生</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级：成为密友并能正当拓展业务</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级：亲和力强，感染不同层次社会伙伴成为战略合作</w:t>
            </w:r>
          </w:p>
        </w:tc>
        <w:tc>
          <w:tcPr>
            <w:tcW w:w="121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1"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1"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7"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0"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6"/>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6"/>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销售部经理考核评分表（月度）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528"/>
        <w:gridCol w:w="742"/>
        <w:gridCol w:w="757"/>
        <w:gridCol w:w="360"/>
        <w:gridCol w:w="360"/>
        <w:gridCol w:w="538"/>
        <w:gridCol w:w="643"/>
        <w:gridCol w:w="848"/>
        <w:gridCol w:w="1391"/>
        <w:gridCol w:w="1142"/>
        <w:gridCol w:w="78"/>
        <w:gridCol w:w="371"/>
        <w:gridCol w:w="55"/>
        <w:gridCol w:w="418"/>
        <w:gridCol w:w="26"/>
        <w:gridCol w:w="430"/>
      </w:tblGrid>
      <w:tr>
        <w:trPr>
          <w:trHeight w:val="340" w:hRule="atLeast"/>
          <w:cantSplit w:val="true"/>
        </w:trPr>
        <w:tc>
          <w:tcPr>
            <w:tcW w:w="601"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387"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1"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59"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w:t>
            </w:r>
          </w:p>
          <w:p>
            <w:pPr>
              <w:pStyle w:val="Normal"/>
              <w:jc w:val="center"/>
              <w:rPr>
                <w:rFonts w:ascii="黑体" w:hAnsi="黑体" w:eastAsia="黑体" w:cs="黑体"/>
                <w:szCs w:val="21"/>
              </w:rPr>
            </w:pPr>
            <w:r>
              <w:rPr>
                <w:rFonts w:ascii="黑体" w:hAnsi="黑体" w:cs="黑体" w:eastAsia="黑体"/>
                <w:szCs w:val="21"/>
              </w:rPr>
              <w:t>绩效</w:t>
            </w:r>
          </w:p>
        </w:tc>
        <w:tc>
          <w:tcPr>
            <w:tcW w:w="528"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9"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898"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491"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3"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78"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9"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898"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491"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533"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工作业绩</w:t>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销售额</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4</w:t>
            </w:r>
            <w:r>
              <w:rPr>
                <w:rFonts w:ascii="黑体" w:hAnsi="黑体" w:eastAsia="黑体"/>
                <w:szCs w:val="21"/>
              </w:rPr>
              <w:t>０</w:t>
            </w:r>
            <w:r>
              <w:rPr>
                <w:rFonts w:eastAsia="黑体" w:ascii="黑体" w:hAnsi="黑体"/>
                <w:szCs w:val="21"/>
              </w:rPr>
              <w:t>%</w:t>
            </w:r>
          </w:p>
        </w:tc>
        <w:tc>
          <w:tcPr>
            <w:tcW w:w="1491"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300</w:t>
            </w:r>
            <w:r>
              <w:rPr>
                <w:rFonts w:ascii="黑体" w:hAnsi="黑体" w:cs="黑体" w:eastAsia="黑体"/>
                <w:szCs w:val="21"/>
              </w:rPr>
              <w:t>万</w:t>
            </w:r>
          </w:p>
        </w:tc>
        <w:tc>
          <w:tcPr>
            <w:tcW w:w="253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达成销售额</w:t>
            </w:r>
            <w:r>
              <w:rPr>
                <w:rFonts w:eastAsia="黑体" w:cs="黑体" w:ascii="黑体" w:hAnsi="黑体"/>
                <w:szCs w:val="21"/>
              </w:rPr>
              <w:t>50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达成</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30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90%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新客户开发量</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ascii="黑体" w:hAnsi="黑体" w:eastAsia="黑体"/>
                <w:szCs w:val="21"/>
              </w:rPr>
              <w:t>１０</w:t>
            </w:r>
            <w:r>
              <w:rPr>
                <w:rFonts w:eastAsia="黑体" w:ascii="黑体" w:hAnsi="黑体"/>
                <w:szCs w:val="21"/>
              </w:rPr>
              <w:t>%</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szCs w:val="21"/>
              </w:rPr>
            </w:pPr>
            <w:r>
              <w:rPr>
                <w:szCs w:val="21"/>
              </w:rPr>
              <w:t>每月１０个</w:t>
            </w:r>
          </w:p>
        </w:tc>
        <w:tc>
          <w:tcPr>
            <w:tcW w:w="253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r>
              <w:rPr>
                <w:rFonts w:ascii="黑体" w:hAnsi="黑体" w:cs="黑体" w:eastAsia="黑体"/>
                <w:szCs w:val="21"/>
              </w:rPr>
              <w:t>个以上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7-10</w:t>
            </w:r>
            <w:r>
              <w:rPr>
                <w:rFonts w:ascii="黑体" w:hAnsi="黑体" w:cs="黑体" w:eastAsia="黑体"/>
                <w:szCs w:val="21"/>
              </w:rPr>
              <w:t>个</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7</w:t>
            </w:r>
            <w:r>
              <w:rPr>
                <w:rFonts w:ascii="黑体" w:hAnsi="黑体" w:cs="黑体" w:eastAsia="黑体"/>
                <w:szCs w:val="21"/>
              </w:rPr>
              <w:t>个</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7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客户流失率</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10%</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szCs w:val="21"/>
              </w:rPr>
            </w:pPr>
            <w:r>
              <w:rPr>
                <w:szCs w:val="21"/>
              </w:rPr>
              <w:t>每月３个以内</w:t>
            </w:r>
          </w:p>
        </w:tc>
        <w:tc>
          <w:tcPr>
            <w:tcW w:w="253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无流失</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3</w:t>
            </w:r>
            <w:r>
              <w:rPr>
                <w:rFonts w:ascii="黑体" w:hAnsi="黑体" w:cs="黑体" w:eastAsia="黑体"/>
                <w:szCs w:val="21"/>
              </w:rPr>
              <w:t>个以内</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超过</w:t>
            </w:r>
            <w:r>
              <w:rPr>
                <w:rFonts w:eastAsia="黑体" w:cs="黑体" w:ascii="黑体" w:hAnsi="黑体"/>
                <w:szCs w:val="21"/>
              </w:rPr>
              <w:t>3</w:t>
            </w:r>
            <w:r>
              <w:rPr>
                <w:rFonts w:ascii="黑体" w:hAnsi="黑体" w:cs="黑体" w:eastAsia="黑体"/>
                <w:szCs w:val="21"/>
              </w:rPr>
              <w:t>个</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eastAsia="黑体"/>
                <w:szCs w:val="21"/>
              </w:rPr>
              <w:t>职能工作</w:t>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培训新业务员</w:t>
            </w:r>
          </w:p>
        </w:tc>
        <w:tc>
          <w:tcPr>
            <w:tcW w:w="898" w:type="dxa"/>
            <w:gridSpan w:val="2"/>
            <w:tcBorders>
              <w:top w:val="single" w:sz="4"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eastAsia="黑体" w:ascii="黑体" w:hAnsi="黑体"/>
                <w:szCs w:val="21"/>
              </w:rPr>
              <w:t>10%</w:t>
            </w:r>
          </w:p>
        </w:tc>
        <w:tc>
          <w:tcPr>
            <w:tcW w:w="1491" w:type="dxa"/>
            <w:gridSpan w:val="2"/>
            <w:tcBorders>
              <w:top w:val="single" w:sz="4" w:space="0" w:color="000000"/>
              <w:start w:val="single" w:sz="4" w:space="0" w:color="000000"/>
              <w:bottom w:val="single" w:sz="6" w:space="0" w:color="000000"/>
              <w:end w:val="single" w:sz="6" w:space="0" w:color="000000"/>
            </w:tcBorders>
          </w:tcPr>
          <w:p>
            <w:pPr>
              <w:pStyle w:val="Normal"/>
              <w:spacing w:lineRule="atLeast" w:line="400"/>
              <w:jc w:val="center"/>
              <w:rPr>
                <w:szCs w:val="21"/>
              </w:rPr>
            </w:pPr>
            <w:r>
              <w:rPr>
                <w:szCs w:val="21"/>
              </w:rPr>
              <w:t>７个以上学时</w:t>
            </w:r>
          </w:p>
        </w:tc>
        <w:tc>
          <w:tcPr>
            <w:tcW w:w="2533"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r>
              <w:rPr>
                <w:rFonts w:ascii="黑体" w:hAnsi="黑体" w:cs="黑体" w:eastAsia="黑体"/>
                <w:szCs w:val="21"/>
              </w:rPr>
              <w:t>个以上学时</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组织研讨会</w:t>
            </w:r>
          </w:p>
        </w:tc>
        <w:tc>
          <w:tcPr>
            <w:tcW w:w="898" w:type="dxa"/>
            <w:gridSpan w:val="2"/>
            <w:tcBorders>
              <w:top w:val="single" w:sz="6"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ascii="黑体" w:hAnsi="黑体" w:eastAsia="黑体"/>
                <w:szCs w:val="21"/>
              </w:rPr>
              <w:t>２０</w:t>
            </w:r>
            <w:r>
              <w:rPr>
                <w:rFonts w:eastAsia="黑体" w:ascii="黑体" w:hAnsi="黑体"/>
                <w:szCs w:val="21"/>
              </w:rPr>
              <w:t>%</w:t>
            </w:r>
          </w:p>
        </w:tc>
        <w:tc>
          <w:tcPr>
            <w:tcW w:w="1491" w:type="dxa"/>
            <w:gridSpan w:val="2"/>
            <w:tcBorders>
              <w:top w:val="single" w:sz="6" w:space="0" w:color="000000"/>
              <w:start w:val="single" w:sz="4" w:space="0" w:color="000000"/>
              <w:bottom w:val="single" w:sz="6" w:space="0" w:color="000000"/>
              <w:end w:val="single" w:sz="6" w:space="0" w:color="000000"/>
            </w:tcBorders>
          </w:tcPr>
          <w:p>
            <w:pPr>
              <w:pStyle w:val="Normal"/>
              <w:spacing w:lineRule="atLeast" w:line="400"/>
              <w:jc w:val="center"/>
              <w:rPr>
                <w:szCs w:val="21"/>
              </w:rPr>
            </w:pPr>
            <w:r>
              <w:rPr>
                <w:szCs w:val="21"/>
              </w:rPr>
              <w:t>一个月三次，每次实到客户家数</w:t>
            </w:r>
            <w:r>
              <w:rPr>
                <w:szCs w:val="21"/>
              </w:rPr>
              <w:t>20</w:t>
            </w:r>
            <w:r>
              <w:rPr>
                <w:szCs w:val="21"/>
              </w:rPr>
              <w:t>家</w:t>
            </w:r>
          </w:p>
        </w:tc>
        <w:tc>
          <w:tcPr>
            <w:tcW w:w="253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完成数量和家数要求</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只实现数量或家数</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两项均未达标</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58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管理工作</w:t>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市场分析报告</w:t>
            </w:r>
          </w:p>
        </w:tc>
        <w:tc>
          <w:tcPr>
            <w:tcW w:w="898" w:type="dxa"/>
            <w:gridSpan w:val="2"/>
            <w:tcBorders>
              <w:top w:val="single" w:sz="6" w:space="0" w:color="000000"/>
              <w:start w:val="single" w:sz="6" w:space="0" w:color="000000"/>
              <w:bottom w:val="single" w:sz="4" w:space="0" w:color="000000"/>
              <w:end w:val="single" w:sz="4" w:space="0" w:color="000000"/>
            </w:tcBorders>
          </w:tcPr>
          <w:p>
            <w:pPr>
              <w:pStyle w:val="Normal"/>
              <w:spacing w:lineRule="atLeast" w:line="400"/>
              <w:rPr>
                <w:rFonts w:ascii="黑体" w:hAnsi="黑体" w:eastAsia="黑体"/>
                <w:szCs w:val="21"/>
              </w:rPr>
            </w:pPr>
            <w:r>
              <w:rPr>
                <w:rFonts w:ascii="黑体" w:hAnsi="黑体" w:eastAsia="黑体"/>
                <w:szCs w:val="21"/>
              </w:rPr>
              <w:t>５</w:t>
            </w:r>
            <w:r>
              <w:rPr>
                <w:rFonts w:eastAsia="黑体" w:ascii="黑体" w:hAnsi="黑体"/>
                <w:szCs w:val="21"/>
              </w:rPr>
              <w:t>%</w:t>
            </w:r>
          </w:p>
        </w:tc>
        <w:tc>
          <w:tcPr>
            <w:tcW w:w="1491" w:type="dxa"/>
            <w:gridSpan w:val="2"/>
            <w:tcBorders>
              <w:top w:val="single" w:sz="6" w:space="0" w:color="000000"/>
              <w:start w:val="single" w:sz="4" w:space="0" w:color="000000"/>
              <w:bottom w:val="single" w:sz="4" w:space="0" w:color="000000"/>
              <w:end w:val="single" w:sz="6" w:space="0" w:color="000000"/>
            </w:tcBorders>
          </w:tcPr>
          <w:p>
            <w:pPr>
              <w:pStyle w:val="Normal"/>
              <w:spacing w:lineRule="atLeast" w:line="400"/>
              <w:jc w:val="center"/>
              <w:rPr>
                <w:szCs w:val="21"/>
              </w:rPr>
            </w:pPr>
            <w:r>
              <w:rPr>
                <w:szCs w:val="21"/>
              </w:rPr>
              <w:t>每月５号前按标准上交</w:t>
            </w:r>
          </w:p>
        </w:tc>
        <w:tc>
          <w:tcPr>
            <w:tcW w:w="2533"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5</w:t>
            </w:r>
            <w:r>
              <w:rPr>
                <w:rFonts w:ascii="黑体" w:hAnsi="黑体" w:cs="黑体" w:eastAsia="黑体"/>
                <w:szCs w:val="21"/>
              </w:rPr>
              <w:t>号前按标准上交</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其它</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7" w:type="dxa"/>
            <w:gridSpan w:val="2"/>
            <w:tcBorders>
              <w:top w:val="single" w:sz="6" w:space="0" w:color="000000"/>
              <w:start w:val="single" w:sz="6" w:space="0" w:color="000000"/>
              <w:bottom w:val="single" w:sz="6" w:space="0" w:color="000000"/>
              <w:end w:val="single" w:sz="6" w:space="0" w:color="000000"/>
            </w:tcBorders>
          </w:tcPr>
          <w:p>
            <w:pPr>
              <w:pStyle w:val="Normal"/>
              <w:spacing w:lineRule="atLeast" w:line="400"/>
              <w:rPr>
                <w:rFonts w:ascii="黑体" w:hAnsi="黑体" w:eastAsia="黑体"/>
                <w:szCs w:val="21"/>
              </w:rPr>
            </w:pPr>
            <w:r>
              <w:rPr>
                <w:rFonts w:ascii="黑体" w:hAnsi="黑体" w:eastAsia="黑体"/>
                <w:szCs w:val="21"/>
              </w:rPr>
              <w:t>客户投诉解决</w:t>
            </w:r>
          </w:p>
        </w:tc>
        <w:tc>
          <w:tcPr>
            <w:tcW w:w="898" w:type="dxa"/>
            <w:gridSpan w:val="2"/>
            <w:tcBorders>
              <w:top w:val="single" w:sz="4" w:space="0" w:color="000000"/>
              <w:start w:val="single" w:sz="6" w:space="0" w:color="000000"/>
              <w:bottom w:val="single" w:sz="6" w:space="0" w:color="000000"/>
              <w:end w:val="single" w:sz="4" w:space="0" w:color="000000"/>
            </w:tcBorders>
          </w:tcPr>
          <w:p>
            <w:pPr>
              <w:pStyle w:val="Normal"/>
              <w:spacing w:lineRule="atLeast" w:line="400"/>
              <w:rPr>
                <w:rFonts w:ascii="黑体" w:hAnsi="黑体" w:eastAsia="黑体"/>
                <w:szCs w:val="21"/>
              </w:rPr>
            </w:pPr>
            <w:r>
              <w:rPr>
                <w:rFonts w:ascii="黑体" w:hAnsi="黑体" w:eastAsia="黑体"/>
                <w:szCs w:val="21"/>
              </w:rPr>
              <w:t>５</w:t>
            </w:r>
            <w:r>
              <w:rPr>
                <w:rFonts w:eastAsia="黑体" w:ascii="黑体" w:hAnsi="黑体"/>
                <w:szCs w:val="21"/>
              </w:rPr>
              <w:t>%</w:t>
            </w:r>
          </w:p>
        </w:tc>
        <w:tc>
          <w:tcPr>
            <w:tcW w:w="1491" w:type="dxa"/>
            <w:gridSpan w:val="2"/>
            <w:tcBorders>
              <w:top w:val="single" w:sz="4" w:space="0" w:color="000000"/>
              <w:start w:val="single" w:sz="4" w:space="0" w:color="000000"/>
              <w:bottom w:val="single" w:sz="6" w:space="0" w:color="000000"/>
              <w:end w:val="single" w:sz="6" w:space="0" w:color="000000"/>
            </w:tcBorders>
          </w:tcPr>
          <w:p>
            <w:pPr>
              <w:pStyle w:val="Normal"/>
              <w:spacing w:lineRule="atLeast" w:line="400"/>
              <w:jc w:val="center"/>
              <w:rPr>
                <w:szCs w:val="21"/>
              </w:rPr>
            </w:pPr>
            <w:r>
              <w:rPr>
                <w:szCs w:val="21"/>
              </w:rPr>
              <w:t>在一个工作日内响应，１００</w:t>
            </w:r>
            <w:r>
              <w:rPr>
                <w:szCs w:val="21"/>
              </w:rPr>
              <w:t>%</w:t>
            </w:r>
            <w:r>
              <w:rPr>
                <w:szCs w:val="21"/>
              </w:rPr>
              <w:t>解决</w:t>
            </w:r>
          </w:p>
        </w:tc>
        <w:tc>
          <w:tcPr>
            <w:tcW w:w="2533"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未达标</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7" w:type="dxa"/>
            <w:gridSpan w:val="4"/>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0"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以客户为中心</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级：提供必要服务</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级：迅速而不可分辩解决客户需求</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级：找出客户深层次（真实）需求并提供相应产品服力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级：成为客户信赖对象，并维护组织利益下影响客户决策</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级：维护客户利益，而促进长远组织利益</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人际关系</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级：接受邀请，维持正常工作关系</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级：建立融洽关系讨论非工作事例</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级：社会交往普遍发生</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级：成为密友并能正当拓展业务</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级：亲和力强，感染不同层次社会伙伴成为战略合作方</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领导力</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42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级：任命员工合理</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级：能正确评价员工付出与回报协调性</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级：对员工业绩与态度进行客观评价</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级：掌握岗位精确工作技术及全面专家技术并组织实施产生良好效果，培训员工为胜任力者</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级：影响力大，员工自愿追随并付出贡献</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7"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0"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6"/>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6"/>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行政部经理考核评分表（月度）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757"/>
        <w:gridCol w:w="359"/>
        <w:gridCol w:w="181"/>
        <w:gridCol w:w="521"/>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50%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公司重要活动会议筹备</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事先有方案，按计划执行，全程顺利，参会者满意度高</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按所有要求执行</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无方案、计划，整体活动进行顺利者</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出现重大事故或与会者评价低于</w:t>
            </w:r>
            <w:r>
              <w:rPr>
                <w:rFonts w:eastAsia="黑体" w:cs="黑体" w:ascii="黑体" w:hAnsi="黑体"/>
                <w:szCs w:val="21"/>
              </w:rPr>
              <w:t>70</w:t>
            </w:r>
            <w:r>
              <w:rPr>
                <w:rFonts w:ascii="黑体" w:hAnsi="黑体" w:cs="黑体" w:eastAsia="黑体"/>
                <w:szCs w:val="21"/>
              </w:rPr>
              <w:t>分者</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外部人员接待</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有标准接待流程，全程无差错、无投诉</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按所有要求执行</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无标准流程，接待按要求完成</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未按标准完成接待或出现客户投诉</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7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公司重要公文起草</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在规定时间内完成，上级通过</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在规定时间内完成，上级修改次数少于</w:t>
            </w:r>
            <w:r>
              <w:rPr>
                <w:rFonts w:eastAsia="黑体" w:cs="黑体" w:ascii="黑体" w:hAnsi="黑体"/>
                <w:szCs w:val="21"/>
              </w:rPr>
              <w:t>3</w:t>
            </w:r>
            <w:r>
              <w:rPr>
                <w:rFonts w:ascii="黑体" w:hAnsi="黑体" w:cs="黑体" w:eastAsia="黑体"/>
                <w:szCs w:val="21"/>
              </w:rPr>
              <w:t>次者</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延时完成</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办公费用控制</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费用控制在预算内，较同期节约</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费用较同期节约</w:t>
            </w:r>
            <w:r>
              <w:rPr>
                <w:rFonts w:eastAsia="黑体" w:cs="黑体" w:ascii="黑体" w:hAnsi="黑体"/>
                <w:szCs w:val="21"/>
              </w:rPr>
              <w:t>1%</w:t>
            </w:r>
            <w:r>
              <w:rPr>
                <w:rFonts w:ascii="黑体" w:hAnsi="黑体" w:cs="黑体" w:eastAsia="黑体"/>
                <w:szCs w:val="21"/>
              </w:rPr>
              <w:t>者</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费用控制在预算内，与同期持平</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费用超预算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交办事项执行</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对于交办事项跟踪执行，完成率</w:t>
            </w:r>
            <w:r>
              <w:rPr>
                <w:rFonts w:eastAsia="黑体" w:cs="黑体" w:ascii="黑体" w:hAnsi="黑体"/>
                <w:szCs w:val="21"/>
              </w:rPr>
              <w:t>80%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w:t>
            </w:r>
            <w:r>
              <w:rPr>
                <w:rFonts w:eastAsia="黑体" w:cs="黑体" w:ascii="黑体" w:hAnsi="黑体"/>
                <w:szCs w:val="21"/>
              </w:rPr>
              <w:t>80%</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w:t>
            </w:r>
            <w:r>
              <w:rPr>
                <w:rFonts w:eastAsia="黑体" w:cs="黑体" w:ascii="黑体" w:hAnsi="黑体"/>
                <w:szCs w:val="21"/>
              </w:rPr>
              <w:t>75%</w:t>
            </w:r>
            <w:r>
              <w:rPr>
                <w:rFonts w:ascii="黑体" w:hAnsi="黑体" w:cs="黑体" w:eastAsia="黑体"/>
                <w:szCs w:val="21"/>
              </w:rPr>
              <w:t>以上</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75%</w:t>
            </w:r>
            <w:r>
              <w:rPr>
                <w:rFonts w:ascii="黑体" w:hAnsi="黑体" w:cs="黑体" w:eastAsia="黑体"/>
                <w:szCs w:val="21"/>
              </w:rPr>
              <w:t>者</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40%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员工资质职称管理</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员工资质证件齐全，在规定时间内完成申报</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出现证件丢失或未按期限申报</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车辆管理</w:t>
            </w:r>
          </w:p>
        </w:tc>
        <w:tc>
          <w:tcPr>
            <w:tcW w:w="702"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5%</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保障使用，安全，费用在预算范围内</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费用超预算</w:t>
            </w:r>
            <w:r>
              <w:rPr>
                <w:rFonts w:eastAsia="黑体" w:cs="黑体" w:ascii="黑体" w:hAnsi="黑体"/>
                <w:szCs w:val="21"/>
              </w:rPr>
              <w:t>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出现车辆使用投诉每次扣</w:t>
            </w:r>
            <w:r>
              <w:rPr>
                <w:rFonts w:eastAsia="黑体" w:cs="黑体" w:ascii="黑体" w:hAnsi="黑体"/>
                <w:szCs w:val="21"/>
              </w:rPr>
              <w:t>1</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8</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行政公文管理</w:t>
            </w:r>
          </w:p>
        </w:tc>
        <w:tc>
          <w:tcPr>
            <w:tcW w:w="702"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有公文管理办法，对外公文格式规范，存档齐全</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对外公文无差错，内部存档齐全，无公文管理办法流程</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对外公文出错或出现重要公文丢失</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9</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行政管理体系建设</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有各项行政管理制度，执行度高</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行政管理制度完善及执行率达</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以下</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91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队伍建设</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人才培养</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培养部门主管</w:t>
            </w:r>
            <w:r>
              <w:rPr>
                <w:rFonts w:eastAsia="黑体" w:cs="黑体" w:ascii="黑体" w:hAnsi="黑体"/>
                <w:szCs w:val="21"/>
              </w:rPr>
              <w:t>2</w:t>
            </w:r>
            <w:r>
              <w:rPr>
                <w:rFonts w:ascii="黑体" w:hAnsi="黑体" w:cs="黑体" w:eastAsia="黑体"/>
                <w:szCs w:val="21"/>
              </w:rPr>
              <w:t>名，专员</w:t>
            </w:r>
            <w:r>
              <w:rPr>
                <w:rFonts w:eastAsia="黑体" w:cs="黑体" w:ascii="黑体" w:hAnsi="黑体"/>
                <w:szCs w:val="21"/>
              </w:rPr>
              <w:t>2</w:t>
            </w:r>
            <w:r>
              <w:rPr>
                <w:rFonts w:ascii="黑体" w:hAnsi="黑体" w:cs="黑体" w:eastAsia="黑体"/>
                <w:szCs w:val="21"/>
              </w:rPr>
              <w:t>名</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缺一名人员扣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纪律作风</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szCs w:val="21"/>
              </w:rPr>
            </w:pPr>
            <w:r>
              <w:rPr>
                <w:rFonts w:eastAsia="黑体" w:cs="黑体" w:ascii="黑体" w:hAnsi="黑体"/>
                <w:bCs/>
                <w:szCs w:val="21"/>
              </w:rPr>
              <w:t>1</w:t>
            </w:r>
            <w:r>
              <w:rPr>
                <w:rFonts w:ascii="黑体" w:hAnsi="黑体" w:cs="黑体" w:eastAsia="黑体"/>
                <w:color w:val="000000"/>
                <w:szCs w:val="21"/>
              </w:rPr>
              <w:t>级：</w:t>
            </w:r>
            <w:r>
              <w:rPr>
                <w:rFonts w:ascii="黑体" w:hAnsi="黑体" w:cs="黑体" w:eastAsia="黑体"/>
                <w:bCs/>
                <w:szCs w:val="21"/>
              </w:rPr>
              <w:t>工作中阴阳怪气，对人冷漠，经常迟到、早退，无故缺勤，不按规定和缺席办事。</w:t>
            </w:r>
          </w:p>
          <w:p>
            <w:pPr>
              <w:pStyle w:val="Normal"/>
              <w:rPr>
                <w:rFonts w:ascii="黑体" w:hAnsi="黑体" w:eastAsia="黑体" w:cs="黑体"/>
                <w:bCs/>
                <w:szCs w:val="21"/>
              </w:rPr>
            </w:pPr>
            <w:r>
              <w:rPr>
                <w:rFonts w:eastAsia="黑体" w:cs="黑体" w:ascii="黑体" w:hAnsi="黑体"/>
                <w:bCs/>
                <w:szCs w:val="21"/>
              </w:rPr>
              <w:t>2</w:t>
            </w:r>
            <w:r>
              <w:rPr>
                <w:rFonts w:ascii="黑体" w:hAnsi="黑体" w:cs="黑体" w:eastAsia="黑体"/>
                <w:color w:val="000000"/>
                <w:szCs w:val="21"/>
              </w:rPr>
              <w:t>级：</w:t>
            </w:r>
            <w:r>
              <w:rPr>
                <w:rFonts w:ascii="黑体" w:hAnsi="黑体" w:cs="黑体" w:eastAsia="黑体"/>
                <w:bCs/>
                <w:szCs w:val="21"/>
              </w:rPr>
              <w:t>工作中偶尔出现迟到、早退等现象。</w:t>
            </w:r>
          </w:p>
          <w:p>
            <w:pPr>
              <w:pStyle w:val="Normal"/>
              <w:rPr>
                <w:rFonts w:ascii="黑体" w:hAnsi="黑体" w:eastAsia="黑体" w:cs="黑体"/>
                <w:bCs/>
                <w:szCs w:val="21"/>
              </w:rPr>
            </w:pPr>
            <w:r>
              <w:rPr>
                <w:rFonts w:eastAsia="黑体" w:cs="黑体" w:ascii="黑体" w:hAnsi="黑体"/>
                <w:bCs/>
                <w:szCs w:val="21"/>
              </w:rPr>
              <w:t>3</w:t>
            </w:r>
            <w:r>
              <w:rPr>
                <w:rFonts w:ascii="黑体" w:hAnsi="黑体" w:cs="黑体" w:eastAsia="黑体"/>
                <w:color w:val="000000"/>
                <w:szCs w:val="21"/>
              </w:rPr>
              <w:t>级：</w:t>
            </w:r>
            <w:r>
              <w:rPr>
                <w:rFonts w:ascii="黑体" w:hAnsi="黑体" w:cs="黑体" w:eastAsia="黑体"/>
                <w:bCs/>
                <w:szCs w:val="21"/>
              </w:rPr>
              <w:t>不违反纪律，对同事、上级的态度不坏。</w:t>
            </w:r>
          </w:p>
          <w:p>
            <w:pPr>
              <w:pStyle w:val="Normal"/>
              <w:rPr>
                <w:rFonts w:ascii="黑体" w:hAnsi="黑体" w:eastAsia="黑体" w:cs="黑体"/>
                <w:bCs/>
                <w:szCs w:val="21"/>
              </w:rPr>
            </w:pPr>
            <w:r>
              <w:rPr>
                <w:rFonts w:eastAsia="黑体" w:cs="黑体" w:ascii="黑体" w:hAnsi="黑体"/>
                <w:bCs/>
                <w:szCs w:val="21"/>
              </w:rPr>
              <w:t>4</w:t>
            </w:r>
            <w:r>
              <w:rPr>
                <w:rFonts w:ascii="黑体" w:hAnsi="黑体" w:cs="黑体" w:eastAsia="黑体"/>
                <w:color w:val="000000"/>
                <w:szCs w:val="21"/>
              </w:rPr>
              <w:t>级：</w:t>
            </w:r>
            <w:r>
              <w:rPr>
                <w:rFonts w:ascii="黑体" w:hAnsi="黑体" w:cs="黑体" w:eastAsia="黑体"/>
                <w:bCs/>
                <w:szCs w:val="21"/>
              </w:rPr>
              <w:t>不违反纪律，对同事、上级有礼貌。</w:t>
            </w:r>
          </w:p>
          <w:p>
            <w:pPr>
              <w:pStyle w:val="Normal"/>
              <w:rPr>
                <w:rFonts w:ascii="黑体" w:hAnsi="黑体" w:eastAsia="黑体" w:cs="黑体"/>
                <w:szCs w:val="21"/>
              </w:rPr>
            </w:pPr>
            <w:r>
              <w:rPr>
                <w:rFonts w:eastAsia="黑体" w:cs="黑体" w:ascii="黑体" w:hAnsi="黑体"/>
                <w:bCs/>
                <w:szCs w:val="21"/>
              </w:rPr>
              <w:t>5</w:t>
            </w:r>
            <w:r>
              <w:rPr>
                <w:rFonts w:ascii="黑体" w:hAnsi="黑体" w:cs="黑体" w:eastAsia="黑体"/>
                <w:color w:val="000000"/>
                <w:szCs w:val="21"/>
              </w:rPr>
              <w:t>级：</w:t>
            </w:r>
            <w:r>
              <w:rPr>
                <w:rFonts w:ascii="黑体" w:hAnsi="黑体" w:cs="黑体" w:eastAsia="黑体"/>
                <w:bCs/>
                <w:szCs w:val="21"/>
              </w:rPr>
              <w:t>对工作满腔热情，遵守纪律；对同事、对上级热情有礼。</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49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4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25%</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15</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25</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研发经理考核评分表（月度）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181"/>
        <w:gridCol w:w="521"/>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研发业绩</w:t>
            </w:r>
            <w:r>
              <w:rPr>
                <w:rFonts w:eastAsia="黑体" w:cs="黑体" w:ascii="黑体" w:hAnsi="黑体"/>
                <w:szCs w:val="21"/>
              </w:rPr>
              <w:t>70%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研发项目数量</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Style14"/>
              <w:jc w:val="center"/>
              <w:rPr>
                <w:rFonts w:ascii="黑体" w:hAnsi="黑体" w:eastAsia="黑体" w:cs="黑体"/>
                <w:bCs w:val="false"/>
                <w:szCs w:val="21"/>
              </w:rPr>
            </w:pPr>
            <w:r>
              <w:rPr>
                <w:rFonts w:eastAsia="黑体" w:cs="黑体" w:ascii="黑体" w:hAnsi="黑体"/>
                <w:bCs w:val="false"/>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每月至少一项新成果、新工艺推出</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新成果、新工艺顺利推出，产生效果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无推出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研发成果转化效果</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科研成果成功应用，收益率增加</w:t>
            </w:r>
            <w:r>
              <w:rPr>
                <w:rFonts w:eastAsia="黑体" w:cs="黑体" w:ascii="黑体" w:hAnsi="黑体"/>
                <w:szCs w:val="21"/>
              </w:rPr>
              <w:t>10%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增加</w:t>
            </w:r>
            <w:r>
              <w:rPr>
                <w:rFonts w:eastAsia="黑体" w:cs="黑体" w:ascii="黑体" w:hAnsi="黑体"/>
                <w:szCs w:val="21"/>
              </w:rPr>
              <w:t>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没有变化甚至降低</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科研成果申报</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每季度进行一次科研成果申报</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有新技术申报得</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无申报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市场调研报告</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号前按要求提交市场调研报告，采信率达到</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按时提交，采信率在</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延时提交或不予采信得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研发成本控制</w:t>
            </w:r>
          </w:p>
        </w:tc>
        <w:tc>
          <w:tcPr>
            <w:tcW w:w="702"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研发成本控制在预算以内，并节约</w:t>
            </w:r>
            <w:r>
              <w:rPr>
                <w:rFonts w:eastAsia="黑体" w:cs="黑体" w:ascii="黑体" w:hAnsi="黑体"/>
                <w:szCs w:val="21"/>
              </w:rPr>
              <w:t>10%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控制在预算内，但无节约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超预算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研发管理</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研发流程体系的建立与完善</w:t>
            </w:r>
          </w:p>
        </w:tc>
        <w:tc>
          <w:tcPr>
            <w:tcW w:w="702" w:type="dxa"/>
            <w:gridSpan w:val="2"/>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黑体" w:hAnsi="黑体" w:eastAsia="黑体"/>
                <w:szCs w:val="21"/>
              </w:rPr>
            </w:pPr>
            <w:r>
              <w:rPr>
                <w:rFonts w:eastAsia="黑体" w:ascii="黑体" w:hAnsi="黑体"/>
                <w:szCs w:val="21"/>
              </w:rPr>
              <w:t>20%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建立研发管理制度、方法、流程</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90%</w:t>
            </w:r>
            <w:r>
              <w:rPr>
                <w:rFonts w:ascii="黑体" w:hAnsi="黑体" w:cs="黑体" w:eastAsia="黑体"/>
                <w:szCs w:val="21"/>
              </w:rPr>
              <w:t>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完成率在</w:t>
            </w:r>
            <w:r>
              <w:rPr>
                <w:rFonts w:eastAsia="黑体" w:cs="黑体" w:ascii="黑体" w:hAnsi="黑体"/>
                <w:szCs w:val="21"/>
              </w:rPr>
              <w:t>85%</w:t>
            </w:r>
            <w:r>
              <w:rPr>
                <w:rFonts w:ascii="黑体" w:hAnsi="黑体" w:cs="黑体" w:eastAsia="黑体"/>
                <w:szCs w:val="21"/>
              </w:rPr>
              <w:t>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完成率低于</w:t>
            </w:r>
            <w:r>
              <w:rPr>
                <w:rFonts w:eastAsia="黑体" w:cs="黑体" w:ascii="黑体" w:hAnsi="黑体"/>
                <w:szCs w:val="21"/>
              </w:rPr>
              <w:t>80%</w:t>
            </w:r>
            <w:r>
              <w:rPr>
                <w:rFonts w:ascii="黑体" w:hAnsi="黑体" w:cs="黑体" w:eastAsia="黑体"/>
                <w:szCs w:val="21"/>
              </w:rPr>
              <w:t>为</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58"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人才培养</w:t>
            </w:r>
          </w:p>
          <w:p>
            <w:pPr>
              <w:pStyle w:val="Normal"/>
              <w:jc w:val="center"/>
              <w:rPr>
                <w:rFonts w:ascii="黑体" w:hAnsi="黑体" w:eastAsia="黑体" w:cs="黑体"/>
                <w:szCs w:val="21"/>
              </w:rPr>
            </w:pPr>
            <w:r>
              <w:rPr>
                <w:rFonts w:eastAsia="黑体" w:cs="黑体" w:ascii="黑体" w:hAnsi="黑体"/>
                <w:szCs w:val="21"/>
              </w:rPr>
              <w:t>10%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研发人员培养</w:t>
            </w:r>
          </w:p>
        </w:tc>
        <w:tc>
          <w:tcPr>
            <w:tcW w:w="702" w:type="dxa"/>
            <w:gridSpan w:val="2"/>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培养至少</w:t>
            </w:r>
            <w:r>
              <w:rPr>
                <w:rFonts w:eastAsia="黑体" w:cs="黑体" w:ascii="黑体" w:hAnsi="黑体"/>
                <w:szCs w:val="21"/>
              </w:rPr>
              <w:t>3</w:t>
            </w:r>
            <w:r>
              <w:rPr>
                <w:rFonts w:ascii="黑体" w:hAnsi="黑体" w:cs="黑体" w:eastAsia="黑体"/>
                <w:szCs w:val="21"/>
              </w:rPr>
              <w:t>名研发专干</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缺少一人扣</w:t>
            </w:r>
            <w:r>
              <w:rPr>
                <w:rFonts w:eastAsia="黑体" w:cs="黑体" w:ascii="黑体" w:hAnsi="黑体"/>
                <w:szCs w:val="21"/>
              </w:rPr>
              <w:t>3</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主动性</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创新</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级：对周围事物的关心和兴趣</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级：勤用脑</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级：创造力</w:t>
            </w:r>
            <w:r>
              <w:rPr>
                <w:rFonts w:eastAsia="黑体" w:cs="黑体" w:ascii="黑体" w:hAnsi="黑体"/>
                <w:color w:val="000000"/>
                <w:szCs w:val="21"/>
              </w:rPr>
              <w:t>=</w:t>
            </w:r>
            <w:r>
              <w:rPr>
                <w:rFonts w:ascii="黑体" w:hAnsi="黑体" w:cs="黑体" w:eastAsia="黑体"/>
                <w:color w:val="000000"/>
                <w:szCs w:val="21"/>
              </w:rPr>
              <w:t>综合能力</w:t>
            </w:r>
            <w:r>
              <w:rPr>
                <w:rFonts w:eastAsia="黑体" w:cs="黑体" w:ascii="黑体" w:hAnsi="黑体"/>
                <w:color w:val="000000"/>
                <w:szCs w:val="21"/>
              </w:rPr>
              <w:t>+</w:t>
            </w:r>
            <w:r>
              <w:rPr>
                <w:rFonts w:ascii="黑体" w:hAnsi="黑体" w:cs="黑体" w:eastAsia="黑体"/>
                <w:color w:val="000000"/>
                <w:szCs w:val="21"/>
              </w:rPr>
              <w:t>想象力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级：要唤醒心中的创造潜力</w:t>
            </w:r>
          </w:p>
          <w:p>
            <w:pPr>
              <w:pStyle w:val="Normal"/>
              <w:rPr>
                <w:rFonts w:ascii="黑体" w:hAnsi="黑体" w:eastAsia="黑体"/>
                <w:szCs w:val="21"/>
              </w:rPr>
            </w:pPr>
            <w:r>
              <w:rPr>
                <w:rFonts w:eastAsia="黑体" w:cs="黑体" w:ascii="黑体" w:hAnsi="黑体"/>
                <w:color w:val="000000"/>
                <w:szCs w:val="21"/>
              </w:rPr>
              <w:t>5</w:t>
            </w:r>
            <w:r>
              <w:rPr>
                <w:rFonts w:ascii="黑体" w:hAnsi="黑体" w:cs="黑体" w:eastAsia="黑体"/>
                <w:color w:val="000000"/>
                <w:szCs w:val="21"/>
              </w:rPr>
              <w:t>级：有小设想，奇想妙想，创新方案设计，小发明，科学小论文</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学习力</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级：有学习意识但无行动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 xml:space="preserve">级：主动学习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级：自费学习并得到技能</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级：学习后用于实践</w:t>
            </w:r>
          </w:p>
          <w:p>
            <w:pPr>
              <w:pStyle w:val="Normal"/>
              <w:rPr>
                <w:rFonts w:ascii="黑体" w:hAnsi="黑体" w:eastAsia="黑体"/>
                <w:szCs w:val="21"/>
              </w:rPr>
            </w:pPr>
            <w:r>
              <w:rPr>
                <w:rFonts w:eastAsia="黑体" w:cs="黑体" w:ascii="黑体" w:hAnsi="黑体"/>
                <w:color w:val="000000"/>
                <w:szCs w:val="21"/>
              </w:rPr>
              <w:t>5</w:t>
            </w:r>
            <w:r>
              <w:rPr>
                <w:rFonts w:ascii="黑体" w:hAnsi="黑体" w:cs="黑体" w:eastAsia="黑体"/>
                <w:color w:val="000000"/>
                <w:szCs w:val="21"/>
              </w:rPr>
              <w:t>级：学习后实践并得到良好效果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szCs w:val="21"/>
              </w:rPr>
            </w:pPr>
            <w:r>
              <w:rPr>
                <w:rFonts w:ascii="黑体" w:hAnsi="黑体" w:cs="黑体" w:eastAsia="黑体"/>
                <w:color w:val="000000"/>
                <w:szCs w:val="21"/>
              </w:rPr>
              <w:t>成长认知</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3600"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级：工作失误，承认结果，不报怨，不报复批评者与处罚者</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级：绩效分值低于一般时，找出工作症结并提出新建议</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级：单位周期内工作链点不出现失误</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级：角色认知，接受现实，工作积极</w:t>
            </w:r>
          </w:p>
          <w:p>
            <w:pPr>
              <w:pStyle w:val="Normal"/>
              <w:widowControl/>
              <w:jc w:val="start"/>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级：进步有递进性，具备明显工作价值的提升</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4</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8</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12</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16</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3"/>
            <w:tcBorders>
              <w:top w:val="single" w:sz="6" w:space="0" w:color="000000"/>
              <w:start w:val="single" w:sz="6" w:space="0" w:color="000000"/>
              <w:bottom w:val="single" w:sz="6" w:space="0" w:color="000000"/>
              <w:end w:val="single" w:sz="12" w:space="0" w:color="000000"/>
            </w:tcBorders>
          </w:tcPr>
          <w:p>
            <w:pPr>
              <w:pStyle w:val="Normal"/>
              <w:snapToGrid w:val="false"/>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8"/>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8"/>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楷体_GB2312;宋体" w:hAnsi="楷体_GB2312;宋体" w:eastAsia="楷体_GB2312;宋体"/>
          <w:b/>
          <w:b/>
          <w:sz w:val="32"/>
          <w:szCs w:val="32"/>
        </w:rPr>
      </w:pPr>
      <w:r>
        <w:br w:type="page"/>
      </w:r>
      <w:r>
        <w:rPr>
          <w:rFonts w:ascii="楷体_GB2312;宋体" w:hAnsi="楷体_GB2312;宋体" w:eastAsia="楷体_GB2312;宋体"/>
          <w:b/>
          <w:sz w:val="32"/>
          <w:szCs w:val="32"/>
        </w:rPr>
        <w:t>四、基层绩效考核表</w:t>
      </w:r>
    </w:p>
    <w:p>
      <w:pPr>
        <w:pStyle w:val="Normal"/>
        <w:numPr>
          <w:ilvl w:val="0"/>
          <w:numId w:val="0"/>
        </w:numPr>
        <w:jc w:val="center"/>
        <w:outlineLvl w:val="0"/>
        <w:rPr>
          <w:rFonts w:ascii="宋体" w:hAnsi="宋体" w:eastAsia="楷体_GB2312;宋体" w:cs="宋体"/>
          <w:b/>
          <w:b/>
          <w:sz w:val="24"/>
          <w:szCs w:val="32"/>
        </w:rPr>
      </w:pPr>
      <w:r>
        <w:rPr>
          <w:rFonts w:eastAsia="楷体_GB2312;宋体" w:cs="宋体" w:ascii="宋体" w:hAnsi="宋体"/>
          <w:b/>
          <w:sz w:val="24"/>
          <w:szCs w:val="32"/>
        </w:rPr>
      </w:r>
    </w:p>
    <w:p>
      <w:pPr>
        <w:pStyle w:val="Normal"/>
        <w:numPr>
          <w:ilvl w:val="0"/>
          <w:numId w:val="0"/>
        </w:numPr>
        <w:jc w:val="center"/>
        <w:outlineLvl w:val="0"/>
        <w:rPr>
          <w:rFonts w:ascii="宋体" w:hAnsi="宋体" w:cs="宋体"/>
        </w:rPr>
      </w:pPr>
      <w:r>
        <w:rPr>
          <w:rFonts w:ascii="宋体" w:hAnsi="宋体" w:cs="宋体"/>
          <w:b/>
          <w:sz w:val="24"/>
        </w:rPr>
        <w:t>仓库管理员考核评分表（月度）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81"/>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台帐管理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台帐登记及时，完整无缺失，帐实相符率</w:t>
            </w:r>
            <w:r>
              <w:rPr>
                <w:rFonts w:eastAsia="黑体" w:cs="黑体" w:ascii="黑体" w:hAnsi="黑体"/>
                <w:szCs w:val="21"/>
              </w:rPr>
              <w:t>95%</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仓库安全度</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货物存放安全，有防火防盗防潮防虫等制度标准</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有标准，但不完善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标准少或无标准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仓库物品存放</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环境干净整洁，按区域摆放，易于货物流动，</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延误且严重差错</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货损</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无货损</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货损率控制在</w:t>
            </w:r>
            <w:r>
              <w:rPr>
                <w:rFonts w:eastAsia="黑体" w:cs="黑体" w:ascii="黑体" w:hAnsi="黑体"/>
                <w:szCs w:val="21"/>
              </w:rPr>
              <w:t>2%</w:t>
            </w:r>
            <w:r>
              <w:rPr>
                <w:rFonts w:ascii="黑体" w:hAnsi="黑体" w:cs="黑体" w:eastAsia="黑体"/>
                <w:szCs w:val="21"/>
              </w:rPr>
              <w:t xml:space="preserve">以内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货损率超过</w:t>
            </w:r>
            <w:r>
              <w:rPr>
                <w:rFonts w:eastAsia="黑体" w:cs="黑体" w:ascii="黑体" w:hAnsi="黑体"/>
                <w:szCs w:val="21"/>
              </w:rPr>
              <w:t>2%  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流转手续</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借用手续完整无缺失，出入单据准确无缺失 </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个别差错，不影响整体数据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严重差错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1"/>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color w:val="000000"/>
                <w:szCs w:val="21"/>
              </w:rPr>
            </w:pPr>
            <w:r>
              <w:rPr>
                <w:rFonts w:ascii="黑体" w:hAnsi="黑体" w:cs="黑体" w:eastAsia="黑体"/>
                <w:color w:val="000000"/>
                <w:szCs w:val="21"/>
              </w:rPr>
              <w:t>承担责任</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1"/>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6"/>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6"/>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楷体_GB2312;宋体" w:hAnsi="楷体_GB2312;宋体" w:eastAsia="楷体_GB2312;宋体"/>
          <w:b/>
          <w:b/>
          <w:sz w:val="32"/>
          <w:szCs w:val="32"/>
        </w:rPr>
      </w:pPr>
      <w:r>
        <w:rPr>
          <w:rFonts w:eastAsia="楷体_GB2312;宋体" w:ascii="楷体_GB2312;宋体" w:hAnsi="楷体_GB2312;宋体"/>
          <w:b/>
          <w:sz w:val="32"/>
          <w:szCs w:val="32"/>
        </w:rPr>
      </w:r>
      <w:r>
        <w:br w:type="page"/>
      </w:r>
    </w:p>
    <w:p>
      <w:pPr>
        <w:pStyle w:val="Normal"/>
        <w:numPr>
          <w:ilvl w:val="0"/>
          <w:numId w:val="0"/>
        </w:numPr>
        <w:jc w:val="center"/>
        <w:outlineLvl w:val="0"/>
        <w:rPr>
          <w:rFonts w:ascii="宋体" w:hAnsi="宋体" w:cs="宋体"/>
        </w:rPr>
      </w:pPr>
      <w:r>
        <w:rPr>
          <w:rFonts w:ascii="宋体" w:hAnsi="宋体" w:cs="宋体"/>
          <w:b/>
          <w:sz w:val="24"/>
        </w:rPr>
        <w:t>出纳考核评分表（月度）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80%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帐表管理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凭证、帐表准确率</w:t>
            </w:r>
            <w:r>
              <w:rPr>
                <w:rFonts w:eastAsia="黑体" w:cs="黑体" w:ascii="黑体" w:hAnsi="黑体"/>
                <w:szCs w:val="21"/>
              </w:rPr>
              <w:t>100%</w:t>
            </w:r>
            <w:r>
              <w:rPr>
                <w:rFonts w:ascii="黑体" w:hAnsi="黑体" w:cs="黑体" w:eastAsia="黑体"/>
                <w:szCs w:val="21"/>
              </w:rPr>
              <w:t>以上，完整无缺失。</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现金管理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现金收付无差错、管理安全</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否则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票据管理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发票、支票购买及时无延误，开具准确率</w:t>
            </w:r>
            <w:r>
              <w:rPr>
                <w:rFonts w:eastAsia="黑体" w:cs="黑体" w:ascii="黑体" w:hAnsi="黑体"/>
                <w:szCs w:val="21"/>
              </w:rPr>
              <w:t>95%</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延误且严重差错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纳税申报</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纳税申报无延误，准确率为</w:t>
            </w:r>
            <w:r>
              <w:rPr>
                <w:rFonts w:eastAsia="黑体" w:cs="黑体" w:ascii="黑体" w:hAnsi="黑体"/>
                <w:szCs w:val="21"/>
              </w:rPr>
              <w:t>100%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一项未达标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二项均未达标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费用报销</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费用报销及时，无差错，无违替违法行为</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个别差错，不影响整体数据，不违法违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延误且严重差错或违法违规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财务信息管理</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ind w:end="105" w:hanging="0"/>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资料齐全，无外泄</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资料丢失或外泄</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会计考核评分表（月度）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80%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财务核算</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日前完成财务核算，无差错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财务预算管理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1</w:t>
            </w:r>
            <w:r>
              <w:rPr>
                <w:rFonts w:ascii="黑体" w:hAnsi="黑体" w:cs="黑体" w:eastAsia="黑体"/>
                <w:szCs w:val="21"/>
              </w:rPr>
              <w:t>日出本月预算，预算费用与实际费用误差率在</w:t>
            </w:r>
            <w:r>
              <w:rPr>
                <w:rFonts w:eastAsia="黑体" w:cs="黑体" w:ascii="黑体" w:hAnsi="黑体"/>
                <w:szCs w:val="21"/>
              </w:rPr>
              <w:t>5%</w:t>
            </w:r>
            <w:r>
              <w:rPr>
                <w:rFonts w:ascii="黑体" w:hAnsi="黑体" w:cs="黑体" w:eastAsia="黑体"/>
                <w:szCs w:val="21"/>
              </w:rPr>
              <w:t>以内</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制定预算，误差率在</w:t>
            </w:r>
            <w:r>
              <w:rPr>
                <w:rFonts w:eastAsia="黑体" w:cs="黑体" w:ascii="黑体" w:hAnsi="黑体"/>
                <w:szCs w:val="21"/>
              </w:rPr>
              <w:t>5%-10%</w:t>
            </w:r>
            <w:r>
              <w:rPr>
                <w:rFonts w:ascii="黑体" w:hAnsi="黑体" w:cs="黑体" w:eastAsia="黑体"/>
                <w:szCs w:val="21"/>
              </w:rPr>
              <w:t xml:space="preserve">为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误差率超</w:t>
            </w:r>
            <w:r>
              <w:rPr>
                <w:rFonts w:eastAsia="黑体" w:cs="黑体" w:ascii="黑体" w:hAnsi="黑体"/>
                <w:szCs w:val="21"/>
              </w:rPr>
              <w:t>10%</w:t>
            </w:r>
            <w:r>
              <w:rPr>
                <w:rFonts w:ascii="黑体" w:hAnsi="黑体" w:cs="黑体" w:eastAsia="黑体"/>
                <w:szCs w:val="21"/>
              </w:rPr>
              <w:t>或无预算</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帐务管理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凭证、帐表准确率</w:t>
            </w:r>
            <w:r>
              <w:rPr>
                <w:rFonts w:eastAsia="黑体" w:cs="黑体" w:ascii="黑体" w:hAnsi="黑体"/>
                <w:szCs w:val="21"/>
              </w:rPr>
              <w:t>100%</w:t>
            </w:r>
            <w:r>
              <w:rPr>
                <w:rFonts w:ascii="黑体" w:hAnsi="黑体" w:cs="黑体" w:eastAsia="黑体"/>
                <w:szCs w:val="21"/>
              </w:rPr>
              <w:t>以上，完整无缺失。</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纳税申报</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纳税申报无延误，准确率为</w:t>
            </w:r>
            <w:r>
              <w:rPr>
                <w:rFonts w:eastAsia="黑体" w:cs="黑体" w:ascii="黑体" w:hAnsi="黑体"/>
                <w:szCs w:val="21"/>
              </w:rPr>
              <w:t>100%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一项未达标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二项均未达标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财务分析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7</w:t>
            </w:r>
            <w:r>
              <w:rPr>
                <w:rFonts w:ascii="黑体" w:hAnsi="黑体" w:cs="黑体" w:eastAsia="黑体"/>
                <w:szCs w:val="21"/>
              </w:rPr>
              <w:t>日前按标准出上月财务分析报告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按时提交报告，但报告质量采信度一般</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延时提交或报告不予采信</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财务体系流程建设及培训</w:t>
            </w:r>
          </w:p>
        </w:tc>
        <w:tc>
          <w:tcPr>
            <w:tcW w:w="702"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财务体系流程建立、优化完善</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财务体系流程完善</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w:t>
            </w:r>
            <w:r>
              <w:rPr>
                <w:rFonts w:eastAsia="黑体" w:cs="黑体" w:ascii="黑体" w:hAnsi="黑体"/>
                <w:szCs w:val="21"/>
              </w:rPr>
              <w:t>80%-90%  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财务体系完善度低于</w:t>
            </w:r>
            <w:r>
              <w:rPr>
                <w:rFonts w:eastAsia="黑体" w:cs="黑体" w:ascii="黑体" w:hAnsi="黑体"/>
                <w:szCs w:val="21"/>
              </w:rPr>
              <w:t>80% 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财务信息管理</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资料齐全，无外泄</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资料丢失或外泄</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清财</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级：不违反财务制度</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级：没有任何财务问题，并主动接受监督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级：不因自身利益而破坏游戏规则</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级：主动节省费用，并不影响工作质量</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级：因为财务明磊，对其它成员产生影响力与威慑力</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人事专员考核评分表（月度）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任务绩效</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ind w:start="-4" w:hanging="15"/>
              <w:rPr>
                <w:rFonts w:ascii="黑体" w:hAnsi="黑体" w:eastAsia="黑体" w:cs="黑体"/>
                <w:szCs w:val="21"/>
              </w:rPr>
            </w:pPr>
            <w:r>
              <w:rPr>
                <w:rFonts w:ascii="黑体" w:hAnsi="黑体" w:cs="黑体" w:eastAsia="黑体"/>
                <w:szCs w:val="21"/>
              </w:rPr>
              <w:t>招聘达成</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Style14"/>
              <w:jc w:val="end"/>
              <w:rPr>
                <w:rFonts w:ascii="黑体" w:hAnsi="黑体" w:eastAsia="黑体" w:cs="黑体"/>
                <w:bCs w:val="false"/>
                <w:szCs w:val="21"/>
              </w:rPr>
            </w:pPr>
            <w:r>
              <w:rPr>
                <w:rFonts w:eastAsia="黑体" w:cs="黑体" w:ascii="黑体" w:hAnsi="黑体"/>
                <w:bCs w:val="false"/>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提出招聘需求</w:t>
            </w:r>
            <w:r>
              <w:rPr>
                <w:rFonts w:eastAsia="黑体" w:cs="黑体" w:ascii="黑体" w:hAnsi="黑体"/>
                <w:szCs w:val="21"/>
              </w:rPr>
              <w:t>20</w:t>
            </w:r>
            <w:r>
              <w:rPr>
                <w:rFonts w:ascii="黑体" w:hAnsi="黑体" w:cs="黑体" w:eastAsia="黑体"/>
                <w:szCs w:val="21"/>
              </w:rPr>
              <w:t>天内完成，完成需招聘岗位数量</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达到目标要求</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在规定时间内完成人员到岗</w:t>
            </w:r>
            <w:r>
              <w:rPr>
                <w:rFonts w:eastAsia="黑体" w:cs="黑体" w:ascii="黑体" w:hAnsi="黑体"/>
                <w:szCs w:val="21"/>
              </w:rPr>
              <w:t>85%</w:t>
            </w:r>
            <w:r>
              <w:rPr>
                <w:rFonts w:ascii="黑体" w:hAnsi="黑体" w:cs="黑体" w:eastAsia="黑体"/>
                <w:szCs w:val="21"/>
              </w:rPr>
              <w:t>以上得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其余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劳动纠纷解决</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劳动纠纷在第一时间解决，不扩大事端</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劳动纠纷解决率</w:t>
            </w:r>
            <w:r>
              <w:rPr>
                <w:rFonts w:eastAsia="黑体" w:cs="黑体" w:ascii="黑体" w:hAnsi="黑体"/>
                <w:szCs w:val="21"/>
              </w:rPr>
              <w:t>100%</w:t>
            </w:r>
            <w:r>
              <w:rPr>
                <w:rFonts w:ascii="黑体" w:hAnsi="黑体" w:cs="黑体" w:eastAsia="黑体"/>
                <w:szCs w:val="21"/>
              </w:rPr>
              <w:t>，未发生劳动仲裁</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发生劳动仲裁事件 </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统计报表</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及时上报政府机关、辖区各类统计报表，无差错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达到目标要求</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有延误但未造成损失</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其余</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社保、公积金办理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办理及时、准确，无延误、无遗漏、无查错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出现小差错，但未造成影响  </w:t>
            </w:r>
            <w:r>
              <w:rPr>
                <w:rFonts w:eastAsia="黑体" w:cs="黑体" w:ascii="黑体" w:hAnsi="黑体"/>
                <w:szCs w:val="21"/>
              </w:rPr>
              <w:t>10</w:t>
            </w:r>
            <w:r>
              <w:rPr>
                <w:rFonts w:ascii="黑体" w:hAnsi="黑体" w:cs="黑体" w:eastAsia="黑体"/>
                <w:szCs w:val="21"/>
              </w:rPr>
              <w:t>分</w:t>
            </w:r>
          </w:p>
          <w:p>
            <w:pPr>
              <w:pStyle w:val="Normal"/>
              <w:ind w:firstLine="105"/>
              <w:rPr>
                <w:rFonts w:ascii="黑体" w:hAnsi="黑体" w:eastAsia="黑体" w:cs="黑体"/>
                <w:szCs w:val="21"/>
              </w:rPr>
            </w:pPr>
            <w:r>
              <w:rPr>
                <w:rFonts w:ascii="黑体" w:hAnsi="黑体" w:cs="黑体" w:eastAsia="黑体"/>
                <w:szCs w:val="21"/>
              </w:rPr>
              <w:t>造成损失或劳动争议</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员工奖惩处理</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按制度执行，公平公正</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按公司制度执行，员工普遍接受得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出现员工重大投诉事件或违章处理事件得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7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员工关系管理</w:t>
            </w:r>
          </w:p>
        </w:tc>
        <w:tc>
          <w:tcPr>
            <w:tcW w:w="702" w:type="dxa"/>
            <w:tcBorders>
              <w:top w:val="single" w:sz="4"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1685"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员工日常关系维护，提高员工满意义及忠诚度 </w:t>
            </w:r>
          </w:p>
        </w:tc>
        <w:tc>
          <w:tcPr>
            <w:tcW w:w="253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员工流失率低于同期得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员工流失率基本与同期持平得</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员工流失率低于同期得</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承担责任</w:t>
            </w:r>
          </w:p>
        </w:tc>
        <w:tc>
          <w:tcPr>
            <w:tcW w:w="57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4320" w:type="dxa"/>
            <w:gridSpan w:val="5"/>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售后服务员考核评分表（月度）</w:t>
      </w:r>
    </w:p>
    <w:p>
      <w:pPr>
        <w:pStyle w:val="Normal"/>
        <w:jc w:val="end"/>
        <w:rPr>
          <w:rFonts w:ascii="宋体" w:hAnsi="宋体" w:cs="宋体"/>
          <w:b/>
          <w:b/>
        </w:rPr>
      </w:pPr>
      <w:r>
        <w:rPr>
          <w:rFonts w:ascii="宋体" w:hAnsi="宋体" w:cs="宋体"/>
          <w:b/>
        </w:rPr>
        <w:t>考核期间：        年   月</w:t>
      </w:r>
    </w:p>
    <w:tbl>
      <w:tblPr>
        <w:tblW w:w="9108" w:type="dxa"/>
        <w:jc w:val="start"/>
        <w:tblInd w:w="0" w:type="dxa"/>
        <w:tblLayout w:type="fixed"/>
        <w:tblCellMar>
          <w:top w:w="0" w:type="dxa"/>
          <w:start w:w="108" w:type="dxa"/>
          <w:bottom w:w="0" w:type="dxa"/>
          <w:end w:w="108" w:type="dxa"/>
        </w:tblCellMar>
      </w:tblPr>
      <w:tblGrid>
        <w:gridCol w:w="596"/>
        <w:gridCol w:w="226"/>
        <w:gridCol w:w="300"/>
        <w:gridCol w:w="741"/>
        <w:gridCol w:w="571"/>
        <w:gridCol w:w="539"/>
        <w:gridCol w:w="541"/>
        <w:gridCol w:w="990"/>
        <w:gridCol w:w="1073"/>
        <w:gridCol w:w="831"/>
        <w:gridCol w:w="1440"/>
        <w:gridCol w:w="360"/>
        <w:gridCol w:w="11"/>
        <w:gridCol w:w="349"/>
        <w:gridCol w:w="77"/>
        <w:gridCol w:w="463"/>
      </w:tblGrid>
      <w:tr>
        <w:trPr>
          <w:trHeight w:val="340" w:hRule="atLeast"/>
          <w:cantSplit w:val="true"/>
        </w:trPr>
        <w:tc>
          <w:tcPr>
            <w:tcW w:w="822"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1"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604" w:type="dxa"/>
            <w:gridSpan w:val="8"/>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1"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41"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2063"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27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260" w:type="dxa"/>
            <w:gridSpan w:val="5"/>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1"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541"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2063"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27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客户信息管理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客户信息录入及时、准确、完整，使用功能达到</w:t>
            </w:r>
            <w:r>
              <w:rPr>
                <w:rFonts w:eastAsia="黑体" w:cs="黑体" w:ascii="黑体" w:hAnsi="黑体"/>
                <w:szCs w:val="21"/>
              </w:rPr>
              <w:t>90%</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75%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客户档案管理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档案存放整齐无缺失，有目录，查阅方便</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有部分不完整，但影响不大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不完整且严重缺失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客户回访</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有回访标准、流程，重点客户每月回访一次</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回访率达到</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无标准，且回访率低于</w:t>
            </w:r>
            <w:r>
              <w:rPr>
                <w:rFonts w:eastAsia="黑体" w:cs="黑体" w:ascii="黑体" w:hAnsi="黑体"/>
                <w:szCs w:val="21"/>
              </w:rPr>
              <w:t>80%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投诉处理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客户投诉在</w:t>
            </w:r>
            <w:r>
              <w:rPr>
                <w:rFonts w:eastAsia="黑体" w:cs="黑体" w:ascii="黑体" w:hAnsi="黑体"/>
                <w:szCs w:val="21"/>
              </w:rPr>
              <w:t>2</w:t>
            </w:r>
            <w:r>
              <w:rPr>
                <w:rFonts w:ascii="黑体" w:hAnsi="黑体" w:cs="黑体" w:eastAsia="黑体"/>
                <w:szCs w:val="21"/>
              </w:rPr>
              <w:t>小时内响应，</w:t>
            </w:r>
            <w:r>
              <w:rPr>
                <w:rFonts w:eastAsia="黑体" w:cs="黑体" w:ascii="黑体" w:hAnsi="黑体"/>
                <w:szCs w:val="21"/>
              </w:rPr>
              <w:t>3</w:t>
            </w:r>
            <w:r>
              <w:rPr>
                <w:rFonts w:ascii="黑体" w:hAnsi="黑体" w:cs="黑体" w:eastAsia="黑体"/>
                <w:szCs w:val="21"/>
              </w:rPr>
              <w:t>个工作日解决，解决率</w:t>
            </w:r>
            <w:r>
              <w:rPr>
                <w:rFonts w:eastAsia="黑体" w:cs="黑体" w:ascii="黑体" w:hAnsi="黑体"/>
                <w:szCs w:val="21"/>
              </w:rPr>
              <w:t>100%</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完成所有要求</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任一项没有满足扣</w:t>
            </w:r>
            <w:r>
              <w:rPr>
                <w:rFonts w:eastAsia="黑体" w:cs="黑体" w:ascii="黑体" w:hAnsi="黑体"/>
                <w:szCs w:val="21"/>
              </w:rPr>
              <w:t>5</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客户满意度</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客户满意度在</w:t>
            </w:r>
            <w:r>
              <w:rPr>
                <w:rFonts w:eastAsia="黑体" w:cs="黑体" w:ascii="黑体" w:hAnsi="黑体"/>
                <w:szCs w:val="21"/>
              </w:rPr>
              <w:t>90</w:t>
            </w:r>
            <w:r>
              <w:rPr>
                <w:rFonts w:ascii="黑体" w:hAnsi="黑体" w:cs="黑体" w:eastAsia="黑体"/>
                <w:szCs w:val="21"/>
              </w:rPr>
              <w:t>分以上</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85</w:t>
            </w:r>
            <w:r>
              <w:rPr>
                <w:rFonts w:ascii="黑体" w:hAnsi="黑体" w:cs="黑体" w:eastAsia="黑体"/>
                <w:szCs w:val="21"/>
              </w:rPr>
              <w:t>分以上</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分以上</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w:t>
            </w:r>
            <w:r>
              <w:rPr>
                <w:rFonts w:ascii="黑体" w:hAnsi="黑体" w:cs="黑体" w:eastAsia="黑体"/>
                <w:szCs w:val="21"/>
              </w:rPr>
              <w:t>分</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540"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bCs/>
                <w:color w:val="000000"/>
                <w:szCs w:val="21"/>
              </w:rPr>
            </w:pPr>
            <w:r>
              <w:rPr>
                <w:rFonts w:ascii="黑体" w:hAnsi="黑体" w:cs="黑体" w:eastAsia="黑体"/>
                <w:bCs/>
                <w:color w:val="000000"/>
                <w:szCs w:val="21"/>
              </w:rPr>
              <w:t>服务细致</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完成公司</w:t>
            </w:r>
            <w:r>
              <w:rPr>
                <w:rFonts w:eastAsia="黑体" w:cs="黑体" w:ascii="黑体" w:hAnsi="黑体"/>
                <w:bCs/>
                <w:color w:val="000000"/>
                <w:szCs w:val="21"/>
              </w:rPr>
              <w:t>KPI</w:t>
            </w:r>
            <w:r>
              <w:rPr>
                <w:rFonts w:ascii="黑体" w:hAnsi="黑体" w:cs="黑体" w:eastAsia="黑体"/>
                <w:bCs/>
                <w:color w:val="000000"/>
                <w:szCs w:val="21"/>
              </w:rPr>
              <w:t>服务流程</w:t>
            </w:r>
          </w:p>
          <w:p>
            <w:pPr>
              <w:pStyle w:val="Normal"/>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主动性问询服务性问题</w:t>
            </w:r>
          </w:p>
          <w:p>
            <w:pPr>
              <w:pStyle w:val="Normal"/>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无客户性投诉的流程执行</w:t>
            </w:r>
          </w:p>
          <w:p>
            <w:pPr>
              <w:pStyle w:val="Normal"/>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适用性全面服务与实诚性服务</w:t>
            </w:r>
          </w:p>
          <w:p>
            <w:pPr>
              <w:pStyle w:val="Normal"/>
              <w:rPr>
                <w:rFonts w:ascii="黑体" w:hAnsi="黑体" w:eastAsia="黑体" w:cs="黑体"/>
                <w:color w:val="000000"/>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能给客户带来意想不到的服务知识与感受</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黑体" w:hAnsi="黑体" w:eastAsia="黑体" w:cs="黑体"/>
                <w:bCs/>
                <w:szCs w:val="21"/>
              </w:rPr>
            </w:pPr>
            <w:r>
              <w:rPr>
                <w:rFonts w:eastAsia="黑体" w:cs="黑体" w:ascii="黑体" w:hAnsi="黑体"/>
                <w:bCs/>
                <w:szCs w:val="21"/>
              </w:rPr>
            </w:r>
          </w:p>
          <w:p>
            <w:pPr>
              <w:pStyle w:val="Normal"/>
              <w:widowControl/>
              <w:jc w:val="start"/>
              <w:rPr>
                <w:rFonts w:ascii="黑体" w:hAnsi="黑体" w:eastAsia="黑体" w:cs="黑体"/>
                <w:color w:val="000000"/>
                <w:szCs w:val="21"/>
              </w:rPr>
            </w:pPr>
            <w:r>
              <w:rPr>
                <w:rFonts w:ascii="黑体" w:hAnsi="黑体" w:cs="黑体" w:eastAsia="黑体"/>
                <w:color w:val="000000"/>
                <w:szCs w:val="21"/>
              </w:rPr>
              <w:t>以客户为中心</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级：提供必要服务</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级：迅速而不可分辩解决客户需求</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级：找出客户深层次（真实）需求并提供相应产品服力</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级：成为客户信赖对象，并维护组织利益下影响客户决策</w:t>
            </w:r>
          </w:p>
          <w:p>
            <w:pPr>
              <w:pStyle w:val="Normal"/>
              <w:rPr>
                <w:szCs w:val="21"/>
              </w:rPr>
            </w:pPr>
            <w:r>
              <w:rPr>
                <w:rFonts w:eastAsia="黑体" w:cs="黑体" w:ascii="黑体" w:hAnsi="黑体"/>
                <w:color w:val="000000"/>
                <w:szCs w:val="21"/>
              </w:rPr>
              <w:t>5</w:t>
            </w:r>
            <w:r>
              <w:rPr>
                <w:rFonts w:ascii="黑体" w:hAnsi="黑体" w:cs="黑体" w:eastAsia="黑体"/>
                <w:color w:val="000000"/>
                <w:szCs w:val="21"/>
              </w:rPr>
              <w:t>级：维护客户利益，而促进长远组织利益</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512" w:type="dxa"/>
            <w:gridSpan w:val="15"/>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596"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512" w:type="dxa"/>
            <w:gridSpan w:val="15"/>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司机考核评分表（月度）</w:t>
      </w:r>
    </w:p>
    <w:p>
      <w:pPr>
        <w:pStyle w:val="Normal"/>
        <w:jc w:val="end"/>
        <w:rPr>
          <w:rFonts w:ascii="宋体" w:hAnsi="宋体" w:cs="宋体"/>
          <w:b/>
          <w:b/>
        </w:rPr>
      </w:pPr>
      <w:r>
        <w:rPr>
          <w:rFonts w:ascii="宋体" w:hAnsi="宋体" w:cs="宋体"/>
          <w:b/>
        </w:rPr>
        <w:t>考核期间：        年   月</w:t>
      </w:r>
    </w:p>
    <w:tbl>
      <w:tblPr>
        <w:tblW w:w="9108" w:type="dxa"/>
        <w:jc w:val="start"/>
        <w:tblInd w:w="0" w:type="dxa"/>
        <w:tblLayout w:type="fixed"/>
        <w:tblCellMar>
          <w:top w:w="0" w:type="dxa"/>
          <w:start w:w="108" w:type="dxa"/>
          <w:bottom w:w="0" w:type="dxa"/>
          <w:end w:w="108" w:type="dxa"/>
        </w:tblCellMar>
      </w:tblPr>
      <w:tblGrid>
        <w:gridCol w:w="596"/>
        <w:gridCol w:w="226"/>
        <w:gridCol w:w="300"/>
        <w:gridCol w:w="741"/>
        <w:gridCol w:w="571"/>
        <w:gridCol w:w="539"/>
        <w:gridCol w:w="541"/>
        <w:gridCol w:w="990"/>
        <w:gridCol w:w="1073"/>
        <w:gridCol w:w="831"/>
        <w:gridCol w:w="1440"/>
        <w:gridCol w:w="360"/>
        <w:gridCol w:w="11"/>
        <w:gridCol w:w="349"/>
        <w:gridCol w:w="77"/>
        <w:gridCol w:w="463"/>
      </w:tblGrid>
      <w:tr>
        <w:trPr>
          <w:trHeight w:val="340" w:hRule="atLeast"/>
          <w:cantSplit w:val="true"/>
        </w:trPr>
        <w:tc>
          <w:tcPr>
            <w:tcW w:w="822"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1"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604" w:type="dxa"/>
            <w:gridSpan w:val="8"/>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1"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41"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2063"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27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260" w:type="dxa"/>
            <w:gridSpan w:val="5"/>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1"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541"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2063"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27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出车及时率</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接到任务，及时出车无延误，投诉率为</w:t>
            </w:r>
            <w:r>
              <w:rPr>
                <w:rFonts w:eastAsia="黑体" w:cs="黑体" w:ascii="黑体" w:hAnsi="黑体"/>
                <w:szCs w:val="21"/>
              </w:rPr>
              <w:t>0</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有短时间延误，但未造成不良影响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有投诉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行车安全性</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月度内无责任交通事故发生，无违章情形发生</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被动发生交通事故，但影响不大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发生责任交通事故</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车辆保养度</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及时保养车辆，熟悉所开车辆性能，机体清洁</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延误保养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机体脏差未清洁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车辆维修费用</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维修费用控制在预算内，并较上期减少</w:t>
            </w:r>
            <w:r>
              <w:rPr>
                <w:rFonts w:eastAsia="黑体" w:cs="黑体" w:ascii="黑体" w:hAnsi="黑体"/>
                <w:szCs w:val="21"/>
              </w:rPr>
              <w:t>10%</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控制在预算内，但无减少   </w:t>
            </w:r>
            <w:r>
              <w:rPr>
                <w:rFonts w:eastAsia="黑体" w:cs="黑体" w:ascii="黑体" w:hAnsi="黑体"/>
                <w:szCs w:val="21"/>
              </w:rPr>
              <w:t>10</w:t>
            </w:r>
            <w:r>
              <w:rPr>
                <w:rFonts w:ascii="黑体" w:hAnsi="黑体" w:cs="黑体" w:eastAsia="黑体"/>
                <w:szCs w:val="21"/>
              </w:rPr>
              <w:t>分</w:t>
            </w:r>
          </w:p>
          <w:p>
            <w:pPr>
              <w:pStyle w:val="Normal"/>
              <w:ind w:firstLine="210"/>
              <w:jc w:val="center"/>
              <w:rPr>
                <w:rFonts w:ascii="黑体" w:hAnsi="黑体" w:eastAsia="黑体" w:cs="黑体"/>
                <w:szCs w:val="21"/>
              </w:rPr>
            </w:pPr>
            <w:r>
              <w:rPr>
                <w:rFonts w:ascii="黑体" w:hAnsi="黑体" w:cs="黑体" w:eastAsia="黑体"/>
                <w:szCs w:val="21"/>
              </w:rPr>
              <w:t xml:space="preserve">超预算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行车记录</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每天都有行车记录，记录准确无遗漏</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90%</w:t>
            </w:r>
            <w:r>
              <w:rPr>
                <w:rFonts w:ascii="黑体" w:hAnsi="黑体" w:cs="黑体" w:eastAsia="黑体"/>
                <w:szCs w:val="21"/>
              </w:rPr>
              <w:t xml:space="preserve">以上有记录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 xml:space="preserve">以下无记录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540"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工作服从</w:t>
            </w:r>
          </w:p>
          <w:p>
            <w:pPr>
              <w:pStyle w:val="Normal"/>
              <w:widowControl/>
              <w:jc w:val="start"/>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级：服从工作，并不工作不报怨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级：服从上级，并能做好工作</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级：服从工作，并能对上级不妥的命令提出合理化建议</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级：绝对忠诚态度工作，并产生良好结果</w:t>
            </w:r>
          </w:p>
          <w:p>
            <w:pPr>
              <w:pStyle w:val="Norma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级：不需要命令就能产生良好工作结果</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bCs/>
                <w:color w:val="000000"/>
                <w:szCs w:val="21"/>
              </w:rPr>
            </w:pPr>
            <w:r>
              <w:rPr>
                <w:rFonts w:ascii="黑体" w:hAnsi="黑体" w:cs="黑体" w:eastAsia="黑体"/>
                <w:bCs/>
                <w:color w:val="000000"/>
                <w:szCs w:val="21"/>
              </w:rPr>
              <w:t>服务细致</w:t>
            </w:r>
          </w:p>
          <w:p>
            <w:pPr>
              <w:pStyle w:val="Normal"/>
              <w:jc w:val="center"/>
              <w:rPr>
                <w:rFonts w:ascii="黑体" w:hAnsi="黑体" w:eastAsia="黑体" w:cs="黑体"/>
                <w:bCs/>
                <w:color w:val="000000"/>
                <w:szCs w:val="21"/>
              </w:rPr>
            </w:pPr>
            <w:r>
              <w:rPr>
                <w:rFonts w:eastAsia="黑体" w:cs="黑体" w:ascii="黑体" w:hAnsi="黑体"/>
                <w:bCs/>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tcPr>
          <w:p>
            <w:pPr>
              <w:pStyle w:val="Normal"/>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完成公司</w:t>
            </w:r>
            <w:r>
              <w:rPr>
                <w:rFonts w:eastAsia="黑体" w:cs="黑体" w:ascii="黑体" w:hAnsi="黑体"/>
                <w:bCs/>
                <w:color w:val="000000"/>
                <w:szCs w:val="21"/>
              </w:rPr>
              <w:t>KPI</w:t>
            </w:r>
            <w:r>
              <w:rPr>
                <w:rFonts w:ascii="黑体" w:hAnsi="黑体" w:cs="黑体" w:eastAsia="黑体"/>
                <w:bCs/>
                <w:color w:val="000000"/>
                <w:szCs w:val="21"/>
              </w:rPr>
              <w:t>服务流程</w:t>
            </w:r>
          </w:p>
          <w:p>
            <w:pPr>
              <w:pStyle w:val="Normal"/>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主动性问询服务性问题</w:t>
            </w:r>
          </w:p>
          <w:p>
            <w:pPr>
              <w:pStyle w:val="Normal"/>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无客户性投诉的流程执行</w:t>
            </w:r>
          </w:p>
          <w:p>
            <w:pPr>
              <w:pStyle w:val="Normal"/>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适用性全面服务与实诚性服务</w:t>
            </w:r>
          </w:p>
          <w:p>
            <w:pPr>
              <w:pStyle w:val="Normal"/>
              <w:rPr>
                <w:rFonts w:ascii="黑体" w:hAnsi="黑体" w:eastAsia="黑体" w:cs="黑体"/>
                <w:color w:val="000000"/>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能给客户带来意想不到的服务知识与感受</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512" w:type="dxa"/>
            <w:gridSpan w:val="15"/>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596"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512" w:type="dxa"/>
            <w:gridSpan w:val="15"/>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网络管理员考核评分表（月度）</w:t>
      </w:r>
    </w:p>
    <w:p>
      <w:pPr>
        <w:pStyle w:val="Normal"/>
        <w:jc w:val="end"/>
        <w:rPr>
          <w:rFonts w:ascii="宋体" w:hAnsi="宋体" w:cs="宋体"/>
          <w:b/>
          <w:b/>
        </w:rPr>
      </w:pPr>
      <w:r>
        <w:rPr>
          <w:rFonts w:ascii="宋体" w:hAnsi="宋体" w:cs="宋体"/>
          <w:b/>
        </w:rPr>
        <w:t>考核期间：        年   月</w:t>
      </w:r>
    </w:p>
    <w:tbl>
      <w:tblPr>
        <w:tblW w:w="9288"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702"/>
        <w:gridCol w:w="838"/>
        <w:gridCol w:w="847"/>
        <w:gridCol w:w="1394"/>
        <w:gridCol w:w="1137"/>
        <w:gridCol w:w="78"/>
        <w:gridCol w:w="381"/>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761"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7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685"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702"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1685"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网络安全</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公司网站运行安全，无数据丢失或入侵事件发生</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有小事故发生，未造成不良后果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重大事故</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网站建设</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30%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网站功能全面，建设完备，更新及时</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30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有部分功能不完善，但不影响使用 </w:t>
            </w:r>
            <w:r>
              <w:rPr>
                <w:rFonts w:eastAsia="黑体" w:cs="黑体" w:ascii="黑体" w:hAnsi="黑体"/>
                <w:szCs w:val="21"/>
              </w:rPr>
              <w:t>15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功能缺失，进度缓慢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网络维护</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软、硬件维护及时，无停运情况发生</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短暂停用，但未造成影响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频繁发生停用，单次时间较长</w:t>
            </w:r>
          </w:p>
          <w:p>
            <w:pPr>
              <w:pStyle w:val="Normal"/>
              <w:jc w:val="center"/>
              <w:rPr>
                <w:rFonts w:ascii="黑体" w:hAnsi="黑体" w:eastAsia="黑体" w:cs="黑体"/>
                <w:szCs w:val="21"/>
              </w:rPr>
            </w:pP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信息化建设</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20%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有计划，有步骤的完成信息化建设任务，完成率达到</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完成率</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80%</w:t>
            </w:r>
            <w:r>
              <w:rPr>
                <w:rFonts w:ascii="黑体" w:hAnsi="黑体" w:cs="黑体" w:eastAsia="黑体"/>
                <w:szCs w:val="21"/>
              </w:rPr>
              <w:t xml:space="preserve">以下  </w:t>
            </w:r>
            <w:r>
              <w:rPr>
                <w:rFonts w:eastAsia="黑体" w:cs="黑体" w:ascii="黑体" w:hAnsi="黑体"/>
                <w:szCs w:val="21"/>
              </w:rPr>
              <w:t>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网络运行制度标准的制定及完善</w:t>
            </w:r>
          </w:p>
        </w:tc>
        <w:tc>
          <w:tcPr>
            <w:tcW w:w="702"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168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制度、流程的建立、完善率达</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  0</w:t>
            </w:r>
            <w:r>
              <w:rPr>
                <w:rFonts w:ascii="黑体" w:hAnsi="黑体" w:cs="黑体" w:eastAsia="黑体"/>
                <w:szCs w:val="21"/>
              </w:rPr>
              <w:t>分</w:t>
            </w:r>
          </w:p>
        </w:tc>
        <w:tc>
          <w:tcPr>
            <w:tcW w:w="45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301" w:type="dxa"/>
            <w:gridSpan w:val="11"/>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color w:val="000000"/>
                <w:szCs w:val="21"/>
              </w:rPr>
            </w:pPr>
            <w:r>
              <w:rPr>
                <w:rFonts w:ascii="黑体" w:hAnsi="黑体" w:cs="黑体" w:eastAsia="黑体"/>
                <w:color w:val="000000"/>
                <w:szCs w:val="21"/>
              </w:rPr>
              <w:t>学习力</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级：有学习意识但无行动</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级：主动学习</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级：自费学习并得到技能</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级：学习后用于实践</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级：学习后实践并得到良好效果</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color w:val="000000"/>
                <w:szCs w:val="21"/>
              </w:rPr>
            </w:pPr>
            <w:r>
              <w:rPr>
                <w:rFonts w:ascii="黑体" w:hAnsi="黑体" w:cs="黑体" w:eastAsia="黑体"/>
                <w:bCs/>
                <w:color w:val="000000"/>
                <w:szCs w:val="21"/>
              </w:rPr>
              <w:t>服务细致</w:t>
            </w:r>
          </w:p>
          <w:p>
            <w:pPr>
              <w:pStyle w:val="Normal"/>
              <w:jc w:val="center"/>
              <w:rPr>
                <w:rFonts w:ascii="黑体" w:hAnsi="黑体" w:eastAsia="黑体" w:cs="黑体"/>
                <w:bCs/>
                <w:color w:val="000000"/>
                <w:szCs w:val="21"/>
              </w:rPr>
            </w:pPr>
            <w:r>
              <w:rPr>
                <w:rFonts w:eastAsia="黑体" w:cs="黑体" w:ascii="黑体" w:hAnsi="黑体"/>
                <w:bCs/>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781" w:type="dxa"/>
            <w:gridSpan w:val="4"/>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完成公司</w:t>
            </w:r>
            <w:r>
              <w:rPr>
                <w:rFonts w:eastAsia="黑体" w:cs="黑体" w:ascii="黑体" w:hAnsi="黑体"/>
                <w:bCs/>
                <w:color w:val="000000"/>
                <w:szCs w:val="21"/>
              </w:rPr>
              <w:t>KPI</w:t>
            </w:r>
            <w:r>
              <w:rPr>
                <w:rFonts w:ascii="黑体" w:hAnsi="黑体" w:cs="黑体" w:eastAsia="黑体"/>
                <w:bCs/>
                <w:color w:val="000000"/>
                <w:szCs w:val="21"/>
              </w:rPr>
              <w:t>服务流程</w:t>
            </w:r>
          </w:p>
          <w:p>
            <w:pPr>
              <w:pStyle w:val="Normal"/>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主动性问询服务性问题</w:t>
            </w:r>
          </w:p>
          <w:p>
            <w:pPr>
              <w:pStyle w:val="Normal"/>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无客户性投诉的流程执行</w:t>
            </w:r>
          </w:p>
          <w:p>
            <w:pPr>
              <w:pStyle w:val="Normal"/>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适用性全面服务与实诚性服务</w:t>
            </w:r>
          </w:p>
          <w:p>
            <w:pPr>
              <w:pStyle w:val="Normal"/>
              <w:rPr>
                <w:rFonts w:ascii="黑体" w:hAnsi="黑体" w:eastAsia="黑体" w:cs="黑体"/>
                <w:color w:val="000000"/>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能给客户带来意想不到的服务知识与感受</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301" w:type="dxa"/>
            <w:gridSpan w:val="11"/>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687" w:type="dxa"/>
            <w:gridSpan w:val="16"/>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687" w:type="dxa"/>
            <w:gridSpan w:val="16"/>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薪酬绩效主管考核评分表（月度）</w:t>
      </w:r>
    </w:p>
    <w:p>
      <w:pPr>
        <w:pStyle w:val="Normal"/>
        <w:jc w:val="end"/>
        <w:rPr>
          <w:rFonts w:ascii="宋体" w:hAnsi="宋体" w:cs="宋体"/>
          <w:b/>
          <w:b/>
        </w:rPr>
      </w:pPr>
      <w:r>
        <w:rPr>
          <w:rFonts w:ascii="宋体" w:hAnsi="宋体" w:cs="宋体"/>
          <w:b/>
        </w:rPr>
        <w:t>考核期间：        年   月</w:t>
      </w:r>
    </w:p>
    <w:tbl>
      <w:tblPr>
        <w:tblW w:w="9524" w:type="dxa"/>
        <w:jc w:val="start"/>
        <w:tblInd w:w="0" w:type="dxa"/>
        <w:tblLayout w:type="fixed"/>
        <w:tblCellMar>
          <w:top w:w="0" w:type="dxa"/>
          <w:start w:w="108" w:type="dxa"/>
          <w:bottom w:w="0" w:type="dxa"/>
          <w:end w:w="108" w:type="dxa"/>
        </w:tblCellMar>
      </w:tblPr>
      <w:tblGrid>
        <w:gridCol w:w="601"/>
        <w:gridCol w:w="227"/>
        <w:gridCol w:w="301"/>
        <w:gridCol w:w="742"/>
        <w:gridCol w:w="577"/>
        <w:gridCol w:w="539"/>
        <w:gridCol w:w="541"/>
        <w:gridCol w:w="999"/>
        <w:gridCol w:w="1083"/>
        <w:gridCol w:w="1394"/>
        <w:gridCol w:w="1137"/>
        <w:gridCol w:w="78"/>
        <w:gridCol w:w="371"/>
        <w:gridCol w:w="10"/>
        <w:gridCol w:w="45"/>
        <w:gridCol w:w="418"/>
        <w:gridCol w:w="26"/>
        <w:gridCol w:w="435"/>
      </w:tblGrid>
      <w:tr>
        <w:trPr>
          <w:trHeight w:val="340" w:hRule="atLeast"/>
          <w:cantSplit w:val="true"/>
        </w:trPr>
        <w:tc>
          <w:tcPr>
            <w:tcW w:w="828"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9"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4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997" w:type="dxa"/>
            <w:gridSpan w:val="10"/>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8"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8"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41"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2082"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53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383" w:type="dxa"/>
            <w:gridSpan w:val="7"/>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8"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541"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2082"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53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2"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80%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薪酬市场调研报告</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每季度提交薪酬调研报告，分析企业薪酬现状，采信度达到</w:t>
            </w:r>
            <w:r>
              <w:rPr>
                <w:rFonts w:eastAsia="黑体" w:cs="黑体" w:ascii="黑体" w:hAnsi="黑体"/>
                <w:szCs w:val="21"/>
              </w:rPr>
              <w:t>90%</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按要求完成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按时提供分析，但采信度一般   </w:t>
            </w:r>
            <w:r>
              <w:rPr>
                <w:rFonts w:eastAsia="黑体" w:cs="黑体" w:ascii="黑体" w:hAnsi="黑体"/>
                <w:szCs w:val="21"/>
              </w:rPr>
              <w:t>5</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延时提供分析且不予采信</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薪酬方案、标准的制定</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rFonts w:eastAsia="黑体" w:cs="黑体" w:ascii="黑体" w:hAnsi="黑体"/>
                <w:bCs/>
                <w:szCs w:val="21"/>
              </w:rPr>
              <w:t>20%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每年十二月提交下一年度薪酬方案，并制定标准，采集率达</w:t>
            </w:r>
            <w:r>
              <w:rPr>
                <w:rFonts w:eastAsia="黑体" w:cs="黑体" w:ascii="黑体" w:hAnsi="黑体"/>
                <w:szCs w:val="21"/>
              </w:rPr>
              <w:t>90%</w:t>
            </w:r>
            <w:r>
              <w:rPr>
                <w:rFonts w:ascii="黑体" w:hAnsi="黑体" w:cs="黑体" w:eastAsia="黑体"/>
                <w:szCs w:val="21"/>
              </w:rPr>
              <w:t>。新岗位、新人员的定岗定薪不超过一日。</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有一项未达标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两项均未达标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薪酬福利制度实施</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30</w:t>
            </w:r>
            <w:r>
              <w:rPr>
                <w:rFonts w:ascii="黑体" w:hAnsi="黑体" w:cs="黑体" w:eastAsia="黑体"/>
                <w:szCs w:val="21"/>
              </w:rPr>
              <w:t>日前完成薪酬福利统计、核算，无差错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绩效考核指标库建立</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rFonts w:eastAsia="黑体" w:cs="黑体" w:ascii="黑体" w:hAnsi="黑体"/>
                <w:bCs/>
                <w:szCs w:val="21"/>
              </w:rPr>
              <w:t>20%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结合岗位发展，及时更新、完善指标库，无遗漏指标项</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更新完善率达</w:t>
            </w:r>
            <w:r>
              <w:rPr>
                <w:rFonts w:eastAsia="黑体" w:cs="黑体" w:ascii="黑体" w:hAnsi="黑体"/>
                <w:szCs w:val="21"/>
              </w:rPr>
              <w:t>90%  10</w:t>
            </w:r>
            <w:r>
              <w:rPr>
                <w:rFonts w:ascii="黑体" w:hAnsi="黑体" w:cs="黑体" w:eastAsia="黑体"/>
                <w:szCs w:val="21"/>
              </w:rPr>
              <w:t>分</w:t>
            </w:r>
          </w:p>
          <w:p>
            <w:pPr>
              <w:pStyle w:val="Normal"/>
              <w:ind w:firstLine="210"/>
              <w:rPr>
                <w:rFonts w:ascii="黑体" w:hAnsi="黑体" w:eastAsia="黑体" w:cs="黑体"/>
                <w:szCs w:val="21"/>
              </w:rPr>
            </w:pPr>
            <w:r>
              <w:rPr>
                <w:rFonts w:eastAsia="黑体" w:cs="黑体" w:ascii="黑体" w:hAnsi="黑体"/>
                <w:szCs w:val="21"/>
              </w:rPr>
              <w:t>85%</w:t>
            </w:r>
            <w:r>
              <w:rPr>
                <w:rFonts w:ascii="黑体" w:hAnsi="黑体" w:cs="黑体" w:eastAsia="黑体"/>
                <w:szCs w:val="21"/>
              </w:rPr>
              <w:t xml:space="preserve">以下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绩效培训</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保证绩效培训及时准确，覆盖面达到</w:t>
            </w:r>
            <w:r>
              <w:rPr>
                <w:rFonts w:eastAsia="黑体" w:cs="黑体" w:ascii="黑体" w:hAnsi="黑体"/>
                <w:szCs w:val="21"/>
              </w:rPr>
              <w:t>100%</w:t>
            </w:r>
            <w:r>
              <w:rPr>
                <w:rFonts w:ascii="黑体" w:hAnsi="黑体" w:cs="黑体" w:eastAsia="黑体"/>
                <w:szCs w:val="21"/>
              </w:rPr>
              <w:t>，每次培训时间不低于</w:t>
            </w:r>
            <w:r>
              <w:rPr>
                <w:rFonts w:eastAsia="黑体" w:cs="黑体" w:ascii="黑体" w:hAnsi="黑体"/>
                <w:szCs w:val="21"/>
              </w:rPr>
              <w:t>2</w:t>
            </w:r>
            <w:r>
              <w:rPr>
                <w:rFonts w:ascii="黑体" w:hAnsi="黑体" w:cs="黑体" w:eastAsia="黑体"/>
                <w:szCs w:val="21"/>
              </w:rPr>
              <w:t>小时</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有一项未达标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两项均未达标  </w:t>
            </w:r>
            <w:r>
              <w:rPr>
                <w:rFonts w:eastAsia="黑体" w:cs="黑体" w:ascii="黑体" w:hAnsi="黑体"/>
                <w:szCs w:val="21"/>
              </w:rPr>
              <w:t>0</w:t>
            </w:r>
            <w:r>
              <w:rPr>
                <w:rFonts w:ascii="黑体" w:hAnsi="黑体" w:cs="黑体" w:eastAsia="黑体"/>
                <w:szCs w:val="21"/>
              </w:rPr>
              <w:t>分</w:t>
            </w:r>
          </w:p>
        </w:tc>
        <w:tc>
          <w:tcPr>
            <w:tcW w:w="45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绩效考核执行</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bCs/>
                <w:szCs w:val="21"/>
              </w:rPr>
            </w:pPr>
            <w:r>
              <w:rPr>
                <w:rFonts w:eastAsia="黑体" w:cs="黑体" w:ascii="黑体" w:hAnsi="黑体"/>
                <w:bCs/>
                <w:szCs w:val="21"/>
              </w:rPr>
              <w:t>10%</w:t>
            </w:r>
          </w:p>
        </w:tc>
        <w:tc>
          <w:tcPr>
            <w:tcW w:w="20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25</w:t>
            </w:r>
            <w:r>
              <w:rPr>
                <w:rFonts w:ascii="黑体" w:hAnsi="黑体" w:cs="黑体" w:eastAsia="黑体"/>
                <w:szCs w:val="21"/>
              </w:rPr>
              <w:t>日前完成绩效统计、核算，无差错</w:t>
            </w:r>
          </w:p>
        </w:tc>
        <w:tc>
          <w:tcPr>
            <w:tcW w:w="253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按要求完成</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个别差错，不影响整体数据</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严重差错</w:t>
            </w:r>
            <w:r>
              <w:rPr>
                <w:rFonts w:eastAsia="黑体" w:cs="黑体" w:ascii="黑体" w:hAnsi="黑体"/>
                <w:szCs w:val="21"/>
              </w:rPr>
              <w:t>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0"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7</w:t>
            </w:r>
          </w:p>
        </w:tc>
        <w:tc>
          <w:tcPr>
            <w:tcW w:w="742"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管理项目</w:t>
            </w:r>
          </w:p>
          <w:p>
            <w:pPr>
              <w:pStyle w:val="Normal"/>
              <w:rPr>
                <w:rFonts w:ascii="黑体" w:hAnsi="黑体" w:eastAsia="黑体" w:cs="黑体"/>
                <w:szCs w:val="21"/>
              </w:rPr>
            </w:pPr>
            <w:r>
              <w:rPr>
                <w:rFonts w:eastAsia="黑体" w:cs="黑体" w:ascii="黑体" w:hAnsi="黑体"/>
                <w:szCs w:val="21"/>
              </w:rPr>
              <w:t>20%</w:t>
            </w:r>
          </w:p>
        </w:tc>
        <w:tc>
          <w:tcPr>
            <w:tcW w:w="1116"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薪酬绩效体系的制定及完善</w:t>
            </w:r>
          </w:p>
        </w:tc>
        <w:tc>
          <w:tcPr>
            <w:tcW w:w="541" w:type="dxa"/>
            <w:tcBorders>
              <w:top w:val="single" w:sz="6" w:space="0" w:color="000000"/>
              <w:start w:val="single" w:sz="6" w:space="0" w:color="000000"/>
              <w:bottom w:val="single" w:sz="4"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20%</w:t>
            </w:r>
          </w:p>
        </w:tc>
        <w:tc>
          <w:tcPr>
            <w:tcW w:w="208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薪酬绩效制度、流程的建立、完善率达</w:t>
            </w:r>
            <w:r>
              <w:rPr>
                <w:rFonts w:eastAsia="黑体" w:cs="黑体" w:ascii="黑体" w:hAnsi="黑体"/>
                <w:szCs w:val="21"/>
              </w:rPr>
              <w:t>90%</w:t>
            </w:r>
            <w:r>
              <w:rPr>
                <w:rFonts w:ascii="黑体" w:hAnsi="黑体" w:cs="黑体" w:eastAsia="黑体"/>
                <w:szCs w:val="21"/>
              </w:rPr>
              <w:t>以上</w:t>
            </w:r>
          </w:p>
        </w:tc>
        <w:tc>
          <w:tcPr>
            <w:tcW w:w="2531"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  0</w:t>
            </w:r>
            <w:r>
              <w:rPr>
                <w:rFonts w:ascii="黑体" w:hAnsi="黑体" w:cs="黑体" w:eastAsia="黑体"/>
                <w:szCs w:val="21"/>
              </w:rPr>
              <w:t>分</w:t>
            </w:r>
          </w:p>
        </w:tc>
        <w:tc>
          <w:tcPr>
            <w:tcW w:w="44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601"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537" w:type="dxa"/>
            <w:gridSpan w:val="12"/>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601"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8"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szCs w:val="21"/>
              </w:rPr>
            </w:pPr>
            <w:r>
              <w:rPr>
                <w:rFonts w:ascii="黑体" w:hAnsi="黑体" w:cs="黑体" w:eastAsia="黑体"/>
                <w:color w:val="000000"/>
                <w:szCs w:val="21"/>
              </w:rPr>
              <w:t>团队精神</w:t>
            </w:r>
          </w:p>
          <w:p>
            <w:pPr>
              <w:pStyle w:val="Normal"/>
              <w:widowContro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级：大方传播必要信息助于别人成长或工作</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级：与别人合作不会发生情绪上隔阂，总能让每一位员工参与会议的讨论（目标，决策）</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级：总能选择最佳赞誉方式并授权准确</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级：亲自或协同解决冲突并有好效果</w:t>
            </w:r>
          </w:p>
          <w:p>
            <w:pPr>
              <w:pStyle w:val="Norma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级：所处团队成员执行工作氛围良好</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8"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商业保密</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4017"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bCs/>
                <w:color w:val="000000"/>
                <w:szCs w:val="21"/>
              </w:rPr>
            </w:pPr>
            <w:r>
              <w:rPr>
                <w:rFonts w:eastAsia="黑体" w:cs="黑体" w:ascii="黑体" w:hAnsi="黑体"/>
                <w:bCs/>
                <w:color w:val="000000"/>
                <w:szCs w:val="21"/>
              </w:rPr>
              <w:t>1</w:t>
            </w:r>
            <w:r>
              <w:rPr>
                <w:rFonts w:ascii="黑体" w:hAnsi="黑体" w:cs="黑体" w:eastAsia="黑体"/>
                <w:color w:val="000000"/>
                <w:szCs w:val="21"/>
              </w:rPr>
              <w:t>级：</w:t>
            </w:r>
            <w:r>
              <w:rPr>
                <w:rFonts w:ascii="黑体" w:hAnsi="黑体" w:cs="黑体" w:eastAsia="黑体"/>
                <w:bCs/>
                <w:color w:val="000000"/>
                <w:szCs w:val="21"/>
              </w:rPr>
              <w:t>明知商业技术及信息的范围及要点</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2</w:t>
            </w:r>
            <w:r>
              <w:rPr>
                <w:rFonts w:ascii="黑体" w:hAnsi="黑体" w:cs="黑体" w:eastAsia="黑体"/>
                <w:color w:val="000000"/>
                <w:szCs w:val="21"/>
              </w:rPr>
              <w:t>级：</w:t>
            </w:r>
            <w:r>
              <w:rPr>
                <w:rFonts w:ascii="黑体" w:hAnsi="黑体" w:cs="黑体" w:eastAsia="黑体"/>
                <w:bCs/>
                <w:color w:val="000000"/>
                <w:szCs w:val="21"/>
              </w:rPr>
              <w:t>工作期间遵守单位保密协议，并积极宣传正面信息</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3</w:t>
            </w:r>
            <w:r>
              <w:rPr>
                <w:rFonts w:ascii="黑体" w:hAnsi="黑体" w:cs="黑体" w:eastAsia="黑体"/>
                <w:color w:val="000000"/>
                <w:szCs w:val="21"/>
              </w:rPr>
              <w:t>级：</w:t>
            </w:r>
            <w:r>
              <w:rPr>
                <w:rFonts w:ascii="黑体" w:hAnsi="黑体" w:cs="黑体" w:eastAsia="黑体"/>
                <w:bCs/>
                <w:color w:val="000000"/>
                <w:szCs w:val="21"/>
              </w:rPr>
              <w:t>不进行商业性信息交易，不透露单位发展的技术及战略</w:t>
            </w:r>
          </w:p>
          <w:p>
            <w:pPr>
              <w:pStyle w:val="Normal"/>
              <w:widowControl/>
              <w:jc w:val="start"/>
              <w:rPr>
                <w:rFonts w:ascii="黑体" w:hAnsi="黑体" w:eastAsia="黑体" w:cs="黑体"/>
                <w:bCs/>
                <w:color w:val="000000"/>
                <w:szCs w:val="21"/>
              </w:rPr>
            </w:pPr>
            <w:r>
              <w:rPr>
                <w:rFonts w:eastAsia="黑体" w:cs="黑体" w:ascii="黑体" w:hAnsi="黑体"/>
                <w:bCs/>
                <w:color w:val="000000"/>
                <w:szCs w:val="21"/>
              </w:rPr>
              <w:t>4</w:t>
            </w:r>
            <w:r>
              <w:rPr>
                <w:rFonts w:ascii="黑体" w:hAnsi="黑体" w:cs="黑体" w:eastAsia="黑体"/>
                <w:color w:val="000000"/>
                <w:szCs w:val="21"/>
              </w:rPr>
              <w:t>级：</w:t>
            </w:r>
            <w:r>
              <w:rPr>
                <w:rFonts w:ascii="黑体" w:hAnsi="黑体" w:cs="黑体" w:eastAsia="黑体"/>
                <w:bCs/>
                <w:color w:val="000000"/>
                <w:szCs w:val="21"/>
              </w:rPr>
              <w:t>维护公司商业机密并有实际案例</w:t>
            </w:r>
          </w:p>
          <w:p>
            <w:pPr>
              <w:pStyle w:val="Normal"/>
              <w:rPr>
                <w:rFonts w:ascii="黑体" w:hAnsi="黑体" w:eastAsia="黑体" w:cs="黑体"/>
                <w:szCs w:val="21"/>
              </w:rPr>
            </w:pPr>
            <w:r>
              <w:rPr>
                <w:rFonts w:eastAsia="黑体" w:cs="黑体" w:ascii="黑体" w:hAnsi="黑体"/>
                <w:bCs/>
                <w:color w:val="000000"/>
                <w:szCs w:val="21"/>
              </w:rPr>
              <w:t>5</w:t>
            </w:r>
            <w:r>
              <w:rPr>
                <w:rFonts w:ascii="黑体" w:hAnsi="黑体" w:cs="黑体" w:eastAsia="黑体"/>
                <w:color w:val="000000"/>
                <w:szCs w:val="21"/>
              </w:rPr>
              <w:t>级：</w:t>
            </w:r>
            <w:r>
              <w:rPr>
                <w:rFonts w:ascii="黑体" w:hAnsi="黑体" w:cs="黑体" w:eastAsia="黑体"/>
                <w:bCs/>
                <w:color w:val="000000"/>
                <w:szCs w:val="21"/>
              </w:rPr>
              <w:t>影响他人做好商业保密，离职后五年不脱密的职业操守</w:t>
            </w:r>
          </w:p>
        </w:tc>
        <w:tc>
          <w:tcPr>
            <w:tcW w:w="1215"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26"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6"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537" w:type="dxa"/>
            <w:gridSpan w:val="12"/>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601"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923" w:type="dxa"/>
            <w:gridSpan w:val="17"/>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601"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923" w:type="dxa"/>
            <w:gridSpan w:val="17"/>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行政文员考核评分表（月度）</w:t>
      </w:r>
    </w:p>
    <w:p>
      <w:pPr>
        <w:pStyle w:val="Normal"/>
        <w:jc w:val="end"/>
        <w:rPr>
          <w:rFonts w:ascii="宋体" w:hAnsi="宋体" w:cs="宋体"/>
          <w:b/>
          <w:b/>
        </w:rPr>
      </w:pPr>
      <w:r>
        <w:rPr>
          <w:rFonts w:ascii="宋体" w:hAnsi="宋体" w:cs="宋体"/>
          <w:b/>
        </w:rPr>
        <w:t>考核期间：        年   月</w:t>
      </w:r>
    </w:p>
    <w:tbl>
      <w:tblPr>
        <w:tblW w:w="9108" w:type="dxa"/>
        <w:jc w:val="start"/>
        <w:tblInd w:w="0" w:type="dxa"/>
        <w:tblLayout w:type="fixed"/>
        <w:tblCellMar>
          <w:top w:w="0" w:type="dxa"/>
          <w:start w:w="108" w:type="dxa"/>
          <w:bottom w:w="0" w:type="dxa"/>
          <w:end w:w="108" w:type="dxa"/>
        </w:tblCellMar>
      </w:tblPr>
      <w:tblGrid>
        <w:gridCol w:w="596"/>
        <w:gridCol w:w="226"/>
        <w:gridCol w:w="300"/>
        <w:gridCol w:w="741"/>
        <w:gridCol w:w="571"/>
        <w:gridCol w:w="539"/>
        <w:gridCol w:w="541"/>
        <w:gridCol w:w="990"/>
        <w:gridCol w:w="1073"/>
        <w:gridCol w:w="831"/>
        <w:gridCol w:w="1440"/>
        <w:gridCol w:w="360"/>
        <w:gridCol w:w="11"/>
        <w:gridCol w:w="349"/>
        <w:gridCol w:w="77"/>
        <w:gridCol w:w="463"/>
      </w:tblGrid>
      <w:tr>
        <w:trPr>
          <w:trHeight w:val="340" w:hRule="atLeast"/>
          <w:cantSplit w:val="true"/>
        </w:trPr>
        <w:tc>
          <w:tcPr>
            <w:tcW w:w="822"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1"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604" w:type="dxa"/>
            <w:gridSpan w:val="8"/>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1"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41"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2063"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27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260" w:type="dxa"/>
            <w:gridSpan w:val="5"/>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1"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541"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2063"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27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文件制作、传递</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文件的制作、传递有标准的流程，及时准确率为</w:t>
            </w:r>
            <w:r>
              <w:rPr>
                <w:rFonts w:eastAsia="黑体" w:cs="黑体" w:ascii="黑体" w:hAnsi="黑体"/>
                <w:szCs w:val="21"/>
              </w:rPr>
              <w:t>95%</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文件档案管理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档案存放整齐无缺失，有目录，借阅方便，有流程</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有小瑕疵，但影响不大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杂乱不完整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考勤管理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考勤管理公正公平，无投诉，统计准确率</w:t>
            </w:r>
            <w:r>
              <w:rPr>
                <w:rFonts w:eastAsia="黑体" w:cs="黑体" w:ascii="黑体" w:hAnsi="黑体"/>
                <w:szCs w:val="21"/>
              </w:rPr>
              <w:t>95%</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90%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85%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会务组织</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会务安排得当无投诉，满意度达</w:t>
            </w:r>
            <w:r>
              <w:rPr>
                <w:rFonts w:eastAsia="黑体" w:cs="黑体" w:ascii="黑体" w:hAnsi="黑体"/>
                <w:szCs w:val="21"/>
              </w:rPr>
              <w:t>85%</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ind w:firstLine="210"/>
              <w:jc w:val="center"/>
              <w:rPr>
                <w:rFonts w:ascii="黑体" w:hAnsi="黑体" w:eastAsia="黑体" w:cs="黑体"/>
                <w:szCs w:val="21"/>
              </w:rPr>
            </w:pPr>
            <w:r>
              <w:rPr>
                <w:rFonts w:ascii="黑体" w:hAnsi="黑体" w:cs="黑体" w:eastAsia="黑体"/>
                <w:szCs w:val="21"/>
              </w:rPr>
              <w:t>有投诉或满意度低于</w:t>
            </w:r>
            <w:r>
              <w:rPr>
                <w:rFonts w:eastAsia="黑体" w:cs="黑体" w:ascii="黑体" w:hAnsi="黑体"/>
                <w:szCs w:val="21"/>
              </w:rPr>
              <w:t>70%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接待安排</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10%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礼貌待客，充分体现企业形象。有执行标准流程，无投诉 </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 xml:space="preserve">无标准流程，接待按要求完成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未按标准完成接待或出现客户投诉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6</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4"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文字打印、复印</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end"/>
              <w:rPr>
                <w:rFonts w:ascii="黑体" w:hAnsi="黑体" w:eastAsia="黑体" w:cs="黑体"/>
                <w:szCs w:val="21"/>
              </w:rPr>
            </w:pPr>
            <w:r>
              <w:rPr>
                <w:rFonts w:eastAsia="黑体" w:cs="黑体" w:ascii="黑体" w:hAnsi="黑体"/>
                <w:szCs w:val="21"/>
              </w:rPr>
              <w:t>10%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打印、复印及时，一次准确率达到</w:t>
            </w:r>
            <w:r>
              <w:rPr>
                <w:rFonts w:eastAsia="黑体" w:cs="黑体" w:ascii="黑体" w:hAnsi="黑体"/>
                <w:szCs w:val="21"/>
              </w:rPr>
              <w:t>95%</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540"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szCs w:val="21"/>
              </w:rPr>
            </w:pPr>
            <w:r>
              <w:rPr>
                <w:rFonts w:ascii="黑体" w:hAnsi="黑体" w:cs="黑体" w:eastAsia="黑体"/>
                <w:color w:val="000000"/>
                <w:szCs w:val="21"/>
              </w:rPr>
              <w:t>团队精神</w:t>
            </w:r>
          </w:p>
          <w:p>
            <w:pPr>
              <w:pStyle w:val="Normal"/>
              <w:widowContro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级：大方传播必要信息助于别人成长或工作</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级：与别人合作不会发生情绪上隔阂，总能让每一位员工参与会议的讨论（目标，决策）</w:t>
            </w:r>
            <w:r>
              <w:rPr>
                <w:rFonts w:ascii="黑体" w:hAnsi="黑体" w:cs="黑体" w:eastAsia="黑体"/>
                <w:color w:val="000000"/>
                <w:szCs w:val="21"/>
              </w:rPr>
              <w:t xml:space="preserve"> </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级：总能选择最佳赞誉方式并授权准确</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级：亲自或协同解决冲突并有好效果</w:t>
            </w:r>
          </w:p>
          <w:p>
            <w:pPr>
              <w:pStyle w:val="Norma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级：所处团队成员执行工作氛围良好</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bCs/>
                <w:szCs w:val="21"/>
              </w:rPr>
            </w:pPr>
            <w:r>
              <w:rPr>
                <w:rFonts w:ascii="黑体" w:hAnsi="黑体" w:cs="黑体" w:eastAsia="黑体"/>
                <w:bCs/>
                <w:szCs w:val="21"/>
              </w:rPr>
              <w:t>协作性</w:t>
            </w:r>
          </w:p>
          <w:p>
            <w:pPr>
              <w:pStyle w:val="Normal"/>
              <w:jc w:val="center"/>
              <w:rPr>
                <w:rFonts w:ascii="黑体" w:hAnsi="黑体" w:eastAsia="黑体" w:cs="黑体"/>
                <w:bCs/>
                <w:szCs w:val="21"/>
              </w:rPr>
            </w:pPr>
            <w:r>
              <w:rPr>
                <w:rFonts w:eastAsia="黑体" w:cs="黑体" w:ascii="黑体" w:hAnsi="黑体"/>
                <w:bCs/>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tcPr>
          <w:p>
            <w:pPr>
              <w:pStyle w:val="Normal"/>
              <w:rPr>
                <w:rFonts w:ascii="黑体" w:hAnsi="黑体" w:eastAsia="黑体" w:cs="黑体"/>
                <w:bCs/>
                <w:szCs w:val="21"/>
              </w:rPr>
            </w:pPr>
            <w:r>
              <w:rPr>
                <w:rFonts w:eastAsia="黑体" w:cs="黑体" w:ascii="黑体" w:hAnsi="黑体"/>
                <w:bCs/>
                <w:szCs w:val="21"/>
              </w:rPr>
              <w:t>1</w:t>
            </w:r>
            <w:r>
              <w:rPr>
                <w:rFonts w:ascii="黑体" w:hAnsi="黑体" w:cs="黑体" w:eastAsia="黑体"/>
                <w:color w:val="000000"/>
                <w:szCs w:val="21"/>
              </w:rPr>
              <w:t>级：</w:t>
            </w:r>
            <w:r>
              <w:rPr>
                <w:rFonts w:ascii="黑体" w:hAnsi="黑体" w:cs="黑体" w:eastAsia="黑体"/>
                <w:bCs/>
                <w:szCs w:val="21"/>
              </w:rPr>
              <w:t>事不关已</w:t>
            </w:r>
            <w:r>
              <w:rPr>
                <w:rFonts w:eastAsia="黑体" w:cs="黑体" w:ascii="黑体" w:hAnsi="黑体"/>
                <w:bCs/>
                <w:szCs w:val="21"/>
              </w:rPr>
              <w:t>,</w:t>
            </w:r>
            <w:r>
              <w:rPr>
                <w:rFonts w:ascii="黑体" w:hAnsi="黑体" w:cs="黑体" w:eastAsia="黑体"/>
                <w:bCs/>
                <w:szCs w:val="21"/>
              </w:rPr>
              <w:t>高高挂起</w:t>
            </w:r>
            <w:r>
              <w:rPr>
                <w:rFonts w:eastAsia="黑体" w:cs="黑体" w:ascii="黑体" w:hAnsi="黑体"/>
                <w:bCs/>
                <w:szCs w:val="21"/>
              </w:rPr>
              <w:t>,</w:t>
            </w:r>
            <w:r>
              <w:rPr>
                <w:rFonts w:ascii="黑体" w:hAnsi="黑体" w:cs="黑体" w:eastAsia="黑体"/>
                <w:bCs/>
                <w:szCs w:val="21"/>
              </w:rPr>
              <w:t>还经常牢骚满腹。对本职工作不满，挑挑拣拣。</w:t>
            </w:r>
          </w:p>
          <w:p>
            <w:pPr>
              <w:pStyle w:val="Normal"/>
              <w:rPr>
                <w:rFonts w:ascii="黑体" w:hAnsi="黑体" w:eastAsia="黑体" w:cs="黑体"/>
                <w:bCs/>
                <w:szCs w:val="21"/>
              </w:rPr>
            </w:pPr>
            <w:r>
              <w:rPr>
                <w:rFonts w:eastAsia="黑体" w:cs="黑体" w:ascii="黑体" w:hAnsi="黑体"/>
                <w:bCs/>
                <w:szCs w:val="21"/>
              </w:rPr>
              <w:t>2</w:t>
            </w:r>
            <w:r>
              <w:rPr>
                <w:rFonts w:ascii="黑体" w:hAnsi="黑体" w:cs="黑体" w:eastAsia="黑体"/>
                <w:color w:val="000000"/>
                <w:szCs w:val="21"/>
              </w:rPr>
              <w:t>级：</w:t>
            </w:r>
            <w:r>
              <w:rPr>
                <w:rFonts w:ascii="黑体" w:hAnsi="黑体" w:cs="黑体" w:eastAsia="黑体"/>
                <w:bCs/>
                <w:szCs w:val="21"/>
              </w:rPr>
              <w:t>工作中偶尔发牢骚，表示对本职工作不满。</w:t>
            </w:r>
          </w:p>
          <w:p>
            <w:pPr>
              <w:pStyle w:val="Normal"/>
              <w:rPr>
                <w:rFonts w:ascii="黑体" w:hAnsi="黑体" w:eastAsia="黑体" w:cs="黑体"/>
                <w:bCs/>
                <w:szCs w:val="21"/>
              </w:rPr>
            </w:pPr>
            <w:r>
              <w:rPr>
                <w:rFonts w:eastAsia="黑体" w:cs="黑体" w:ascii="黑体" w:hAnsi="黑体"/>
                <w:bCs/>
                <w:szCs w:val="21"/>
              </w:rPr>
              <w:t>3</w:t>
            </w:r>
            <w:r>
              <w:rPr>
                <w:rFonts w:ascii="黑体" w:hAnsi="黑体" w:cs="黑体" w:eastAsia="黑体"/>
                <w:color w:val="000000"/>
                <w:szCs w:val="21"/>
              </w:rPr>
              <w:t>级：</w:t>
            </w:r>
            <w:r>
              <w:rPr>
                <w:rFonts w:ascii="黑体" w:hAnsi="黑体" w:cs="黑体" w:eastAsia="黑体"/>
                <w:bCs/>
                <w:szCs w:val="21"/>
              </w:rPr>
              <w:t>大体上能与同事保持和睦相处、互相帮助的关系。</w:t>
            </w:r>
          </w:p>
          <w:p>
            <w:pPr>
              <w:pStyle w:val="Normal"/>
              <w:rPr>
                <w:rFonts w:ascii="黑体" w:hAnsi="黑体" w:eastAsia="黑体" w:cs="黑体"/>
                <w:bCs/>
                <w:szCs w:val="21"/>
              </w:rPr>
            </w:pPr>
            <w:r>
              <w:rPr>
                <w:rFonts w:eastAsia="黑体" w:cs="黑体" w:ascii="黑体" w:hAnsi="黑体"/>
                <w:bCs/>
                <w:szCs w:val="21"/>
              </w:rPr>
              <w:t>4</w:t>
            </w:r>
            <w:r>
              <w:rPr>
                <w:rFonts w:ascii="黑体" w:hAnsi="黑体" w:cs="黑体" w:eastAsia="黑体"/>
                <w:color w:val="000000"/>
                <w:szCs w:val="21"/>
              </w:rPr>
              <w:t>级：</w:t>
            </w:r>
            <w:r>
              <w:rPr>
                <w:rFonts w:ascii="黑体" w:hAnsi="黑体" w:cs="黑体" w:eastAsia="黑体"/>
                <w:bCs/>
                <w:szCs w:val="21"/>
              </w:rPr>
              <w:t>能够与同事协作共同完成工作目标。</w:t>
            </w:r>
          </w:p>
          <w:p>
            <w:pPr>
              <w:pStyle w:val="Normal"/>
              <w:rPr>
                <w:szCs w:val="21"/>
              </w:rPr>
            </w:pPr>
            <w:r>
              <w:rPr>
                <w:rFonts w:eastAsia="黑体" w:cs="黑体" w:ascii="黑体" w:hAnsi="黑体"/>
                <w:bCs/>
                <w:szCs w:val="21"/>
              </w:rPr>
              <w:t>5</w:t>
            </w:r>
            <w:r>
              <w:rPr>
                <w:rFonts w:ascii="黑体" w:hAnsi="黑体" w:cs="黑体" w:eastAsia="黑体"/>
                <w:color w:val="000000"/>
                <w:szCs w:val="21"/>
              </w:rPr>
              <w:t>级：</w:t>
            </w:r>
            <w:r>
              <w:rPr>
                <w:rFonts w:ascii="黑体" w:hAnsi="黑体" w:cs="黑体" w:eastAsia="黑体"/>
                <w:bCs/>
                <w:szCs w:val="21"/>
              </w:rPr>
              <w:t>能经常不计个人得失</w:t>
            </w:r>
            <w:r>
              <w:rPr>
                <w:rFonts w:eastAsia="黑体" w:cs="黑体" w:ascii="黑体" w:hAnsi="黑体"/>
                <w:bCs/>
                <w:szCs w:val="21"/>
              </w:rPr>
              <w:t>,</w:t>
            </w:r>
            <w:r>
              <w:rPr>
                <w:rFonts w:ascii="黑体" w:hAnsi="黑体" w:cs="黑体" w:eastAsia="黑体"/>
                <w:bCs/>
                <w:szCs w:val="21"/>
              </w:rPr>
              <w:t>为自己所在部门进行协作。</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512" w:type="dxa"/>
            <w:gridSpan w:val="15"/>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596"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512" w:type="dxa"/>
            <w:gridSpan w:val="15"/>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业务员考核评分表（月度）</w:t>
      </w:r>
    </w:p>
    <w:p>
      <w:pPr>
        <w:pStyle w:val="Normal"/>
        <w:jc w:val="end"/>
        <w:rPr>
          <w:rFonts w:ascii="宋体" w:hAnsi="宋体" w:cs="宋体"/>
          <w:b/>
          <w:b/>
        </w:rPr>
      </w:pPr>
      <w:r>
        <w:rPr>
          <w:rFonts w:ascii="宋体" w:hAnsi="宋体" w:cs="宋体"/>
          <w:b/>
        </w:rPr>
        <w:t>考核期间：        年   月</w:t>
      </w:r>
    </w:p>
    <w:tbl>
      <w:tblPr>
        <w:tblW w:w="9524" w:type="dxa"/>
        <w:jc w:val="start"/>
        <w:tblInd w:w="0" w:type="dxa"/>
        <w:tblLayout w:type="fixed"/>
        <w:tblCellMar>
          <w:top w:w="0" w:type="dxa"/>
          <w:start w:w="108" w:type="dxa"/>
          <w:bottom w:w="0" w:type="dxa"/>
          <w:end w:w="108" w:type="dxa"/>
        </w:tblCellMar>
      </w:tblPr>
      <w:tblGrid>
        <w:gridCol w:w="599"/>
        <w:gridCol w:w="527"/>
        <w:gridCol w:w="741"/>
        <w:gridCol w:w="754"/>
        <w:gridCol w:w="359"/>
        <w:gridCol w:w="359"/>
        <w:gridCol w:w="536"/>
        <w:gridCol w:w="641"/>
        <w:gridCol w:w="796"/>
        <w:gridCol w:w="1667"/>
        <w:gridCol w:w="1137"/>
        <w:gridCol w:w="83"/>
        <w:gridCol w:w="396"/>
        <w:gridCol w:w="55"/>
        <w:gridCol w:w="418"/>
        <w:gridCol w:w="26"/>
        <w:gridCol w:w="430"/>
      </w:tblGrid>
      <w:tr>
        <w:trPr>
          <w:trHeight w:val="340" w:hRule="atLeast"/>
          <w:cantSplit w:val="true"/>
        </w:trPr>
        <w:tc>
          <w:tcPr>
            <w:tcW w:w="59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38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6"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5008" w:type="dxa"/>
            <w:gridSpan w:val="9"/>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p>
            <w:pPr>
              <w:pStyle w:val="Normal"/>
              <w:jc w:val="center"/>
              <w:rPr>
                <w:rFonts w:ascii="黑体" w:hAnsi="黑体" w:eastAsia="黑体" w:cs="黑体"/>
                <w:szCs w:val="21"/>
              </w:rPr>
            </w:pPr>
            <w:r>
              <w:rPr>
                <w:rFonts w:eastAsia="黑体" w:cs="黑体" w:ascii="黑体" w:hAnsi="黑体"/>
                <w:szCs w:val="21"/>
              </w:rPr>
            </w:r>
          </w:p>
        </w:tc>
        <w:tc>
          <w:tcPr>
            <w:tcW w:w="527"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895"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1437"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804"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408" w:type="dxa"/>
            <w:gridSpan w:val="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895"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437"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804"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w:t>
            </w:r>
          </w:p>
          <w:p>
            <w:pPr>
              <w:pStyle w:val="Normal"/>
              <w:jc w:val="center"/>
              <w:rPr>
                <w:rFonts w:ascii="黑体" w:hAnsi="黑体" w:eastAsia="黑体" w:cs="黑体"/>
                <w:szCs w:val="21"/>
              </w:rPr>
            </w:pPr>
            <w:r>
              <w:rPr>
                <w:rFonts w:ascii="黑体" w:hAnsi="黑体" w:cs="黑体" w:eastAsia="黑体"/>
                <w:szCs w:val="21"/>
              </w:rPr>
              <w:t>指标</w:t>
            </w:r>
          </w:p>
          <w:p>
            <w:pPr>
              <w:pStyle w:val="Normal"/>
              <w:jc w:val="center"/>
              <w:rPr>
                <w:rFonts w:ascii="黑体" w:hAnsi="黑体" w:eastAsia="黑体" w:cs="黑体"/>
                <w:szCs w:val="21"/>
              </w:rPr>
            </w:pPr>
            <w:r>
              <w:rPr>
                <w:rFonts w:eastAsia="黑体" w:cs="黑体" w:ascii="黑体" w:hAnsi="黑体"/>
                <w:szCs w:val="21"/>
              </w:rPr>
              <w:t>100%</w:t>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销售额</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cs="黑体"/>
                <w:szCs w:val="21"/>
              </w:rPr>
            </w:pPr>
            <w:r>
              <w:rPr>
                <w:rFonts w:eastAsia="黑体" w:cs="黑体" w:ascii="黑体" w:hAnsi="黑体"/>
                <w:szCs w:val="21"/>
              </w:rPr>
              <w:t>4</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每月</w:t>
            </w:r>
            <w:r>
              <w:rPr>
                <w:rFonts w:eastAsia="黑体" w:cs="黑体" w:ascii="黑体" w:hAnsi="黑体"/>
                <w:szCs w:val="21"/>
              </w:rPr>
              <w:t>50</w:t>
            </w:r>
            <w:r>
              <w:rPr>
                <w:rFonts w:ascii="黑体" w:hAnsi="黑体" w:cs="黑体" w:eastAsia="黑体"/>
                <w:szCs w:val="21"/>
              </w:rPr>
              <w:t>万</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达成销售额  </w:t>
            </w:r>
            <w:r>
              <w:rPr>
                <w:rFonts w:eastAsia="黑体" w:cs="黑体" w:ascii="黑体" w:hAnsi="黑体"/>
                <w:szCs w:val="21"/>
              </w:rPr>
              <w:t>40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达成</w:t>
            </w:r>
            <w:r>
              <w:rPr>
                <w:rFonts w:eastAsia="黑体" w:cs="黑体" w:ascii="黑体" w:hAnsi="黑体"/>
                <w:szCs w:val="21"/>
              </w:rPr>
              <w:t>80%</w:t>
            </w:r>
            <w:r>
              <w:rPr>
                <w:rFonts w:ascii="黑体" w:hAnsi="黑体" w:cs="黑体" w:eastAsia="黑体"/>
                <w:szCs w:val="21"/>
              </w:rPr>
              <w:t xml:space="preserve">以上 </w:t>
            </w:r>
            <w:r>
              <w:rPr>
                <w:rFonts w:eastAsia="黑体" w:cs="黑体" w:ascii="黑体" w:hAnsi="黑体"/>
                <w:szCs w:val="21"/>
              </w:rPr>
              <w:t>30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80%</w:t>
            </w:r>
            <w:r>
              <w:rPr>
                <w:rFonts w:ascii="黑体" w:hAnsi="黑体" w:cs="黑体" w:eastAsia="黑体"/>
                <w:szCs w:val="21"/>
              </w:rPr>
              <w:t xml:space="preserve">为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客户保有量</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cs="黑体"/>
                <w:szCs w:val="21"/>
              </w:rPr>
            </w:pPr>
            <w:r>
              <w:rPr>
                <w:rFonts w:eastAsia="黑体" w:cs="黑体" w:ascii="黑体" w:hAnsi="黑体"/>
                <w:szCs w:val="21"/>
              </w:rPr>
              <w:t>2</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每月新客户开发量为</w:t>
            </w:r>
            <w:r>
              <w:rPr>
                <w:rFonts w:eastAsia="黑体" w:cs="黑体" w:ascii="黑体" w:hAnsi="黑体"/>
                <w:szCs w:val="21"/>
              </w:rPr>
              <w:t>5%</w:t>
            </w:r>
            <w:r>
              <w:rPr>
                <w:rFonts w:ascii="黑体" w:hAnsi="黑体" w:cs="黑体" w:eastAsia="黑体"/>
                <w:szCs w:val="21"/>
              </w:rPr>
              <w:t>，无老客户流失</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保持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低于原客户数的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回款率</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ascii="黑体" w:hAnsi="黑体"/>
                <w:szCs w:val="21"/>
              </w:rPr>
              <w:t>20%</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每月回款率达到</w:t>
            </w:r>
            <w:r>
              <w:rPr>
                <w:rFonts w:eastAsia="黑体" w:cs="黑体" w:ascii="黑体" w:hAnsi="黑体"/>
                <w:szCs w:val="21"/>
              </w:rPr>
              <w:t>90%</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回款率达到</w:t>
            </w:r>
            <w:r>
              <w:rPr>
                <w:rFonts w:eastAsia="黑体" w:cs="黑体" w:ascii="黑体" w:hAnsi="黑体"/>
                <w:szCs w:val="21"/>
              </w:rPr>
              <w:t>80%  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不足</w:t>
            </w:r>
            <w:r>
              <w:rPr>
                <w:rFonts w:eastAsia="黑体" w:cs="黑体" w:ascii="黑体" w:hAnsi="黑体"/>
                <w:szCs w:val="21"/>
              </w:rPr>
              <w:t>70%  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客户关系维护</w:t>
            </w:r>
          </w:p>
        </w:tc>
        <w:tc>
          <w:tcPr>
            <w:tcW w:w="895"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cs="黑体" w:ascii="黑体" w:hAnsi="黑体"/>
                <w:szCs w:val="21"/>
              </w:rPr>
              <w:t>1</w:t>
            </w:r>
            <w:r>
              <w:rPr>
                <w:rFonts w:ascii="黑体" w:hAnsi="黑体" w:cs="黑体" w:eastAsia="黑体"/>
                <w:szCs w:val="21"/>
              </w:rPr>
              <w:t>０</w:t>
            </w:r>
            <w:r>
              <w:rPr>
                <w:rFonts w:eastAsia="黑体" w:cs="黑体" w:ascii="黑体" w:hAnsi="黑体"/>
                <w:szCs w:val="21"/>
              </w:rPr>
              <w:t>%</w:t>
            </w:r>
          </w:p>
        </w:tc>
        <w:tc>
          <w:tcPr>
            <w:tcW w:w="143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一个月拜访一次所有客户 </w:t>
            </w:r>
          </w:p>
        </w:tc>
        <w:tc>
          <w:tcPr>
            <w:tcW w:w="280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达到目标值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拜访半数以上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半数以下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10"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3"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黑体" w:hAnsi="黑体" w:eastAsia="黑体"/>
                <w:szCs w:val="21"/>
              </w:rPr>
            </w:pPr>
            <w:r>
              <w:rPr>
                <w:rFonts w:ascii="黑体" w:hAnsi="黑体" w:eastAsia="黑体"/>
                <w:szCs w:val="21"/>
              </w:rPr>
              <w:t>客户投诉解决</w:t>
            </w:r>
          </w:p>
        </w:tc>
        <w:tc>
          <w:tcPr>
            <w:tcW w:w="895" w:type="dxa"/>
            <w:gridSpan w:val="2"/>
            <w:tcBorders>
              <w:top w:val="single" w:sz="4" w:space="0" w:color="000000"/>
              <w:start w:val="single" w:sz="6" w:space="0" w:color="000000"/>
              <w:bottom w:val="single" w:sz="6" w:space="0" w:color="000000"/>
              <w:end w:val="single" w:sz="4" w:space="0" w:color="000000"/>
            </w:tcBorders>
            <w:vAlign w:val="center"/>
          </w:tcPr>
          <w:p>
            <w:pPr>
              <w:pStyle w:val="Normal"/>
              <w:spacing w:lineRule="atLeast" w:line="400"/>
              <w:jc w:val="center"/>
              <w:rPr>
                <w:rFonts w:ascii="黑体" w:hAnsi="黑体" w:eastAsia="黑体"/>
                <w:szCs w:val="21"/>
              </w:rPr>
            </w:pPr>
            <w:r>
              <w:rPr>
                <w:rFonts w:eastAsia="黑体" w:ascii="黑体" w:hAnsi="黑体"/>
                <w:szCs w:val="21"/>
              </w:rPr>
              <w:t>10%</w:t>
            </w:r>
          </w:p>
        </w:tc>
        <w:tc>
          <w:tcPr>
            <w:tcW w:w="1437" w:type="dxa"/>
            <w:gridSpan w:val="2"/>
            <w:tcBorders>
              <w:top w:val="single" w:sz="4" w:space="0" w:color="000000"/>
              <w:start w:val="single" w:sz="4" w:space="0" w:color="000000"/>
              <w:bottom w:val="single" w:sz="6" w:space="0" w:color="000000"/>
              <w:end w:val="single" w:sz="6" w:space="0" w:color="000000"/>
            </w:tcBorders>
            <w:vAlign w:val="center"/>
          </w:tcPr>
          <w:p>
            <w:pPr>
              <w:pStyle w:val="Normal"/>
              <w:spacing w:lineRule="atLeast" w:line="400"/>
              <w:jc w:val="center"/>
              <w:rPr>
                <w:rFonts w:ascii="黑体" w:hAnsi="黑体" w:eastAsia="黑体" w:cs="黑体"/>
                <w:szCs w:val="21"/>
              </w:rPr>
            </w:pPr>
            <w:r>
              <w:rPr>
                <w:rFonts w:ascii="黑体" w:hAnsi="黑体" w:cs="黑体" w:eastAsia="黑体"/>
                <w:szCs w:val="21"/>
              </w:rPr>
              <w:t>在三个工作日内响应，１００</w:t>
            </w:r>
            <w:r>
              <w:rPr>
                <w:rFonts w:eastAsia="黑体" w:cs="黑体" w:ascii="黑体" w:hAnsi="黑体"/>
                <w:szCs w:val="21"/>
              </w:rPr>
              <w:t>%</w:t>
            </w:r>
            <w:r>
              <w:rPr>
                <w:rFonts w:ascii="黑体" w:hAnsi="黑体" w:cs="黑体" w:eastAsia="黑体"/>
                <w:szCs w:val="21"/>
              </w:rPr>
              <w:t>解决</w:t>
            </w:r>
          </w:p>
        </w:tc>
        <w:tc>
          <w:tcPr>
            <w:tcW w:w="2804"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两项均达到目标值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达标一项的  </w:t>
            </w:r>
            <w:r>
              <w:rPr>
                <w:rFonts w:eastAsia="黑体" w:cs="黑体" w:ascii="黑体" w:hAnsi="黑体"/>
                <w:szCs w:val="21"/>
              </w:rPr>
              <w:t>5</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其它   </w:t>
            </w:r>
            <w:r>
              <w:rPr>
                <w:rFonts w:eastAsia="黑体" w:cs="黑体" w:ascii="黑体" w:hAnsi="黑体"/>
                <w:szCs w:val="21"/>
              </w:rPr>
              <w:t>0</w:t>
            </w:r>
            <w:r>
              <w:rPr>
                <w:rFonts w:ascii="黑体" w:hAnsi="黑体" w:cs="黑体" w:eastAsia="黑体"/>
                <w:szCs w:val="21"/>
              </w:rPr>
              <w:t>分</w:t>
            </w:r>
          </w:p>
        </w:tc>
        <w:tc>
          <w:tcPr>
            <w:tcW w:w="47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56"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9"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1" w:type="dxa"/>
            <w:gridSpan w:val="4"/>
            <w:tcBorders>
              <w:top w:val="single" w:sz="6" w:space="0" w:color="000000"/>
              <w:start w:val="single" w:sz="6" w:space="0" w:color="000000"/>
              <w:bottom w:val="single" w:sz="4"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544" w:type="dxa"/>
            <w:gridSpan w:val="12"/>
            <w:tcBorders>
              <w:top w:val="single" w:sz="6" w:space="0" w:color="000000"/>
              <w:start w:val="single" w:sz="6" w:space="0" w:color="000000"/>
              <w:bottom w:val="single" w:sz="4" w:space="0" w:color="000000"/>
              <w:end w:val="single" w:sz="12" w:space="0" w:color="000000"/>
            </w:tcBorders>
            <w:vAlign w:val="center"/>
          </w:tcPr>
          <w:p>
            <w:pPr>
              <w:pStyle w:val="Style14"/>
              <w:snapToGrid w:val="false"/>
              <w:jc w:val="center"/>
              <w:rPr>
                <w:rFonts w:ascii="黑体" w:hAnsi="黑体" w:eastAsia="黑体" w:cs="黑体"/>
                <w:bCs w:val="false"/>
                <w:szCs w:val="21"/>
              </w:rPr>
            </w:pPr>
            <w:r>
              <w:rPr>
                <w:rFonts w:eastAsia="黑体" w:cs="黑体" w:ascii="黑体" w:hAnsi="黑体"/>
                <w:bCs w:val="false"/>
                <w:szCs w:val="21"/>
              </w:rPr>
            </w:r>
          </w:p>
        </w:tc>
      </w:tr>
      <w:tr>
        <w:trPr>
          <w:trHeight w:val="1215" w:hRule="atLeast"/>
          <w:cantSplit w:val="true"/>
        </w:trPr>
        <w:tc>
          <w:tcPr>
            <w:tcW w:w="599" w:type="dxa"/>
            <w:vMerge w:val="restart"/>
            <w:tcBorders>
              <w:top w:val="single" w:sz="4"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7"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495"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考核指标</w:t>
            </w:r>
          </w:p>
        </w:tc>
        <w:tc>
          <w:tcPr>
            <w:tcW w:w="718"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640" w:type="dxa"/>
            <w:gridSpan w:val="4"/>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220"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考核评分</w:t>
            </w:r>
          </w:p>
        </w:tc>
        <w:tc>
          <w:tcPr>
            <w:tcW w:w="451"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44"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30" w:type="dxa"/>
            <w:tcBorders>
              <w:top w:val="single" w:sz="4" w:space="0" w:color="000000"/>
              <w:start w:val="single" w:sz="6" w:space="0" w:color="000000"/>
              <w:bottom w:val="single" w:sz="4"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主动性</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7"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495"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自信心</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71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640"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级：坚定而建设性提出观点和想法</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级：没有明确指标也能独立工作并承担后果</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级：接受困难工作分配</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级：主动对待困境和形势</w:t>
            </w:r>
          </w:p>
          <w:p>
            <w:pPr>
              <w:pStyle w:val="Normal"/>
              <w:rPr>
                <w:rFonts w:ascii="黑体" w:hAnsi="黑体" w:eastAsia="黑体" w:cs="黑体"/>
                <w:szCs w:val="21"/>
              </w:rPr>
            </w:pPr>
            <w:r>
              <w:rPr>
                <w:rFonts w:eastAsia="黑体" w:cs="黑体" w:ascii="黑体" w:hAnsi="黑体"/>
                <w:color w:val="000000"/>
                <w:szCs w:val="21"/>
              </w:rPr>
              <w:t>5</w:t>
            </w:r>
            <w:r>
              <w:rPr>
                <w:rFonts w:ascii="黑体" w:hAnsi="黑体" w:cs="黑体" w:eastAsia="黑体"/>
                <w:color w:val="000000"/>
                <w:szCs w:val="21"/>
              </w:rPr>
              <w:t>级：建设性挑战决策，战略并获取效果</w:t>
            </w:r>
          </w:p>
        </w:tc>
        <w:tc>
          <w:tcPr>
            <w:tcW w:w="122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jc w:val="center"/>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45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30"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663" w:hRule="atLeast"/>
          <w:cantSplit w:val="true"/>
        </w:trPr>
        <w:tc>
          <w:tcPr>
            <w:tcW w:w="599" w:type="dxa"/>
            <w:vMerge w:val="continue"/>
            <w:tcBorders>
              <w:top w:val="single" w:sz="4"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81"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544" w:type="dxa"/>
            <w:gridSpan w:val="1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925" w:type="dxa"/>
            <w:gridSpan w:val="16"/>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×80%+</w:t>
            </w:r>
            <w:r>
              <w:rPr>
                <w:rFonts w:ascii="黑体" w:hAnsi="黑体" w:cs="黑体" w:eastAsia="黑体"/>
                <w:szCs w:val="21"/>
              </w:rPr>
              <w:t>行为考核得分</w:t>
            </w:r>
            <w:r>
              <w:rPr>
                <w:rFonts w:eastAsia="黑体" w:cs="黑体" w:ascii="黑体" w:hAnsi="黑体"/>
                <w:szCs w:val="21"/>
              </w:rPr>
              <w:t>×20%=</w:t>
            </w:r>
          </w:p>
        </w:tc>
      </w:tr>
      <w:tr>
        <w:trPr>
          <w:trHeight w:val="340" w:hRule="atLeast"/>
          <w:cantSplit w:val="true"/>
        </w:trPr>
        <w:tc>
          <w:tcPr>
            <w:tcW w:w="599"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925" w:type="dxa"/>
            <w:gridSpan w:val="16"/>
            <w:tcBorders>
              <w:top w:val="single" w:sz="6" w:space="0" w:color="000000"/>
              <w:start w:val="single" w:sz="6" w:space="0" w:color="000000"/>
              <w:bottom w:val="single" w:sz="12"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签字：</w:t>
            </w:r>
          </w:p>
          <w:p>
            <w:pPr>
              <w:pStyle w:val="Normal"/>
              <w:ind w:firstLine="6300"/>
              <w:jc w:val="center"/>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r>
        <w:br w:type="page"/>
      </w:r>
    </w:p>
    <w:p>
      <w:pPr>
        <w:pStyle w:val="Normal"/>
        <w:numPr>
          <w:ilvl w:val="0"/>
          <w:numId w:val="0"/>
        </w:numPr>
        <w:jc w:val="center"/>
        <w:outlineLvl w:val="0"/>
        <w:rPr>
          <w:rFonts w:ascii="宋体" w:hAnsi="宋体" w:cs="宋体"/>
        </w:rPr>
      </w:pPr>
      <w:r>
        <w:rPr>
          <w:rFonts w:ascii="宋体" w:hAnsi="宋体" w:cs="宋体"/>
          <w:b/>
          <w:sz w:val="24"/>
        </w:rPr>
        <w:t>质检员考核评分表（月度）</w:t>
      </w:r>
    </w:p>
    <w:p>
      <w:pPr>
        <w:pStyle w:val="Normal"/>
        <w:jc w:val="end"/>
        <w:rPr>
          <w:rFonts w:ascii="宋体" w:hAnsi="宋体" w:cs="宋体"/>
          <w:b/>
          <w:b/>
        </w:rPr>
      </w:pPr>
      <w:r>
        <w:rPr>
          <w:rFonts w:ascii="宋体" w:hAnsi="宋体" w:cs="宋体"/>
          <w:b/>
        </w:rPr>
        <w:t>考核期间：        年   月</w:t>
      </w:r>
    </w:p>
    <w:tbl>
      <w:tblPr>
        <w:tblW w:w="9108" w:type="dxa"/>
        <w:jc w:val="start"/>
        <w:tblInd w:w="0" w:type="dxa"/>
        <w:tblLayout w:type="fixed"/>
        <w:tblCellMar>
          <w:top w:w="0" w:type="dxa"/>
          <w:start w:w="108" w:type="dxa"/>
          <w:bottom w:w="0" w:type="dxa"/>
          <w:end w:w="108" w:type="dxa"/>
        </w:tblCellMar>
      </w:tblPr>
      <w:tblGrid>
        <w:gridCol w:w="596"/>
        <w:gridCol w:w="226"/>
        <w:gridCol w:w="300"/>
        <w:gridCol w:w="741"/>
        <w:gridCol w:w="571"/>
        <w:gridCol w:w="539"/>
        <w:gridCol w:w="541"/>
        <w:gridCol w:w="990"/>
        <w:gridCol w:w="1073"/>
        <w:gridCol w:w="831"/>
        <w:gridCol w:w="1440"/>
        <w:gridCol w:w="360"/>
        <w:gridCol w:w="11"/>
        <w:gridCol w:w="349"/>
        <w:gridCol w:w="77"/>
        <w:gridCol w:w="463"/>
      </w:tblGrid>
      <w:tr>
        <w:trPr>
          <w:trHeight w:val="340" w:hRule="atLeast"/>
          <w:cantSplit w:val="true"/>
        </w:trPr>
        <w:tc>
          <w:tcPr>
            <w:tcW w:w="822"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姓名</w:t>
            </w:r>
          </w:p>
        </w:tc>
        <w:tc>
          <w:tcPr>
            <w:tcW w:w="215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531"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岗位</w:t>
            </w:r>
          </w:p>
        </w:tc>
        <w:tc>
          <w:tcPr>
            <w:tcW w:w="4604" w:type="dxa"/>
            <w:gridSpan w:val="8"/>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业绩考核</w:t>
            </w:r>
          </w:p>
        </w:tc>
        <w:tc>
          <w:tcPr>
            <w:tcW w:w="5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851"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考核项目</w:t>
            </w:r>
          </w:p>
        </w:tc>
        <w:tc>
          <w:tcPr>
            <w:tcW w:w="541"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2063" w:type="dxa"/>
            <w:gridSpan w:val="2"/>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目标值要求</w:t>
            </w:r>
          </w:p>
        </w:tc>
        <w:tc>
          <w:tcPr>
            <w:tcW w:w="2271"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评分等级</w:t>
            </w:r>
          </w:p>
        </w:tc>
        <w:tc>
          <w:tcPr>
            <w:tcW w:w="1260" w:type="dxa"/>
            <w:gridSpan w:val="5"/>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得分</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851"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ind w:start="-4" w:hanging="15"/>
              <w:rPr>
                <w:rFonts w:ascii="黑体" w:hAnsi="黑体" w:eastAsia="黑体" w:cs="黑体"/>
                <w:szCs w:val="21"/>
              </w:rPr>
            </w:pPr>
            <w:r>
              <w:rPr>
                <w:rFonts w:eastAsia="黑体" w:cs="黑体" w:ascii="黑体" w:hAnsi="黑体"/>
                <w:szCs w:val="21"/>
              </w:rPr>
            </w:r>
          </w:p>
        </w:tc>
        <w:tc>
          <w:tcPr>
            <w:tcW w:w="541" w:type="dxa"/>
            <w:vMerge w:val="continue"/>
            <w:tcBorders>
              <w:top w:val="single" w:sz="6" w:space="0" w:color="000000"/>
              <w:start w:val="single" w:sz="6" w:space="0" w:color="000000"/>
              <w:bottom w:val="single" w:sz="6" w:space="0" w:color="000000"/>
              <w:end w:val="single" w:sz="4" w:space="0" w:color="000000"/>
            </w:tcBorders>
            <w:vAlign w:val="center"/>
          </w:tcPr>
          <w:p>
            <w:pPr>
              <w:pStyle w:val="Style14"/>
              <w:snapToGrid w:val="false"/>
              <w:jc w:val="end"/>
              <w:rPr>
                <w:rFonts w:ascii="黑体" w:hAnsi="黑体" w:eastAsia="黑体" w:cs="黑体"/>
                <w:bCs w:val="false"/>
                <w:szCs w:val="21"/>
              </w:rPr>
            </w:pPr>
            <w:r>
              <w:rPr>
                <w:rFonts w:eastAsia="黑体" w:cs="黑体" w:ascii="黑体" w:hAnsi="黑体"/>
                <w:bCs w:val="false"/>
                <w:szCs w:val="21"/>
              </w:rPr>
            </w:r>
          </w:p>
        </w:tc>
        <w:tc>
          <w:tcPr>
            <w:tcW w:w="2063" w:type="dxa"/>
            <w:gridSpan w:val="2"/>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黑体" w:hAnsi="黑体" w:eastAsia="黑体" w:cs="黑体"/>
                <w:bCs w:val="false"/>
                <w:szCs w:val="21"/>
              </w:rPr>
            </w:pPr>
            <w:r>
              <w:rPr>
                <w:rFonts w:eastAsia="黑体" w:cs="黑体" w:ascii="黑体" w:hAnsi="黑体"/>
                <w:bCs w:val="false"/>
                <w:szCs w:val="21"/>
              </w:rPr>
            </w:r>
          </w:p>
        </w:tc>
        <w:tc>
          <w:tcPr>
            <w:tcW w:w="2271"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741"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业绩指标</w:t>
            </w:r>
          </w:p>
          <w:p>
            <w:pPr>
              <w:pStyle w:val="Normal"/>
              <w:jc w:val="center"/>
              <w:rPr>
                <w:rFonts w:ascii="黑体" w:hAnsi="黑体" w:eastAsia="黑体" w:cs="黑体"/>
                <w:szCs w:val="21"/>
              </w:rPr>
            </w:pPr>
            <w:r>
              <w:rPr>
                <w:rFonts w:eastAsia="黑体" w:cs="黑体" w:ascii="黑体" w:hAnsi="黑体"/>
                <w:szCs w:val="21"/>
              </w:rPr>
              <w:t>100%</w:t>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质量检验</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质量检验及时、准确，首次检验成功率达到</w:t>
            </w:r>
            <w:r>
              <w:rPr>
                <w:rFonts w:eastAsia="黑体" w:cs="黑体" w:ascii="黑体" w:hAnsi="黑体"/>
                <w:szCs w:val="21"/>
              </w:rPr>
              <w:t>95%</w:t>
            </w:r>
            <w:r>
              <w:rPr>
                <w:rFonts w:ascii="黑体" w:hAnsi="黑体" w:cs="黑体" w:eastAsia="黑体"/>
                <w:szCs w:val="21"/>
              </w:rPr>
              <w:t>以上</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达到</w:t>
            </w:r>
            <w:r>
              <w:rPr>
                <w:rFonts w:eastAsia="黑体" w:cs="黑体" w:ascii="黑体" w:hAnsi="黑体"/>
                <w:szCs w:val="21"/>
              </w:rPr>
              <w:t>85%</w:t>
            </w:r>
            <w:r>
              <w:rPr>
                <w:rFonts w:ascii="黑体" w:hAnsi="黑体" w:cs="黑体" w:eastAsia="黑体"/>
                <w:szCs w:val="21"/>
              </w:rPr>
              <w:t xml:space="preserve">以上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低于</w:t>
            </w:r>
            <w:r>
              <w:rPr>
                <w:rFonts w:eastAsia="黑体" w:cs="黑体" w:ascii="黑体" w:hAnsi="黑体"/>
                <w:szCs w:val="21"/>
              </w:rPr>
              <w:t>80%  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质检档案管理</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档案存放整齐无缺失，有目录，查阅方便</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有部分不完整，但未造成影响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不完整且严重缺失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3</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质检事故发生率</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无质检事故发生</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有小问题出现，但未造成影响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有质检事故发生，产生不良后果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4</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仪器使用、保养</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按流程操作，按标准保养，仪器摆放合格、整洁</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 xml:space="preserve">完成要求  </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ascii="黑体" w:hAnsi="黑体" w:cs="黑体" w:eastAsia="黑体"/>
                <w:szCs w:val="21"/>
              </w:rPr>
              <w:t>任一项没有满足扣</w:t>
            </w:r>
            <w:r>
              <w:rPr>
                <w:rFonts w:eastAsia="黑体" w:cs="黑体" w:ascii="黑体" w:hAnsi="黑体"/>
                <w:szCs w:val="21"/>
              </w:rPr>
              <w:t>5</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w:t>
            </w:r>
          </w:p>
        </w:tc>
        <w:tc>
          <w:tcPr>
            <w:tcW w:w="74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质量控制</w:t>
            </w:r>
          </w:p>
        </w:tc>
        <w:tc>
          <w:tcPr>
            <w:tcW w:w="541"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eastAsia="黑体" w:cs="黑体" w:ascii="黑体" w:hAnsi="黑体"/>
                <w:szCs w:val="21"/>
              </w:rPr>
              <w:t>20%</w:t>
            </w:r>
          </w:p>
        </w:tc>
        <w:tc>
          <w:tcPr>
            <w:tcW w:w="206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每周深入生产线一次，对质量进行现场把控，必要时进行生产人员培训</w:t>
            </w:r>
          </w:p>
        </w:tc>
        <w:tc>
          <w:tcPr>
            <w:tcW w:w="227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 xml:space="preserve">完成目标值要求 </w:t>
            </w:r>
            <w:r>
              <w:rPr>
                <w:rFonts w:eastAsia="黑体" w:cs="黑体" w:ascii="黑体" w:hAnsi="黑体"/>
                <w:szCs w:val="21"/>
              </w:rPr>
              <w:t>20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质量把控次数不足，但未造成影响   </w:t>
            </w:r>
            <w:r>
              <w:rPr>
                <w:rFonts w:eastAsia="黑体" w:cs="黑体" w:ascii="黑体" w:hAnsi="黑体"/>
                <w:szCs w:val="21"/>
              </w:rPr>
              <w:t>10</w:t>
            </w:r>
            <w:r>
              <w:rPr>
                <w:rFonts w:ascii="黑体" w:hAnsi="黑体" w:cs="黑体" w:eastAsia="黑体"/>
                <w:szCs w:val="21"/>
              </w:rPr>
              <w:t>分</w:t>
            </w:r>
          </w:p>
          <w:p>
            <w:pPr>
              <w:pStyle w:val="Normal"/>
              <w:jc w:val="center"/>
              <w:rPr>
                <w:rFonts w:ascii="黑体" w:hAnsi="黑体" w:eastAsia="黑体" w:cs="黑体"/>
                <w:szCs w:val="21"/>
              </w:rPr>
            </w:pPr>
            <w:r>
              <w:rPr>
                <w:rFonts w:ascii="黑体" w:hAnsi="黑体" w:cs="黑体" w:eastAsia="黑体"/>
                <w:szCs w:val="21"/>
              </w:rPr>
              <w:t xml:space="preserve">无质量把控行为  </w:t>
            </w:r>
            <w:r>
              <w:rPr>
                <w:rFonts w:eastAsia="黑体" w:cs="黑体" w:ascii="黑体" w:hAnsi="黑体"/>
                <w:szCs w:val="21"/>
              </w:rPr>
              <w:t>0</w:t>
            </w:r>
            <w:r>
              <w:rPr>
                <w:rFonts w:ascii="黑体" w:hAnsi="黑体" w:cs="黑体" w:eastAsia="黑体"/>
                <w:szCs w:val="21"/>
              </w:rPr>
              <w:t>分</w:t>
            </w:r>
          </w:p>
        </w:tc>
        <w:tc>
          <w:tcPr>
            <w:tcW w:w="37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2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46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95" w:hRule="atLeast"/>
          <w:cantSplit w:val="true"/>
        </w:trPr>
        <w:tc>
          <w:tcPr>
            <w:tcW w:w="5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6" w:space="0" w:color="000000"/>
              <w:start w:val="single" w:sz="6" w:space="0" w:color="000000"/>
              <w:bottom w:val="single" w:sz="6" w:space="0" w:color="000000"/>
              <w:end w:val="single" w:sz="6" w:space="0" w:color="000000"/>
            </w:tcBorders>
            <w:vAlign w:val="center"/>
          </w:tcPr>
          <w:p>
            <w:pPr>
              <w:pStyle w:val="Style14"/>
              <w:jc w:val="center"/>
              <w:rPr>
                <w:rFonts w:ascii="黑体" w:hAnsi="黑体" w:eastAsia="黑体" w:cs="黑体"/>
                <w:bCs w:val="false"/>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vAlign w:val="center"/>
          </w:tcPr>
          <w:p>
            <w:pPr>
              <w:pStyle w:val="Style14"/>
              <w:snapToGrid w:val="false"/>
              <w:rPr>
                <w:rFonts w:ascii="黑体" w:hAnsi="黑体" w:eastAsia="黑体" w:cs="黑体"/>
                <w:bCs w:val="false"/>
                <w:szCs w:val="21"/>
              </w:rPr>
            </w:pPr>
            <w:r>
              <w:rPr>
                <w:rFonts w:eastAsia="黑体" w:cs="黑体" w:ascii="黑体" w:hAnsi="黑体"/>
                <w:bCs w:val="false"/>
                <w:szCs w:val="21"/>
              </w:rPr>
            </w:r>
          </w:p>
        </w:tc>
      </w:tr>
      <w:tr>
        <w:trPr>
          <w:trHeight w:val="340" w:hRule="atLeast"/>
          <w:cantSplit w:val="true"/>
        </w:trPr>
        <w:tc>
          <w:tcPr>
            <w:tcW w:w="596" w:type="dxa"/>
            <w:vMerge w:val="restart"/>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w:t>
            </w:r>
          </w:p>
          <w:p>
            <w:pPr>
              <w:pStyle w:val="Normal"/>
              <w:jc w:val="center"/>
              <w:rPr>
                <w:rFonts w:ascii="黑体" w:hAnsi="黑体" w:eastAsia="黑体" w:cs="黑体"/>
                <w:szCs w:val="21"/>
              </w:rPr>
            </w:pPr>
            <w:r>
              <w:rPr>
                <w:rFonts w:ascii="黑体" w:hAnsi="黑体" w:cs="黑体" w:eastAsia="黑体"/>
                <w:szCs w:val="21"/>
              </w:rPr>
              <w:t>考核</w:t>
            </w:r>
          </w:p>
        </w:tc>
        <w:tc>
          <w:tcPr>
            <w:tcW w:w="52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序号</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行为指标</w:t>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权重</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指标说明</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ascii="黑体" w:hAnsi="黑体" w:cs="黑体" w:eastAsia="黑体"/>
                <w:szCs w:val="21"/>
              </w:rPr>
              <w:t>考核评分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自评</w:t>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上级</w:t>
            </w:r>
          </w:p>
        </w:tc>
        <w:tc>
          <w:tcPr>
            <w:tcW w:w="540"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黑体" w:hAnsi="黑体" w:eastAsia="黑体" w:cs="黑体"/>
                <w:szCs w:val="21"/>
              </w:rPr>
            </w:pPr>
            <w:r>
              <w:rPr>
                <w:rFonts w:ascii="黑体" w:hAnsi="黑体" w:cs="黑体" w:eastAsia="黑体"/>
                <w:szCs w:val="21"/>
              </w:rPr>
              <w:t>结果</w:t>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1</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jc w:val="center"/>
              <w:rPr>
                <w:rFonts w:ascii="黑体" w:hAnsi="黑体" w:eastAsia="黑体" w:cs="黑体"/>
                <w:color w:val="000000"/>
                <w:szCs w:val="21"/>
              </w:rPr>
            </w:pPr>
            <w:r>
              <w:rPr>
                <w:rFonts w:ascii="黑体" w:hAnsi="黑体" w:cs="黑体" w:eastAsia="黑体"/>
                <w:color w:val="000000"/>
                <w:szCs w:val="21"/>
              </w:rPr>
              <w:t>主动性</w:t>
            </w:r>
          </w:p>
          <w:p>
            <w:pPr>
              <w:pStyle w:val="Normal"/>
              <w:widowControl/>
              <w:jc w:val="start"/>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vAlign w:val="center"/>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级：等候指示</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级：询问有何工作可给分配</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级：提出建议，然后再作有关行动</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级：行动，但例外情况下征求意见</w:t>
            </w:r>
          </w:p>
          <w:p>
            <w:pPr>
              <w:pStyle w:val="Normal"/>
              <w:rPr>
                <w:rFonts w:ascii="黑体" w:hAnsi="黑体" w:eastAsia="黑体" w:cs="黑体"/>
                <w:color w:val="000000"/>
                <w:szCs w:val="21"/>
              </w:rPr>
            </w:pPr>
            <w:r>
              <w:rPr>
                <w:rFonts w:eastAsia="黑体" w:cs="黑体" w:ascii="黑体" w:hAnsi="黑体"/>
                <w:color w:val="000000"/>
                <w:szCs w:val="21"/>
              </w:rPr>
              <w:t>5</w:t>
            </w:r>
            <w:r>
              <w:rPr>
                <w:rFonts w:ascii="黑体" w:hAnsi="黑体" w:cs="黑体" w:eastAsia="黑体"/>
                <w:color w:val="000000"/>
                <w:szCs w:val="21"/>
              </w:rPr>
              <w:t>级：单独行动，定时汇报结果</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vMerge w:val="continue"/>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26"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2</w:t>
            </w:r>
          </w:p>
        </w:tc>
        <w:tc>
          <w:tcPr>
            <w:tcW w:w="131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color w:val="000000"/>
                <w:szCs w:val="21"/>
              </w:rPr>
            </w:pPr>
            <w:r>
              <w:rPr>
                <w:rFonts w:ascii="黑体" w:hAnsi="黑体" w:cs="黑体" w:eastAsia="黑体"/>
                <w:color w:val="000000"/>
                <w:szCs w:val="21"/>
              </w:rPr>
              <w:t>承担责任</w:t>
            </w:r>
          </w:p>
          <w:p>
            <w:pPr>
              <w:pStyle w:val="Normal"/>
              <w:jc w:val="center"/>
              <w:rPr>
                <w:rFonts w:ascii="黑体" w:hAnsi="黑体" w:eastAsia="黑体" w:cs="黑体"/>
                <w:color w:val="000000"/>
                <w:szCs w:val="21"/>
              </w:rPr>
            </w:pPr>
            <w:r>
              <w:rPr>
                <w:rFonts w:eastAsia="黑体" w:cs="黑体" w:ascii="黑体" w:hAnsi="黑体"/>
                <w:color w:val="000000"/>
                <w:szCs w:val="21"/>
              </w:rPr>
            </w:r>
          </w:p>
        </w:tc>
        <w:tc>
          <w:tcPr>
            <w:tcW w:w="53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eastAsia="黑体" w:cs="黑体" w:ascii="黑体" w:hAnsi="黑体"/>
                <w:szCs w:val="21"/>
              </w:rPr>
              <w:t>50%</w:t>
            </w:r>
          </w:p>
        </w:tc>
        <w:tc>
          <w:tcPr>
            <w:tcW w:w="3435" w:type="dxa"/>
            <w:gridSpan w:val="4"/>
            <w:tcBorders>
              <w:top w:val="single" w:sz="6" w:space="0" w:color="000000"/>
              <w:start w:val="single" w:sz="6" w:space="0" w:color="000000"/>
              <w:bottom w:val="single" w:sz="6" w:space="0" w:color="000000"/>
              <w:end w:val="single" w:sz="6" w:space="0" w:color="000000"/>
            </w:tcBorders>
          </w:tcPr>
          <w:p>
            <w:pPr>
              <w:pStyle w:val="Normal"/>
              <w:widowControl/>
              <w:jc w:val="start"/>
              <w:rPr>
                <w:rFonts w:ascii="黑体" w:hAnsi="黑体" w:eastAsia="黑体" w:cs="黑体"/>
                <w:color w:val="000000"/>
                <w:kern w:val="0"/>
                <w:szCs w:val="21"/>
              </w:rPr>
            </w:pPr>
            <w:r>
              <w:rPr>
                <w:rFonts w:eastAsia="黑体" w:cs="黑体" w:ascii="黑体" w:hAnsi="黑体"/>
                <w:color w:val="000000"/>
                <w:szCs w:val="21"/>
              </w:rPr>
              <w:t>1</w:t>
            </w:r>
            <w:r>
              <w:rPr>
                <w:rFonts w:ascii="黑体" w:hAnsi="黑体" w:cs="黑体" w:eastAsia="黑体"/>
                <w:color w:val="000000"/>
                <w:szCs w:val="21"/>
              </w:rPr>
              <w:t>级：承认结果，而不是强调愿望</w:t>
            </w:r>
          </w:p>
          <w:p>
            <w:pPr>
              <w:pStyle w:val="Normal"/>
              <w:rPr>
                <w:rFonts w:ascii="黑体" w:hAnsi="黑体" w:eastAsia="黑体" w:cs="黑体"/>
                <w:color w:val="000000"/>
                <w:szCs w:val="21"/>
              </w:rPr>
            </w:pPr>
            <w:r>
              <w:rPr>
                <w:rFonts w:eastAsia="黑体" w:cs="黑体" w:ascii="黑体" w:hAnsi="黑体"/>
                <w:color w:val="000000"/>
                <w:szCs w:val="21"/>
              </w:rPr>
              <w:t>2</w:t>
            </w:r>
            <w:r>
              <w:rPr>
                <w:rFonts w:ascii="黑体" w:hAnsi="黑体" w:cs="黑体" w:eastAsia="黑体"/>
                <w:color w:val="000000"/>
                <w:szCs w:val="21"/>
              </w:rPr>
              <w:t>级：承担责任，不推卸，不指责</w:t>
            </w:r>
          </w:p>
          <w:p>
            <w:pPr>
              <w:pStyle w:val="Normal"/>
              <w:rPr>
                <w:rFonts w:ascii="黑体" w:hAnsi="黑体" w:eastAsia="黑体" w:cs="黑体"/>
                <w:color w:val="000000"/>
                <w:szCs w:val="21"/>
              </w:rPr>
            </w:pPr>
            <w:r>
              <w:rPr>
                <w:rFonts w:eastAsia="黑体" w:cs="黑体" w:ascii="黑体" w:hAnsi="黑体"/>
                <w:color w:val="000000"/>
                <w:szCs w:val="21"/>
              </w:rPr>
              <w:t>3</w:t>
            </w:r>
            <w:r>
              <w:rPr>
                <w:rFonts w:ascii="黑体" w:hAnsi="黑体" w:cs="黑体" w:eastAsia="黑体"/>
                <w:color w:val="000000"/>
                <w:szCs w:val="21"/>
              </w:rPr>
              <w:t>级：着手解决问题，减少业务流程</w:t>
            </w:r>
          </w:p>
          <w:p>
            <w:pPr>
              <w:pStyle w:val="Normal"/>
              <w:rPr>
                <w:rFonts w:ascii="黑体" w:hAnsi="黑体" w:eastAsia="黑体" w:cs="黑体"/>
                <w:color w:val="000000"/>
                <w:szCs w:val="21"/>
              </w:rPr>
            </w:pPr>
            <w:r>
              <w:rPr>
                <w:rFonts w:eastAsia="黑体" w:cs="黑体" w:ascii="黑体" w:hAnsi="黑体"/>
                <w:color w:val="000000"/>
                <w:szCs w:val="21"/>
              </w:rPr>
              <w:t>4</w:t>
            </w:r>
            <w:r>
              <w:rPr>
                <w:rFonts w:ascii="黑体" w:hAnsi="黑体" w:cs="黑体" w:eastAsia="黑体"/>
                <w:color w:val="000000"/>
                <w:szCs w:val="21"/>
              </w:rPr>
              <w:t>级：举一反三，改进业务流程</w:t>
            </w:r>
          </w:p>
          <w:p>
            <w:pPr>
              <w:pStyle w:val="Normal"/>
              <w:rPr>
                <w:szCs w:val="21"/>
              </w:rPr>
            </w:pPr>
            <w:r>
              <w:rPr>
                <w:rFonts w:eastAsia="黑体" w:cs="黑体" w:ascii="黑体" w:hAnsi="黑体"/>
                <w:color w:val="000000"/>
                <w:szCs w:val="21"/>
              </w:rPr>
              <w:t>5</w:t>
            </w:r>
            <w:r>
              <w:rPr>
                <w:rFonts w:ascii="黑体" w:hAnsi="黑体" w:cs="黑体" w:eastAsia="黑体"/>
                <w:color w:val="000000"/>
                <w:szCs w:val="21"/>
              </w:rPr>
              <w:t>级：做事有预见，有防误设计</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rPr>
                <w:rFonts w:ascii="黑体" w:hAnsi="黑体" w:eastAsia="黑体" w:cs="黑体"/>
                <w:szCs w:val="21"/>
              </w:rPr>
            </w:pPr>
            <w:r>
              <w:rPr>
                <w:rFonts w:eastAsia="黑体" w:cs="黑体" w:ascii="黑体" w:hAnsi="黑体"/>
                <w:szCs w:val="21"/>
              </w:rPr>
              <w:t>1</w:t>
            </w:r>
            <w:r>
              <w:rPr>
                <w:rFonts w:ascii="黑体" w:hAnsi="黑体" w:cs="黑体" w:eastAsia="黑体"/>
                <w:szCs w:val="21"/>
              </w:rPr>
              <w:t>级</w:t>
            </w:r>
            <w:r>
              <w:rPr>
                <w:rFonts w:eastAsia="黑体" w:cs="黑体" w:ascii="黑体" w:hAnsi="黑体"/>
                <w:szCs w:val="21"/>
              </w:rPr>
              <w:t>10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2</w:t>
            </w:r>
            <w:r>
              <w:rPr>
                <w:rFonts w:ascii="黑体" w:hAnsi="黑体" w:cs="黑体" w:eastAsia="黑体"/>
                <w:szCs w:val="21"/>
              </w:rPr>
              <w:t>级</w:t>
            </w:r>
            <w:r>
              <w:rPr>
                <w:rFonts w:eastAsia="黑体" w:cs="黑体" w:ascii="黑体" w:hAnsi="黑体"/>
                <w:szCs w:val="21"/>
              </w:rPr>
              <w:t>20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3</w:t>
            </w:r>
            <w:r>
              <w:rPr>
                <w:rFonts w:ascii="黑体" w:hAnsi="黑体" w:cs="黑体" w:eastAsia="黑体"/>
                <w:szCs w:val="21"/>
              </w:rPr>
              <w:t>级</w:t>
            </w:r>
            <w:r>
              <w:rPr>
                <w:rFonts w:eastAsia="黑体" w:cs="黑体" w:ascii="黑体" w:hAnsi="黑体"/>
                <w:szCs w:val="21"/>
              </w:rPr>
              <w:t>30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4</w:t>
            </w:r>
            <w:r>
              <w:rPr>
                <w:rFonts w:ascii="黑体" w:hAnsi="黑体" w:cs="黑体" w:eastAsia="黑体"/>
                <w:szCs w:val="21"/>
              </w:rPr>
              <w:t>级</w:t>
            </w:r>
            <w:r>
              <w:rPr>
                <w:rFonts w:eastAsia="黑体" w:cs="黑体" w:ascii="黑体" w:hAnsi="黑体"/>
                <w:szCs w:val="21"/>
              </w:rPr>
              <w:t>40</w:t>
            </w:r>
            <w:r>
              <w:rPr>
                <w:rFonts w:ascii="黑体" w:hAnsi="黑体" w:cs="黑体" w:eastAsia="黑体"/>
                <w:szCs w:val="21"/>
              </w:rPr>
              <w:t>分</w:t>
            </w:r>
          </w:p>
          <w:p>
            <w:pPr>
              <w:pStyle w:val="Normal"/>
              <w:rPr>
                <w:rFonts w:ascii="黑体" w:hAnsi="黑体" w:eastAsia="黑体" w:cs="黑体"/>
                <w:szCs w:val="21"/>
              </w:rPr>
            </w:pPr>
            <w:r>
              <w:rPr>
                <w:rFonts w:eastAsia="黑体" w:cs="黑体" w:ascii="黑体" w:hAnsi="黑体"/>
                <w:szCs w:val="21"/>
              </w:rPr>
              <w:t>5</w:t>
            </w:r>
            <w:r>
              <w:rPr>
                <w:rFonts w:ascii="黑体" w:hAnsi="黑体" w:cs="黑体" w:eastAsia="黑体"/>
                <w:szCs w:val="21"/>
              </w:rPr>
              <w:t>级</w:t>
            </w:r>
            <w:r>
              <w:rPr>
                <w:rFonts w:eastAsia="黑体" w:cs="黑体" w:ascii="黑体" w:hAnsi="黑体"/>
                <w:szCs w:val="21"/>
              </w:rPr>
              <w:t>50</w:t>
            </w:r>
            <w:r>
              <w:rPr>
                <w:rFonts w:ascii="黑体" w:hAnsi="黑体" w:cs="黑体" w:eastAsia="黑体"/>
                <w:szCs w:val="21"/>
              </w:rPr>
              <w:t>分</w:t>
            </w:r>
          </w:p>
        </w:tc>
        <w:tc>
          <w:tcPr>
            <w:tcW w:w="3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36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4" w:space="0" w:color="000000"/>
            </w:tcBorders>
            <w:vAlign w:val="center"/>
          </w:tcPr>
          <w:p>
            <w:pPr>
              <w:pStyle w:val="Normal"/>
              <w:snapToGrid w:val="false"/>
              <w:jc w:val="center"/>
              <w:rPr>
                <w:rFonts w:ascii="黑体" w:hAnsi="黑体" w:eastAsia="黑体" w:cs="黑体"/>
                <w:szCs w:val="21"/>
              </w:rPr>
            </w:pPr>
            <w:r>
              <w:rPr>
                <w:rFonts w:eastAsia="黑体" w:cs="黑体" w:ascii="黑体" w:hAnsi="黑体"/>
                <w:szCs w:val="21"/>
              </w:rPr>
            </w:r>
          </w:p>
        </w:tc>
        <w:tc>
          <w:tcPr>
            <w:tcW w:w="2377" w:type="dxa"/>
            <w:gridSpan w:val="5"/>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b/>
                <w:szCs w:val="21"/>
              </w:rPr>
              <w:t>加权合计</w:t>
            </w:r>
          </w:p>
        </w:tc>
        <w:tc>
          <w:tcPr>
            <w:tcW w:w="6135" w:type="dxa"/>
            <w:gridSpan w:val="10"/>
            <w:tcBorders>
              <w:top w:val="single" w:sz="6" w:space="0" w:color="000000"/>
              <w:start w:val="single" w:sz="6" w:space="0" w:color="000000"/>
              <w:bottom w:val="single" w:sz="6" w:space="0" w:color="000000"/>
              <w:end w:val="single" w:sz="12" w:space="0" w:color="000000"/>
            </w:tcBorders>
          </w:tcPr>
          <w:p>
            <w:pPr>
              <w:pStyle w:val="Normal"/>
              <w:snapToGrid w:val="false"/>
              <w:jc w:val="center"/>
              <w:rPr>
                <w:rFonts w:ascii="黑体" w:hAnsi="黑体" w:eastAsia="黑体" w:cs="黑体"/>
                <w:szCs w:val="21"/>
              </w:rPr>
            </w:pPr>
            <w:r>
              <w:rPr>
                <w:rFonts w:eastAsia="黑体" w:cs="黑体" w:ascii="黑体" w:hAnsi="黑体"/>
                <w:szCs w:val="21"/>
              </w:rPr>
            </w:r>
          </w:p>
        </w:tc>
      </w:tr>
      <w:tr>
        <w:trPr>
          <w:trHeight w:val="340" w:hRule="atLeast"/>
          <w:cantSplit w:val="true"/>
        </w:trPr>
        <w:tc>
          <w:tcPr>
            <w:tcW w:w="596" w:type="dxa"/>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总分</w:t>
            </w:r>
          </w:p>
        </w:tc>
        <w:tc>
          <w:tcPr>
            <w:tcW w:w="8512" w:type="dxa"/>
            <w:gridSpan w:val="15"/>
            <w:tcBorders>
              <w:top w:val="single" w:sz="6" w:space="0" w:color="000000"/>
              <w:start w:val="single" w:sz="6" w:space="0" w:color="000000"/>
              <w:bottom w:val="single" w:sz="6" w:space="0" w:color="000000"/>
              <w:end w:val="single" w:sz="12" w:space="0" w:color="000000"/>
            </w:tcBorders>
            <w:vAlign w:val="center"/>
          </w:tcPr>
          <w:p>
            <w:pPr>
              <w:pStyle w:val="Normal"/>
              <w:rPr>
                <w:rFonts w:ascii="黑体" w:hAnsi="黑体" w:eastAsia="黑体" w:cs="黑体"/>
                <w:szCs w:val="21"/>
              </w:rPr>
            </w:pPr>
            <w:r>
              <w:rPr>
                <w:rFonts w:ascii="黑体" w:hAnsi="黑体" w:cs="黑体" w:eastAsia="黑体"/>
                <w:szCs w:val="21"/>
              </w:rPr>
              <w:t>总分</w:t>
            </w:r>
            <w:r>
              <w:rPr>
                <w:rFonts w:eastAsia="黑体" w:cs="黑体" w:ascii="黑体" w:hAnsi="黑体"/>
                <w:szCs w:val="21"/>
              </w:rPr>
              <w:t>=</w:t>
            </w:r>
            <w:r>
              <w:rPr>
                <w:rFonts w:ascii="黑体" w:hAnsi="黑体" w:cs="黑体" w:eastAsia="黑体"/>
                <w:szCs w:val="21"/>
              </w:rPr>
              <w:t>业绩考核得分</w:t>
            </w:r>
            <w:r>
              <w:rPr>
                <w:rFonts w:eastAsia="黑体" w:cs="黑体" w:ascii="黑体" w:hAnsi="黑体"/>
                <w:szCs w:val="21"/>
              </w:rPr>
              <w:t>×85%+</w:t>
            </w:r>
            <w:r>
              <w:rPr>
                <w:rFonts w:ascii="黑体" w:hAnsi="黑体" w:cs="黑体" w:eastAsia="黑体"/>
                <w:szCs w:val="21"/>
              </w:rPr>
              <w:t>行为考核得分</w:t>
            </w:r>
            <w:r>
              <w:rPr>
                <w:rFonts w:eastAsia="黑体" w:cs="黑体" w:ascii="黑体" w:hAnsi="黑体"/>
                <w:szCs w:val="21"/>
              </w:rPr>
              <w:t>×15%=</w:t>
            </w:r>
          </w:p>
        </w:tc>
      </w:tr>
      <w:tr>
        <w:trPr>
          <w:trHeight w:val="340" w:hRule="atLeast"/>
          <w:cantSplit w:val="true"/>
        </w:trPr>
        <w:tc>
          <w:tcPr>
            <w:tcW w:w="596"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黑体" w:hAnsi="黑体" w:eastAsia="黑体" w:cs="黑体"/>
                <w:szCs w:val="21"/>
              </w:rPr>
            </w:pPr>
            <w:r>
              <w:rPr>
                <w:rFonts w:ascii="黑体" w:hAnsi="黑体" w:cs="黑体" w:eastAsia="黑体"/>
                <w:szCs w:val="21"/>
              </w:rPr>
              <w:t>考核人</w:t>
            </w:r>
          </w:p>
        </w:tc>
        <w:tc>
          <w:tcPr>
            <w:tcW w:w="8512" w:type="dxa"/>
            <w:gridSpan w:val="15"/>
            <w:tcBorders>
              <w:top w:val="single" w:sz="6" w:space="0" w:color="000000"/>
              <w:start w:val="single" w:sz="6" w:space="0" w:color="000000"/>
              <w:bottom w:val="single" w:sz="12" w:space="0" w:color="000000"/>
              <w:end w:val="single" w:sz="12" w:space="0" w:color="000000"/>
            </w:tcBorders>
            <w:vAlign w:val="center"/>
          </w:tcPr>
          <w:p>
            <w:pPr>
              <w:pStyle w:val="Normal"/>
              <w:rPr>
                <w:rFonts w:ascii="黑体" w:hAnsi="黑体" w:eastAsia="黑体" w:cs="黑体"/>
                <w:szCs w:val="21"/>
              </w:rPr>
            </w:pPr>
            <w:r>
              <w:rPr>
                <w:rFonts w:eastAsia="黑体" w:cs="黑体" w:ascii="黑体" w:hAnsi="黑体"/>
                <w:szCs w:val="21"/>
              </w:rPr>
              <w:t xml:space="preserve">    </w:t>
            </w:r>
            <w:r>
              <w:rPr>
                <w:rFonts w:ascii="黑体" w:hAnsi="黑体" w:cs="黑体" w:eastAsia="黑体"/>
                <w:szCs w:val="21"/>
              </w:rPr>
              <w:t>签字：</w:t>
            </w:r>
          </w:p>
          <w:p>
            <w:pPr>
              <w:pStyle w:val="Normal"/>
              <w:ind w:firstLine="6300"/>
              <w:rPr>
                <w:rFonts w:ascii="黑体" w:hAnsi="黑体" w:eastAsia="黑体" w:cs="黑体"/>
                <w:szCs w:val="21"/>
              </w:rPr>
            </w:pPr>
            <w:r>
              <w:rPr>
                <w:rFonts w:ascii="黑体" w:hAnsi="黑体" w:cs="黑体" w:eastAsia="黑体"/>
                <w:szCs w:val="21"/>
              </w:rPr>
              <w:t>年    月    日</w:t>
            </w:r>
          </w:p>
        </w:tc>
      </w:tr>
    </w:tbl>
    <w:p>
      <w:pPr>
        <w:pStyle w:val="Normal"/>
        <w:numPr>
          <w:ilvl w:val="0"/>
          <w:numId w:val="0"/>
        </w:numPr>
        <w:spacing w:lineRule="auto" w:line="360"/>
        <w:outlineLvl w:val="0"/>
        <w:rPr>
          <w:rFonts w:ascii="宋体" w:hAnsi="宋体" w:cs="宋体"/>
          <w:b/>
          <w:b/>
          <w:sz w:val="24"/>
        </w:rPr>
      </w:pPr>
      <w:r>
        <w:rPr>
          <w:rFonts w:cs="宋体" w:ascii="宋体" w:hAnsi="宋体"/>
          <w:b/>
          <w:sz w:val="24"/>
        </w:rPr>
      </w:r>
    </w:p>
    <w:p>
      <w:pPr>
        <w:pStyle w:val="Normal"/>
        <w:rPr>
          <w:rFonts w:ascii="宋体" w:hAnsi="宋体" w:cs="宋体"/>
          <w:b/>
          <w:b/>
          <w:sz w:val="24"/>
        </w:rPr>
      </w:pPr>
      <w:r>
        <w:rPr>
          <w:rFonts w:cs="宋体" w:ascii="宋体" w:hAnsi="宋体"/>
          <w:b/>
          <w:sz w:val="24"/>
        </w:rPr>
      </w:r>
    </w:p>
    <w:p>
      <w:pPr>
        <w:pStyle w:val="Normal"/>
        <w:numPr>
          <w:ilvl w:val="0"/>
          <w:numId w:val="0"/>
        </w:numPr>
        <w:spacing w:lineRule="auto" w:line="360"/>
        <w:outlineLvl w:val="0"/>
        <w:rPr>
          <w:rFonts w:ascii="楷体_GB2312;宋体" w:hAnsi="楷体_GB2312;宋体" w:eastAsia="楷体_GB2312;宋体"/>
          <w:b/>
          <w:b/>
          <w:sz w:val="32"/>
          <w:szCs w:val="32"/>
        </w:rPr>
      </w:pPr>
      <w:r>
        <w:rPr>
          <w:rFonts w:eastAsia="楷体_GB2312;宋体" w:ascii="楷体_GB2312;宋体" w:hAnsi="楷体_GB2312;宋体"/>
          <w:b/>
          <w:sz w:val="32"/>
          <w:szCs w:val="32"/>
        </w:rPr>
      </w:r>
    </w:p>
    <w:sectPr>
      <w:headerReference w:type="default" r:id="rId12"/>
      <w:footerReference w:type="default" r:id="rId1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黑体">
    <w:charset w:val="86"/>
    <w:family w:val="auto"/>
    <w:pitch w:val="default"/>
  </w:font>
  <w:font w:name="宋体">
    <w:charset w:val="86"/>
    <w:family w:val="auto"/>
    <w:pitch w:val="default"/>
  </w:font>
  <w:font w:name="仿宋_GB2312">
    <w:altName w:val="仿宋"/>
    <w:charset w:val="86"/>
    <w:family w:val="modern"/>
    <w:pitch w:val="default"/>
  </w:font>
  <w:font w:name="楷体_GB2312">
    <w:altName w:val="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ind w:end="359" w:firstLine="3060"/>
      <w:jc w:val="end"/>
      <w:rPr/>
    </w:pPr>
    <w:r>
      <w:rPr>
        <w:rStyle w:val="PageNumber"/>
        <w:rFonts w:eastAsia="Times New Roman"/>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ind w:end="360" w:firstLine="2880"/>
      <w:rPr/>
    </w:pPr>
    <w:r>
      <w:rPr>
        <w:rStyle w:val="PageNumber"/>
        <w:rFonts w:eastAsia="Times New Roman"/>
      </w:rPr>
      <w:t xml:space="preserve"> </w:t>
    </w:r>
    <w:r>
      <w:rPr>
        <w:rStyle w:val="PageNumber"/>
      </w:rPr>
      <w:t>第</w:t>
    </w:r>
    <w:r>
      <w:rPr/>
      <w:fldChar w:fldCharType="begin"/>
    </w:r>
    <w:r>
      <w:rPr/>
      <w:instrText> PAGE </w:instrText>
    </w:r>
    <w:r>
      <w:rPr/>
      <w:fldChar w:fldCharType="separate"/>
    </w:r>
    <w:r>
      <w:rPr/>
      <w:t>10</w:t>
    </w:r>
    <w:r>
      <w:rPr/>
      <w:fldChar w:fldCharType="end"/>
    </w:r>
    <w:r>
      <w:rPr>
        <w:rStyle w:val="PageNumber"/>
      </w:rPr>
      <w:t>页</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ind w:end="360" w:firstLine="2880"/>
      <w:rPr/>
    </w:pPr>
    <w:r>
      <w:rPr>
        <w:rStyle w:val="PageNumber"/>
        <w:rFonts w:eastAsia="Times New Roman"/>
      </w:rPr>
      <w:t xml:space="preserve"> </w:t>
    </w:r>
    <w:r>
      <w:rPr>
        <w:rStyle w:val="PageNumber"/>
      </w:rPr>
      <w:t>第</w:t>
    </w:r>
    <w:r>
      <w:rPr/>
      <w:fldChar w:fldCharType="begin"/>
    </w:r>
    <w:r>
      <w:rPr/>
      <w:instrText> PAGE </w:instrText>
    </w:r>
    <w:r>
      <w:rPr/>
      <w:fldChar w:fldCharType="separate"/>
    </w:r>
    <w:r>
      <w:rPr/>
      <w:t>13</w:t>
    </w:r>
    <w:r>
      <w:rPr/>
      <w:fldChar w:fldCharType="end"/>
    </w:r>
    <w:r>
      <w:rPr>
        <w:rStyle w:val="PageNumber"/>
      </w:rPr>
      <w:t>页</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ind w:end="360" w:firstLine="2880"/>
      <w:rPr/>
    </w:pPr>
    <w:r>
      <w:rPr>
        <w:rStyle w:val="PageNumber"/>
        <w:rFonts w:eastAsia="Times New Roman"/>
      </w:rPr>
      <w:t xml:space="preserve"> </w:t>
    </w:r>
    <w:r>
      <w:rPr>
        <w:rStyle w:val="PageNumber"/>
      </w:rPr>
      <w:t>第</w:t>
    </w:r>
    <w:r>
      <w:rPr/>
      <w:fldChar w:fldCharType="begin"/>
    </w:r>
    <w:r>
      <w:rPr/>
      <w:instrText> PAGE </w:instrText>
    </w:r>
    <w:r>
      <w:rPr/>
      <w:fldChar w:fldCharType="separate"/>
    </w:r>
    <w:r>
      <w:rPr/>
      <w:t>19</w:t>
    </w:r>
    <w:r>
      <w:rPr/>
      <w:fldChar w:fldCharType="end"/>
    </w:r>
    <w:r>
      <w:rPr>
        <w:rStyle w:val="PageNumber"/>
      </w:rPr>
      <w:t>页</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ind w:end="360" w:firstLine="2880"/>
      <w:rPr/>
    </w:pPr>
    <w:r>
      <w:rPr>
        <w:rStyle w:val="PageNumber"/>
        <w:rFonts w:eastAsia="Times New Roman"/>
      </w:rPr>
      <w:t xml:space="preserve"> </w:t>
    </w:r>
    <w:r>
      <w:rPr>
        <w:rStyle w:val="PageNumber"/>
      </w:rPr>
      <w:t>第</w:t>
    </w:r>
    <w:r>
      <w:rPr/>
      <w:fldChar w:fldCharType="begin"/>
    </w:r>
    <w:r>
      <w:rPr/>
      <w:instrText> PAGE </w:instrText>
    </w:r>
    <w:r>
      <w:rPr/>
      <w:fldChar w:fldCharType="separate"/>
    </w:r>
    <w:r>
      <w:rPr/>
      <w:t>85</w:t>
    </w:r>
    <w:r>
      <w:rPr/>
      <w:fldChar w:fldCharType="end"/>
    </w:r>
    <w:r>
      <w:rPr>
        <w:rStyle w:val="PageNumber"/>
      </w:rPr>
      <w:t>页</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r>
      <mc:AlternateContent>
        <mc:Choice Requires="wps">
          <w:drawing>
            <wp:anchor behindDoc="0" distT="0" distB="0" distL="114935" distR="114935" simplePos="0" locked="0" layoutInCell="0" allowOverlap="1" relativeHeight="3">
              <wp:simplePos x="0" y="0"/>
              <wp:positionH relativeFrom="column">
                <wp:posOffset>0</wp:posOffset>
              </wp:positionH>
              <wp:positionV relativeFrom="paragraph">
                <wp:posOffset>965200</wp:posOffset>
              </wp:positionV>
              <wp:extent cx="5372100" cy="1453515"/>
              <wp:effectExtent l="0" t="0" r="0" b="0"/>
              <wp:wrapSquare wrapText="bothSides"/>
              <wp:docPr id="2" name="Frame2"/>
              <a:graphic xmlns:a="http://schemas.openxmlformats.org/drawingml/2006/main">
                <a:graphicData uri="http://schemas.microsoft.com/office/word/2010/wordprocessingShape">
                  <wps:wsp>
                    <wps:cNvSpPr txBox="1"/>
                    <wps:spPr>
                      <a:xfrm>
                        <a:off x="0" y="0"/>
                        <a:ext cx="5372100" cy="1453515"/>
                      </a:xfrm>
                      <a:prstGeom prst="rect"/>
                      <a:solidFill>
                        <a:srgbClr val="FFFFFF"/>
                      </a:solidFill>
                    </wps:spPr>
                    <wps:txbx>
                      <w:txbxContent>
                        <w:p>
                          <w:pPr>
                            <w:pStyle w:val="TextBody"/>
                            <w:rPr/>
                          </w:pPr>
                          <w:r>
                            <w:rPr/>
                          </w:r>
                        </w:p>
                        <w:p>
                          <w:pPr>
                            <w:pStyle w:val="Normal"/>
                            <w:jc w:val="both"/>
                            <w:rPr>
                              <w:b/>
                              <w:b/>
                              <w:bCs/>
                              <w:sz w:val="36"/>
                            </w:rPr>
                          </w:pPr>
                          <w:r>
                            <w:rPr>
                              <w:b/>
                              <w:bCs/>
                              <w:sz w:val="36"/>
                            </w:rPr>
                          </w:r>
                        </w:p>
                      </w:txbxContent>
                    </wps:txbx>
                    <wps:bodyPr anchor="t" lIns="92075" tIns="46355" rIns="92075" bIns="46355">
                      <a:noAutofit/>
                    </wps:bodyPr>
                  </wps:wsp>
                </a:graphicData>
              </a:graphic>
            </wp:anchor>
          </w:drawing>
        </mc:Choice>
        <mc:Fallback>
          <w:pict>
            <v:rect fillcolor="#FFFFFF" style="position:absolute;rotation:0;width:423pt;height:114.45pt;mso-wrap-distance-left:9.05pt;mso-wrap-distance-right:9.05pt;mso-wrap-distance-top:0pt;mso-wrap-distance-bottom:0pt;margin-top:76pt;mso-position-vertical-relative:text;margin-left:0pt;mso-position-horizontal-relative:text">
              <v:textbox inset="0.100694444444444in,0.0506944444444444in,0.100694444444444in,0.0506944444444444in">
                <w:txbxContent>
                  <w:p>
                    <w:pPr>
                      <w:pStyle w:val="TextBody"/>
                      <w:rPr/>
                    </w:pPr>
                    <w:r>
                      <w:rPr/>
                    </w:r>
                  </w:p>
                  <w:p>
                    <w:pPr>
                      <w:pStyle w:val="Normal"/>
                      <w:jc w:val="both"/>
                      <w:rPr>
                        <w:b/>
                        <w:b/>
                        <w:bCs/>
                        <w:sz w:val="36"/>
                      </w:rPr>
                    </w:pPr>
                    <w:r>
                      <w:rPr>
                        <w:b/>
                        <w:bCs/>
                        <w:sz w:val="36"/>
                      </w:rPr>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chineseCountingThousand"/>
      <w:lvlText w:val="第%1章"/>
      <w:lvlJc w:val="start"/>
      <w:pPr>
        <w:tabs>
          <w:tab w:val="num" w:pos="0"/>
        </w:tabs>
        <w:ind w:start="1050" w:hanging="1050"/>
      </w:pPr>
      <w:rPr/>
    </w:lvl>
    <w:lvl w:ilvl="1">
      <w:start w:val="1"/>
      <w:numFmt w:val="chineseCountingThousand"/>
      <w:lvlText w:val="第%2条 "/>
      <w:lvlJc w:val="start"/>
      <w:pPr>
        <w:tabs>
          <w:tab w:val="num" w:pos="0"/>
        </w:tabs>
        <w:ind w:start="0" w:firstLine="510"/>
      </w:pPr>
      <w:rPr>
        <w:sz w:val="24"/>
        <w:i w:val="false"/>
        <w:b/>
        <w:rFonts w:eastAsia="宋体"/>
        <w:lang w:val="en-US"/>
      </w:rPr>
    </w:lvl>
    <w:lvl w:ilvl="2">
      <w:start w:val="1"/>
      <w:numFmt w:val="decimal"/>
      <w:lvlText w:val="%3."/>
      <w:lvlJc w:val="start"/>
      <w:pPr>
        <w:tabs>
          <w:tab w:val="num" w:pos="0"/>
        </w:tabs>
        <w:ind w:start="0" w:firstLine="510"/>
      </w:pPr>
      <w:rPr>
        <w:sz w:val="24"/>
      </w:rPr>
    </w:lvl>
    <w:lvl w:ilvl="3">
      <w:start w:val="1"/>
      <w:numFmt w:val="decimal"/>
      <w:lvlText w:val="%4."/>
      <w:lvlJc w:val="start"/>
      <w:pPr>
        <w:tabs>
          <w:tab w:val="num" w:pos="0"/>
        </w:tabs>
        <w:ind w:start="1680" w:hanging="420"/>
      </w:pPr>
      <w:rPr/>
    </w:lvl>
    <w:lvl w:ilvl="4">
      <w:start w:val="5"/>
      <w:numFmt w:val="decimal"/>
      <w:lvlText w:val="%5．"/>
      <w:lvlJc w:val="start"/>
      <w:pPr>
        <w:tabs>
          <w:tab w:val="num" w:pos="0"/>
        </w:tabs>
        <w:ind w:start="2040" w:hanging="360"/>
      </w:pPr>
      <w:rPr/>
    </w:lvl>
    <w:lvl w:ilvl="5">
      <w:start w:val="1"/>
      <w:numFmt w:val="lowerRoman"/>
      <w:lvlText w:val="%6."/>
      <w:lvlJc w:val="end"/>
      <w:pPr>
        <w:tabs>
          <w:tab w:val="num" w:pos="0"/>
        </w:tabs>
        <w:ind w:start="2520" w:hanging="420"/>
      </w:pPr>
      <w:rPr/>
    </w:lvl>
    <w:lvl w:ilvl="6">
      <w:start w:val="1"/>
      <w:numFmt w:val="chineseCountingThousand"/>
      <w:lvlText w:val="（%7）"/>
      <w:lvlJc w:val="start"/>
      <w:pPr>
        <w:tabs>
          <w:tab w:val="num" w:pos="420"/>
        </w:tabs>
        <w:ind w:start="3240" w:hanging="7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840" w:hanging="36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9">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chineseCountingThousand"/>
      <w:suff w:val="nothing"/>
      <w:lvlText w:val="第%1章 "/>
      <w:lvlJc w:val="center"/>
      <w:pPr>
        <w:tabs>
          <w:tab w:val="num" w:pos="0"/>
        </w:tabs>
        <w:ind w:start="360" w:hanging="0"/>
      </w:pPr>
      <w:rPr>
        <w:sz w:val="30"/>
        <w:i w:val="false"/>
        <w:b/>
        <w:rFonts w:eastAsia="黑体"/>
      </w:rPr>
    </w:lvl>
    <w:lvl w:ilvl="1">
      <w:start w:val="1"/>
      <w:numFmt w:val="chineseCountingThousand"/>
      <w:lvlText w:val="第%2条 "/>
      <w:lvlJc w:val="start"/>
      <w:pPr>
        <w:tabs>
          <w:tab w:val="num" w:pos="0"/>
        </w:tabs>
        <w:ind w:start="1282" w:firstLine="420"/>
      </w:pPr>
      <w:rPr>
        <w:sz w:val="24"/>
        <w:i w:val="false"/>
        <w:b/>
        <w:rFonts w:eastAsia="宋体"/>
        <w:lang w:val="en-US"/>
      </w:rPr>
    </w:lvl>
    <w:lvl w:ilvl="2">
      <w:start w:val="1"/>
      <w:numFmt w:val="chineseCountingThousand"/>
      <w:lvlText w:val="（%3）"/>
      <w:lvlJc w:val="start"/>
      <w:pPr>
        <w:tabs>
          <w:tab w:val="num" w:pos="0"/>
        </w:tabs>
        <w:ind w:start="4260" w:firstLine="420"/>
      </w:pPr>
      <w:rPr/>
    </w:lvl>
    <w:lvl w:ilvl="3">
      <w:start w:val="1"/>
      <w:numFmt w:val="decimal"/>
      <w:suff w:val="space"/>
      <w:lvlText w:val="%4. "/>
      <w:lvlJc w:val="start"/>
      <w:pPr>
        <w:tabs>
          <w:tab w:val="num" w:pos="0"/>
        </w:tabs>
        <w:ind w:start="360" w:firstLine="420"/>
      </w:pPr>
      <w:rPr/>
    </w:lvl>
    <w:lvl w:ilvl="4">
      <w:start w:val="1"/>
      <w:numFmt w:val="decimal"/>
      <w:lvlText w:val="（%5）"/>
      <w:lvlJc w:val="start"/>
      <w:pPr>
        <w:tabs>
          <w:tab w:val="num" w:pos="0"/>
        </w:tabs>
        <w:ind w:start="360" w:firstLine="420"/>
      </w:pPr>
      <w:rPr/>
    </w:lvl>
    <w:lvl w:ilvl="5">
      <w:start w:val="1"/>
      <w:numFmt w:val="lowerLetter"/>
      <w:suff w:val="space"/>
      <w:lvlText w:val="%6. "/>
      <w:lvlJc w:val="start"/>
      <w:pPr>
        <w:tabs>
          <w:tab w:val="num" w:pos="0"/>
        </w:tabs>
        <w:ind w:start="360" w:firstLine="420"/>
      </w:pPr>
      <w:rPr/>
    </w:lvl>
    <w:lvl w:ilvl="6">
      <w:start w:val="1"/>
      <w:numFmt w:val="lowerLetter"/>
      <w:lvlText w:val="（%7）"/>
      <w:lvlJc w:val="start"/>
      <w:pPr>
        <w:tabs>
          <w:tab w:val="num" w:pos="0"/>
        </w:tabs>
        <w:ind w:start="360" w:firstLine="420"/>
      </w:pPr>
      <w:rPr/>
    </w:lvl>
    <w:lvl w:ilvl="7">
      <w:start w:val="1"/>
      <w:numFmt w:val="lowerRoman"/>
      <w:suff w:val="space"/>
      <w:lvlText w:val="%8. "/>
      <w:lvlJc w:val="start"/>
      <w:pPr>
        <w:tabs>
          <w:tab w:val="num" w:pos="0"/>
        </w:tabs>
        <w:ind w:start="360" w:firstLine="420"/>
      </w:pPr>
      <w:rPr/>
    </w:lvl>
    <w:lvl w:ilvl="8">
      <w:start w:val="1"/>
      <w:numFmt w:val="lowerRoman"/>
      <w:lvlText w:val="（%9）"/>
      <w:lvlJc w:val="start"/>
      <w:pPr>
        <w:tabs>
          <w:tab w:val="num" w:pos="0"/>
        </w:tabs>
        <w:ind w:start="360" w:firstLine="420"/>
      </w:pPr>
      <w:rPr/>
    </w:lvl>
  </w:abstractNum>
  <w:abstractNum w:abstractNumId="16">
    <w:lvl w:ilvl="0">
      <w:start w:val="1"/>
      <w:numFmt w:val="chineseCountingThousand"/>
      <w:lvlText w:val="（%1）"/>
      <w:lvlJc w:val="start"/>
      <w:pPr>
        <w:tabs>
          <w:tab w:val="num" w:pos="0"/>
        </w:tabs>
        <w:ind w:start="1230" w:hanging="720"/>
      </w:pPr>
      <w:rPr/>
    </w:lvl>
    <w:lvl w:ilvl="1">
      <w:start w:val="1"/>
      <w:numFmt w:val="lowerLetter"/>
      <w:lvlText w:val="%2)"/>
      <w:lvlJc w:val="start"/>
      <w:pPr>
        <w:tabs>
          <w:tab w:val="num" w:pos="0"/>
        </w:tabs>
        <w:ind w:start="1350" w:hanging="420"/>
      </w:pPr>
      <w:rPr/>
    </w:lvl>
    <w:lvl w:ilvl="2">
      <w:start w:val="1"/>
      <w:numFmt w:val="lowerRoman"/>
      <w:lvlText w:val="%3."/>
      <w:lvlJc w:val="end"/>
      <w:pPr>
        <w:tabs>
          <w:tab w:val="num" w:pos="0"/>
        </w:tabs>
        <w:ind w:start="1770" w:hanging="420"/>
      </w:pPr>
      <w:rPr/>
    </w:lvl>
    <w:lvl w:ilvl="3">
      <w:start w:val="1"/>
      <w:numFmt w:val="decimal"/>
      <w:lvlText w:val="%4."/>
      <w:lvlJc w:val="start"/>
      <w:pPr>
        <w:tabs>
          <w:tab w:val="num" w:pos="0"/>
        </w:tabs>
        <w:ind w:start="2190" w:hanging="420"/>
      </w:pPr>
      <w:rPr/>
    </w:lvl>
    <w:lvl w:ilvl="4">
      <w:start w:val="1"/>
      <w:numFmt w:val="lowerLetter"/>
      <w:lvlText w:val="%5)"/>
      <w:lvlJc w:val="start"/>
      <w:pPr>
        <w:tabs>
          <w:tab w:val="num" w:pos="0"/>
        </w:tabs>
        <w:ind w:start="2610" w:hanging="420"/>
      </w:pPr>
      <w:rPr/>
    </w:lvl>
    <w:lvl w:ilvl="5">
      <w:start w:val="1"/>
      <w:numFmt w:val="lowerRoman"/>
      <w:lvlText w:val="%6."/>
      <w:lvlJc w:val="end"/>
      <w:pPr>
        <w:tabs>
          <w:tab w:val="num" w:pos="0"/>
        </w:tabs>
        <w:ind w:start="3030" w:hanging="420"/>
      </w:pPr>
      <w:rPr/>
    </w:lvl>
    <w:lvl w:ilvl="6">
      <w:start w:val="1"/>
      <w:numFmt w:val="decimal"/>
      <w:lvlText w:val="%7."/>
      <w:lvlJc w:val="start"/>
      <w:pPr>
        <w:tabs>
          <w:tab w:val="num" w:pos="0"/>
        </w:tabs>
        <w:ind w:start="3450" w:hanging="420"/>
      </w:pPr>
      <w:rPr/>
    </w:lvl>
    <w:lvl w:ilvl="7">
      <w:start w:val="1"/>
      <w:numFmt w:val="lowerLetter"/>
      <w:lvlText w:val="%8)"/>
      <w:lvlJc w:val="start"/>
      <w:pPr>
        <w:tabs>
          <w:tab w:val="num" w:pos="0"/>
        </w:tabs>
        <w:ind w:start="3870" w:hanging="420"/>
      </w:pPr>
      <w:rPr/>
    </w:lvl>
    <w:lvl w:ilvl="8">
      <w:start w:val="1"/>
      <w:numFmt w:val="lowerRoman"/>
      <w:lvlText w:val="%9."/>
      <w:lvlJc w:val="end"/>
      <w:pPr>
        <w:tabs>
          <w:tab w:val="num" w:pos="0"/>
        </w:tabs>
        <w:ind w:start="4290" w:hanging="420"/>
      </w:pPr>
      <w:rPr/>
    </w:lvl>
  </w:abstractNum>
  <w:abstractNum w:abstractNumId="17">
    <w:lvl w:ilvl="0">
      <w:start w:val="1"/>
      <w:numFmt w:val="chineseCountingThousand"/>
      <w:lvlText w:val="（%1）"/>
      <w:lvlJc w:val="start"/>
      <w:pPr>
        <w:tabs>
          <w:tab w:val="num" w:pos="420"/>
        </w:tabs>
        <w:ind w:start="0" w:firstLine="510"/>
      </w:pPr>
      <w:rPr>
        <w:sz w:val="24"/>
      </w:rPr>
    </w:lvl>
  </w:abstractNum>
  <w:abstractNum w:abstractNumId="18">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upperLetter"/>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chineseCountingThousand"/>
      <w:lvlText w:val="（%1）"/>
      <w:lvlJc w:val="start"/>
      <w:pPr>
        <w:tabs>
          <w:tab w:val="num" w:pos="0"/>
        </w:tabs>
        <w:ind w:start="1140" w:hanging="7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Heading"/>
    <w:next w:val="Normal"/>
    <w:qFormat/>
    <w:pPr>
      <w:keepNext w:val="true"/>
      <w:keepLines/>
      <w:numPr>
        <w:ilvl w:val="0"/>
        <w:numId w:val="1"/>
      </w:numPr>
      <w:spacing w:lineRule="auto" w:line="360" w:before="0" w:after="312"/>
      <w:outlineLvl w:val="0"/>
    </w:pPr>
    <w:rPr>
      <w:rFonts w:ascii="Times New Roman" w:hAnsi="Times New Roman" w:eastAsia="黑体" w:cs="Arial"/>
      <w:bCs/>
      <w:kern w:val="2"/>
      <w:sz w:val="28"/>
      <w:szCs w:val="44"/>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Cambria" w:hAnsi="Cambria" w:cs="Cambria"/>
      <w:b/>
      <w:bCs/>
      <w:kern w:val="2"/>
      <w:sz w:val="32"/>
      <w:szCs w:val="32"/>
    </w:rPr>
  </w:style>
  <w:style w:type="paragraph" w:styleId="Heading3">
    <w:name w:val="Heading 3"/>
    <w:basedOn w:val="Normal"/>
    <w:next w:val="Normal"/>
    <w:qFormat/>
    <w:pPr>
      <w:keepNext w:val="true"/>
      <w:keepLines/>
      <w:numPr>
        <w:ilvl w:val="2"/>
        <w:numId w:val="1"/>
      </w:numPr>
      <w:spacing w:lineRule="auto" w:line="412" w:before="260" w:after="260"/>
      <w:outlineLvl w:val="2"/>
    </w:pPr>
    <w:rPr>
      <w:rFonts w:ascii="Times New Roman" w:hAnsi="Times New Roman" w:cs="Times New Roman"/>
      <w:b/>
      <w:bCs/>
      <w:kern w:val="2"/>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rFonts w:eastAsia="宋体"/>
      <w:b/>
      <w:i w:val="false"/>
      <w:sz w:val="24"/>
      <w:lang w:val="en-US"/>
    </w:rPr>
  </w:style>
  <w:style w:type="character" w:styleId="WW8Num4z2">
    <w:name w:val="WW8Num4z2"/>
    <w:qFormat/>
    <w:rPr>
      <w:sz w:val="24"/>
    </w:rPr>
  </w:style>
  <w:style w:type="character" w:styleId="WW8Num4z3">
    <w:name w:val="WW8Num4z3"/>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eastAsia="黑体"/>
      <w:b/>
      <w:i w:val="false"/>
      <w:sz w:val="30"/>
    </w:rPr>
  </w:style>
  <w:style w:type="character" w:styleId="WW8Num14z1">
    <w:name w:val="WW8Num14z1"/>
    <w:qFormat/>
    <w:rPr>
      <w:rFonts w:eastAsia="宋体"/>
      <w:b/>
      <w:i w:val="false"/>
      <w:sz w:val="24"/>
      <w:lang w:val="en-US"/>
    </w:rPr>
  </w:style>
  <w:style w:type="character" w:styleId="WW8Num14z2">
    <w:name w:val="WW8Num14z2"/>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z w:val="24"/>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Style11">
    <w:name w:val="默认段落字体"/>
    <w:qFormat/>
    <w:rPr/>
  </w:style>
  <w:style w:type="character" w:styleId="PageNumber">
    <w:name w:val="Page Number"/>
    <w:basedOn w:val="Style11"/>
    <w:rPr/>
  </w:style>
  <w:style w:type="character" w:styleId="InternetLink">
    <w:name w:val="Hyperlink"/>
    <w:basedOn w:val="Style11"/>
    <w:rPr>
      <w:color w:val="0000FF"/>
      <w:u w:val="single"/>
    </w:rPr>
  </w:style>
  <w:style w:type="character" w:styleId="CharChar">
    <w:name w:val="标题 Char Char"/>
    <w:basedOn w:val="Style11"/>
    <w:qFormat/>
    <w:rPr>
      <w:rFonts w:ascii="Cambria" w:hAnsi="Cambria" w:cs="Times New Roman"/>
      <w:b/>
      <w:bCs/>
      <w:kern w:val="2"/>
      <w:sz w:val="32"/>
      <w:szCs w:val="32"/>
    </w:rPr>
  </w:style>
  <w:style w:type="character" w:styleId="1Char">
    <w:name w:val="标题 1 Char"/>
    <w:basedOn w:val="Style11"/>
    <w:qFormat/>
    <w:rPr>
      <w:rFonts w:ascii="Times New Roman" w:hAnsi="Times New Roman" w:eastAsia="黑体" w:cs="Arial"/>
      <w:bCs/>
      <w:kern w:val="2"/>
      <w:sz w:val="28"/>
      <w:szCs w:val="44"/>
    </w:rPr>
  </w:style>
  <w:style w:type="character" w:styleId="2CharChar">
    <w:name w:val="正文文本缩进 2 Char Char"/>
    <w:basedOn w:val="Style11"/>
    <w:qFormat/>
    <w:rPr>
      <w:rFonts w:ascii="Times New Roman" w:hAnsi="Times New Roman" w:cs="Times New Roman"/>
      <w:kern w:val="2"/>
      <w:sz w:val="21"/>
      <w:szCs w:val="24"/>
    </w:rPr>
  </w:style>
  <w:style w:type="character" w:styleId="CharChar1">
    <w:name w:val="正文文本缩进 Char Char"/>
    <w:basedOn w:val="Style11"/>
    <w:qFormat/>
    <w:rPr>
      <w:rFonts w:ascii="Times New Roman" w:hAnsi="Times New Roman" w:cs="Times New Roman"/>
      <w:kern w:val="2"/>
      <w:sz w:val="24"/>
      <w:szCs w:val="24"/>
    </w:rPr>
  </w:style>
  <w:style w:type="character" w:styleId="3Char">
    <w:name w:val="标题 3 Char"/>
    <w:basedOn w:val="Style11"/>
    <w:qFormat/>
    <w:rPr>
      <w:rFonts w:ascii="Times New Roman" w:hAnsi="Times New Roman" w:cs="Times New Roman"/>
      <w:b/>
      <w:bCs/>
      <w:kern w:val="2"/>
      <w:sz w:val="32"/>
      <w:szCs w:val="32"/>
    </w:rPr>
  </w:style>
  <w:style w:type="character" w:styleId="CharChar2">
    <w:name w:val="正文文本 Char Char"/>
    <w:basedOn w:val="Style11"/>
    <w:qFormat/>
    <w:rPr>
      <w:rFonts w:ascii="黑体" w:hAnsi="黑体" w:eastAsia="黑体" w:cs="宋体"/>
      <w:bCs/>
      <w:color w:val="000000"/>
      <w:kern w:val="2"/>
      <w:sz w:val="36"/>
    </w:rPr>
  </w:style>
  <w:style w:type="character" w:styleId="CharChar3">
    <w:name w:val="正文首行缩进 Char Char"/>
    <w:basedOn w:val="CharChar2"/>
    <w:qFormat/>
    <w:rPr>
      <w:rFonts w:ascii="Times New Roman" w:hAnsi="Times New Roman" w:cs="Times New Roman"/>
      <w:kern w:val="2"/>
      <w:sz w:val="21"/>
      <w:szCs w:val="24"/>
    </w:rPr>
  </w:style>
  <w:style w:type="character" w:styleId="CharChar4">
    <w:name w:val="日期 Char Char"/>
    <w:basedOn w:val="Style11"/>
    <w:qFormat/>
    <w:rPr>
      <w:rFonts w:ascii="宋体" w:hAnsi="宋体" w:cs="宋体"/>
      <w:bCs/>
      <w:kern w:val="2"/>
      <w:sz w:val="21"/>
    </w:rPr>
  </w:style>
  <w:style w:type="character" w:styleId="CharChar5">
    <w:name w:val="页眉 Char Char"/>
    <w:basedOn w:val="Style11"/>
    <w:qFormat/>
    <w:rPr>
      <w:rFonts w:ascii="Times New Roman" w:hAnsi="Times New Roman" w:cs="Times New Roman"/>
      <w:kern w:val="2"/>
      <w:sz w:val="18"/>
      <w:szCs w:val="18"/>
    </w:rPr>
  </w:style>
  <w:style w:type="character" w:styleId="2Char">
    <w:name w:val="标题 2 Char"/>
    <w:basedOn w:val="Style11"/>
    <w:qFormat/>
    <w:rPr>
      <w:rFonts w:ascii="Cambria" w:hAnsi="Cambria" w:cs="Cambria"/>
      <w:b/>
      <w:bCs/>
      <w:kern w:val="2"/>
      <w:sz w:val="32"/>
      <w:szCs w:val="32"/>
    </w:rPr>
  </w:style>
  <w:style w:type="character" w:styleId="CharChar6">
    <w:name w:val="页脚 Char Char"/>
    <w:basedOn w:val="Style11"/>
    <w:qFormat/>
    <w:rPr>
      <w:rFonts w:ascii="Times New Roman" w:hAnsi="Times New Roman" w:cs="Times New Roman"/>
      <w:kern w:val="2"/>
      <w:sz w:val="18"/>
      <w:szCs w:val="24"/>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Cambria" w:hAnsi="Cambria" w:cs="Times New Roman"/>
      <w:b/>
      <w:bCs/>
      <w:kern w:val="2"/>
      <w:sz w:val="32"/>
      <w:szCs w:val="32"/>
    </w:rPr>
  </w:style>
  <w:style w:type="paragraph" w:styleId="TextBody">
    <w:name w:val="Body Text"/>
    <w:basedOn w:val="Normal"/>
    <w:pPr>
      <w:spacing w:before="0" w:after="120"/>
      <w:jc w:val="center"/>
    </w:pPr>
    <w:rPr>
      <w:rFonts w:ascii="黑体" w:hAnsi="黑体" w:eastAsia="黑体" w:cs="宋体"/>
      <w:bCs/>
      <w:color w:val="000000"/>
      <w:kern w:val="2"/>
      <w:sz w:val="36"/>
    </w:rPr>
  </w:style>
  <w:style w:type="paragraph" w:styleId="List">
    <w:name w:val="List"/>
    <w:basedOn w:val="Normal"/>
    <w:pPr>
      <w:numPr>
        <w:ilvl w:val="0"/>
        <w:numId w:val="15"/>
      </w:numPr>
      <w:tabs>
        <w:tab w:val="clear" w:pos="420"/>
        <w:tab w:val="left" w:pos="2422" w:leader="none"/>
      </w:tabs>
      <w:spacing w:lineRule="auto" w:line="360"/>
      <w:ind w:start="0" w:hanging="0"/>
    </w:pPr>
    <w:rPr>
      <w:rFonts w:ascii="宋体" w:hAnsi="宋体" w:cs="宋体"/>
      <w:sz w:val="24"/>
      <w:szCs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5">
    <w:name w:val="列表 5"/>
    <w:basedOn w:val="Normal"/>
    <w:qFormat/>
    <w:pPr>
      <w:widowControl/>
      <w:numPr>
        <w:ilvl w:val="0"/>
        <w:numId w:val="15"/>
      </w:numPr>
      <w:tabs>
        <w:tab w:val="clear" w:pos="420"/>
        <w:tab w:val="left" w:pos="1141" w:leader="none"/>
      </w:tabs>
      <w:spacing w:lineRule="exact" w:line="500"/>
    </w:pPr>
    <w:rPr>
      <w:color w:val="000000"/>
      <w:sz w:val="24"/>
      <w:szCs w:val="24"/>
    </w:rPr>
  </w:style>
  <w:style w:type="paragraph" w:styleId="Style12">
    <w:name w:val="正文首行缩进"/>
    <w:basedOn w:val="TextBody"/>
    <w:qFormat/>
    <w:pPr>
      <w:ind w:firstLine="420"/>
      <w:jc w:val="both"/>
    </w:pPr>
    <w:rPr>
      <w:rFonts w:ascii="Times New Roman" w:hAnsi="Times New Roman" w:cs="Times New Roman"/>
      <w:kern w:val="2"/>
      <w:sz w:val="21"/>
      <w:szCs w:val="24"/>
    </w:rPr>
  </w:style>
  <w:style w:type="paragraph" w:styleId="TextBodyIndent">
    <w:name w:val="Body Text Indent"/>
    <w:basedOn w:val="Normal"/>
    <w:pPr>
      <w:spacing w:lineRule="auto" w:line="360"/>
      <w:ind w:firstLine="475"/>
    </w:pPr>
    <w:rPr>
      <w:rFonts w:ascii="Times New Roman" w:hAnsi="Times New Roman" w:cs="Times New Roman"/>
      <w:kern w:val="2"/>
      <w:sz w:val="24"/>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4" w:space="1" w:color="000000"/>
      </w:pBdr>
      <w:tabs>
        <w:tab w:val="clear" w:pos="420"/>
        <w:tab w:val="center" w:pos="4153" w:leader="none"/>
        <w:tab w:val="right" w:pos="8306" w:leader="none"/>
      </w:tabs>
      <w:snapToGrid w:val="false"/>
      <w:jc w:val="center"/>
    </w:pPr>
    <w:rPr>
      <w:rFonts w:ascii="Times New Roman" w:hAnsi="Times New Roman" w:cs="Times New Roman"/>
      <w:kern w:val="2"/>
      <w:sz w:val="18"/>
      <w:szCs w:val="18"/>
    </w:rPr>
  </w:style>
  <w:style w:type="paragraph" w:styleId="2">
    <w:name w:val="列表 2"/>
    <w:basedOn w:val="Normal"/>
    <w:qFormat/>
    <w:pPr>
      <w:widowControl/>
      <w:numPr>
        <w:ilvl w:val="0"/>
        <w:numId w:val="15"/>
      </w:numPr>
      <w:tabs>
        <w:tab w:val="clear" w:pos="420"/>
        <w:tab w:val="left" w:pos="1141" w:leader="none"/>
      </w:tabs>
      <w:spacing w:lineRule="exact" w:line="500"/>
    </w:pPr>
    <w:rPr>
      <w:sz w:val="24"/>
      <w:szCs w:val="24"/>
    </w:rPr>
  </w:style>
  <w:style w:type="paragraph" w:styleId="Style13">
    <w:name w:val="列表接续"/>
    <w:basedOn w:val="Normal"/>
    <w:qFormat/>
    <w:pPr>
      <w:widowControl/>
      <w:numPr>
        <w:ilvl w:val="0"/>
        <w:numId w:val="15"/>
      </w:numPr>
      <w:tabs>
        <w:tab w:val="clear" w:pos="420"/>
        <w:tab w:val="left" w:pos="1141" w:leader="none"/>
      </w:tabs>
      <w:spacing w:lineRule="exact" w:line="500"/>
    </w:pPr>
    <w:rPr>
      <w:bCs/>
      <w:color w:val="000000"/>
      <w:sz w:val="24"/>
      <w:szCs w:val="24"/>
    </w:rPr>
  </w:style>
  <w:style w:type="paragraph" w:styleId="Style14">
    <w:name w:val="日期"/>
    <w:basedOn w:val="Normal"/>
    <w:next w:val="Normal"/>
    <w:qFormat/>
    <w:pPr/>
    <w:rPr>
      <w:rFonts w:ascii="宋体" w:hAnsi="宋体" w:cs="宋体"/>
      <w:bCs/>
      <w:kern w:val="2"/>
      <w:sz w:val="21"/>
    </w:rPr>
  </w:style>
  <w:style w:type="paragraph" w:styleId="Contents2">
    <w:name w:val="TOC 2"/>
    <w:basedOn w:val="Normal"/>
    <w:next w:val="Normal"/>
    <w:pPr>
      <w:ind w:start="420" w:hanging="0"/>
    </w:pPr>
    <w:rPr>
      <w:szCs w:val="24"/>
    </w:rPr>
  </w:style>
  <w:style w:type="paragraph" w:styleId="4">
    <w:name w:val="列表 4"/>
    <w:basedOn w:val="Normal"/>
    <w:qFormat/>
    <w:pPr>
      <w:widowControl/>
      <w:numPr>
        <w:ilvl w:val="0"/>
        <w:numId w:val="15"/>
      </w:numPr>
      <w:tabs>
        <w:tab w:val="clear" w:pos="420"/>
        <w:tab w:val="left" w:pos="1141" w:leader="none"/>
      </w:tabs>
      <w:spacing w:lineRule="exact" w:line="500"/>
    </w:pPr>
    <w:rPr>
      <w:color w:val="000000"/>
      <w:sz w:val="24"/>
      <w:szCs w:val="24"/>
    </w:rPr>
  </w:style>
  <w:style w:type="paragraph" w:styleId="21">
    <w:name w:val="正文文本缩进 2"/>
    <w:basedOn w:val="Normal"/>
    <w:qFormat/>
    <w:pPr>
      <w:spacing w:lineRule="auto" w:line="480" w:before="0" w:after="120"/>
      <w:ind w:start="420" w:hanging="0"/>
    </w:pPr>
    <w:rPr>
      <w:rFonts w:ascii="Times New Roman" w:hAnsi="Times New Roman" w:cs="Times New Roman"/>
      <w:kern w:val="2"/>
      <w:sz w:val="21"/>
      <w:szCs w:val="24"/>
    </w:rPr>
  </w:style>
  <w:style w:type="paragraph" w:styleId="Contents1">
    <w:name w:val="TOC 1"/>
    <w:basedOn w:val="Normal"/>
    <w:next w:val="Normal"/>
    <w:pPr>
      <w:tabs>
        <w:tab w:val="clear" w:pos="420"/>
        <w:tab w:val="right" w:pos="8296" w:leader="dot"/>
      </w:tabs>
      <w:jc w:val="center"/>
    </w:pPr>
    <w:rPr>
      <w:b/>
      <w:sz w:val="28"/>
      <w:szCs w:val="28"/>
      <w:lang w:val="en-US" w:eastAsia="en-US"/>
    </w:rPr>
  </w:style>
  <w:style w:type="paragraph" w:styleId="Contents3">
    <w:name w:val="TOC 3"/>
    <w:basedOn w:val="Normal"/>
    <w:next w:val="Normal"/>
    <w:pPr>
      <w:ind w:start="840" w:hanging="0"/>
    </w:pPr>
    <w:rPr>
      <w:szCs w:val="24"/>
    </w:rPr>
  </w:style>
  <w:style w:type="paragraph" w:styleId="3">
    <w:name w:val="列表接续 3"/>
    <w:basedOn w:val="Normal"/>
    <w:qFormat/>
    <w:pPr>
      <w:widowControl/>
      <w:numPr>
        <w:ilvl w:val="0"/>
        <w:numId w:val="15"/>
      </w:numPr>
      <w:tabs>
        <w:tab w:val="clear" w:pos="420"/>
        <w:tab w:val="left" w:pos="1140" w:leader="none"/>
      </w:tabs>
      <w:spacing w:lineRule="exact" w:line="500"/>
    </w:pPr>
    <w:rPr>
      <w:bCs/>
      <w:color w:val="000000"/>
      <w:sz w:val="24"/>
      <w:szCs w:val="24"/>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kern w:val="2"/>
      <w:sz w:val="18"/>
      <w:szCs w:val="24"/>
    </w:rPr>
  </w:style>
  <w:style w:type="paragraph" w:styleId="31">
    <w:name w:val="列表 3"/>
    <w:basedOn w:val="Normal"/>
    <w:qFormat/>
    <w:pPr>
      <w:widowControl/>
      <w:numPr>
        <w:ilvl w:val="0"/>
        <w:numId w:val="15"/>
      </w:numPr>
      <w:tabs>
        <w:tab w:val="clear" w:pos="420"/>
        <w:tab w:val="left" w:pos="1141" w:leader="none"/>
      </w:tabs>
      <w:spacing w:lineRule="exact" w:line="500"/>
    </w:pPr>
    <w:rPr>
      <w:color w:val="000000"/>
      <w:sz w:val="24"/>
      <w:szCs w:val="24"/>
    </w:rPr>
  </w:style>
  <w:style w:type="paragraph" w:styleId="22">
    <w:name w:val="列表接续 2"/>
    <w:basedOn w:val="Normal"/>
    <w:qFormat/>
    <w:pPr>
      <w:widowControl/>
      <w:numPr>
        <w:ilvl w:val="0"/>
        <w:numId w:val="15"/>
      </w:numPr>
      <w:tabs>
        <w:tab w:val="clear" w:pos="420"/>
        <w:tab w:val="left" w:pos="1140" w:leader="none"/>
      </w:tabs>
      <w:spacing w:lineRule="exact" w:line="500"/>
    </w:pPr>
    <w:rPr>
      <w:bCs/>
      <w:color w:val="000000"/>
      <w:sz w:val="24"/>
      <w:szCs w:val="24"/>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2010-06-19T14:28:00Z</dcterms:created>
  <dc:creator>User</dc:creator>
  <dc:description/>
  <dc:language>en-US</dc:language>
  <cp:lastModifiedBy>微软用户</cp:lastModifiedBy>
  <dcterms:modified xsi:type="dcterms:W3CDTF">2013-04-08T08:30:09Z</dcterms:modified>
  <cp:revision>18</cp:revision>
  <dc:subject/>
  <dc:title>绩效管理系统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2052-8.1.0.3405</vt:lpwstr>
  </property>
</Properties>
</file>