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楷体;汉仪楷体KW"/>
          <w:b/>
          <w:b/>
          <w:color w:val="000000"/>
          <w:sz w:val="24"/>
          <w:szCs w:val="24"/>
        </w:rPr>
      </w:pPr>
      <w:r>
        <w:rPr>
          <w:rFonts w:eastAsia="楷体;汉仪楷体KW" w:cs="宋体;汉仪书宋二KW" w:ascii="楷体;汉仪楷体KW" w:hAnsi="楷体;汉仪楷体KW"/>
          <w:b/>
          <w:bCs/>
          <w:color w:val="000000"/>
          <w:kern w:val="0"/>
          <w:sz w:val="36"/>
          <w:szCs w:val="24"/>
        </w:rPr>
        <w:t>某</w:t>
      </w: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  <w:szCs w:val="24"/>
        </w:rPr>
        <w:t>公司基于</w:t>
      </w:r>
      <w:r>
        <w:rPr>
          <w:rFonts w:eastAsia="楷体;汉仪楷体KW" w:cs="宋体;汉仪书宋二KW" w:ascii="楷体;汉仪楷体KW" w:hAnsi="楷体;汉仪楷体KW"/>
          <w:b/>
          <w:bCs/>
          <w:color w:val="000000"/>
          <w:kern w:val="0"/>
          <w:sz w:val="36"/>
          <w:szCs w:val="24"/>
        </w:rPr>
        <w:t>BSC</w:t>
      </w: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  <w:szCs w:val="24"/>
        </w:rPr>
        <w:t>的部门绩效指标分解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楷体;汉仪楷体KW"/>
          <w:b w:val="false"/>
          <w:b w:val="false"/>
          <w:color w:val="000000"/>
          <w:sz w:val="24"/>
          <w:szCs w:val="24"/>
        </w:rPr>
      </w:pPr>
      <w:r>
        <w:rPr>
          <w:rFonts w:ascii="楷体;汉仪楷体KW" w:hAnsi="楷体;汉仪楷体KW" w:cs="楷体;汉仪楷体KW" w:eastAsia="楷体;汉仪楷体KW"/>
          <w:b w:val="false"/>
          <w:color w:val="000000"/>
          <w:sz w:val="24"/>
          <w:szCs w:val="24"/>
        </w:rPr>
        <w:t>一、</w:t>
      </w:r>
      <w:r>
        <w:rPr>
          <w:rFonts w:eastAsia="楷体;汉仪楷体KW" w:cs="楷体;汉仪楷体KW" w:ascii="楷体;汉仪楷体KW" w:hAnsi="楷体;汉仪楷体KW"/>
          <w:b w:val="false"/>
          <w:color w:val="000000"/>
          <w:sz w:val="24"/>
          <w:szCs w:val="24"/>
        </w:rPr>
        <w:t>BSC</w:t>
      </w:r>
      <w:r>
        <w:rPr>
          <w:rFonts w:ascii="楷体;汉仪楷体KW" w:hAnsi="楷体;汉仪楷体KW" w:cs="楷体;汉仪楷体KW" w:eastAsia="楷体;汉仪楷体KW"/>
          <w:b w:val="false"/>
          <w:color w:val="000000"/>
          <w:sz w:val="24"/>
          <w:szCs w:val="24"/>
        </w:rPr>
        <w:t>（平衡计分卡）原理和整体战略地图</w:t>
      </w:r>
    </w:p>
    <w:tbl>
      <w:tblPr>
        <w:tblW w:w="282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20"/>
      </w:tblGrid>
      <w:tr>
        <w:trPr>
          <w:trHeight w:val="330" w:hRule="atLeast"/>
        </w:trPr>
        <w:tc>
          <w:tcPr>
            <w:tcW w:w="2820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fill="3366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5">
                      <wp:simplePos x="0" y="0"/>
                      <wp:positionH relativeFrom="column">
                        <wp:posOffset>-1124585</wp:posOffset>
                      </wp:positionH>
                      <wp:positionV relativeFrom="paragraph">
                        <wp:posOffset>173990</wp:posOffset>
                      </wp:positionV>
                      <wp:extent cx="915035" cy="810260"/>
                      <wp:effectExtent l="0" t="0" r="0" b="0"/>
                      <wp:wrapNone/>
                      <wp:docPr id="1" name="自选图形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14400" cy="8096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442" h="1277">
                                    <a:moveTo>
                                      <a:pt x="0" y="948"/>
                                    </a:moveTo>
                                    <a:lnTo>
                                      <a:pt x="413" y="621"/>
                                    </a:lnTo>
                                    <a:lnTo>
                                      <a:pt x="413" y="805"/>
                                    </a:lnTo>
                                    <a:lnTo>
                                      <a:pt x="909" y="805"/>
                                    </a:lnTo>
                                    <a:lnTo>
                                      <a:pt x="909" y="366"/>
                                    </a:lnTo>
                                    <a:lnTo>
                                      <a:pt x="702" y="366"/>
                                    </a:lnTo>
                                    <a:lnTo>
                                      <a:pt x="1071" y="0"/>
                                    </a:lnTo>
                                    <a:lnTo>
                                      <a:pt x="1441" y="366"/>
                                    </a:lnTo>
                                    <a:lnTo>
                                      <a:pt x="1234" y="366"/>
                                    </a:lnTo>
                                    <a:lnTo>
                                      <a:pt x="1234" y="1092"/>
                                    </a:lnTo>
                                    <a:lnTo>
                                      <a:pt x="413" y="1092"/>
                                    </a:lnTo>
                                    <a:lnTo>
                                      <a:pt x="413" y="1276"/>
                                    </a:lnTo>
                                    <a:lnTo>
                                      <a:pt x="0" y="948"/>
                                    </a:lnTo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89" coordsize="21600,21600" o:spt="89" adj="5400,5400,5400" path="m0@9l@4@7l@4@13l@11@13l@11@4l@6@4l@8,l21600@4l@12@4l@12@14l@4@14l@4,21600xe">
                      <v:stroke joinstyle="miter"/>
                      <v:formulas>
                        <v:f eqn="val #1"/>
                        <v:f eqn="prod @0 2 1"/>
                        <v:f eqn="val #2"/>
                        <v:f eqn="sum 21600 0 @1"/>
                        <v:f eqn="val #0"/>
                        <v:f eqn="prod 2 @0 1"/>
                        <v:f eqn="sum width 0 @5"/>
                        <v:f eqn="sum height 0 @5"/>
                        <v:f eqn="sum width 0 @0"/>
                        <v:f eqn="sum height 0 @0"/>
                        <v:f eqn="prod 1 @2 2"/>
                        <v:f eqn="sum @8 0 @10"/>
                        <v:f eqn="sum @8 @10 0"/>
                        <v:f eqn="sum @9 0 @10"/>
                        <v:f eqn="sum @9 @10 0"/>
                        <v:f eqn="prod @10 @4 @0"/>
                        <v:f eqn="sum @4 @12 0"/>
                        <v:f eqn="prod 1 @16 2"/>
                        <v:f eqn="sum @4 @14 0"/>
                        <v:f eqn="prod 1 @18 2"/>
                      </v:formulas>
                      <v:path gradientshapeok="t" o:connecttype="rect" textboxrect="@15,@13,@8,@14"/>
                      <v:handles>
                        <v:h position="@11,@13"/>
                        <v:h position="@6,0"/>
                        <v:h position="@11,@4"/>
                      </v:handles>
                    </v:shapetype>
                    <v:shape id="shape_0" ID="自选图形 59" fillcolor="#3366ff" stroked="t" style="position:absolute;margin-left:-88.55pt;margin-top:13.7pt;width:71.95pt;height:63.7pt;mso-wrap-style:none;v-text-anchor:middle;rotation:180" type="shapetype_89">
                      <v:fill o:detectmouseclick="t" type="solid" color2="#cc990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8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108585</wp:posOffset>
                      </wp:positionV>
                      <wp:extent cx="895985" cy="829310"/>
                      <wp:effectExtent l="0" t="0" r="0" b="0"/>
                      <wp:wrapNone/>
                      <wp:docPr id="2" name="自选图形 7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95320" cy="8287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412" h="1307">
                                    <a:moveTo>
                                      <a:pt x="1411" y="335"/>
                                    </a:moveTo>
                                    <a:lnTo>
                                      <a:pt x="1006" y="670"/>
                                    </a:lnTo>
                                    <a:lnTo>
                                      <a:pt x="1006" y="483"/>
                                    </a:lnTo>
                                    <a:lnTo>
                                      <a:pt x="521" y="483"/>
                                    </a:lnTo>
                                    <a:lnTo>
                                      <a:pt x="521" y="932"/>
                                    </a:lnTo>
                                    <a:lnTo>
                                      <a:pt x="724" y="932"/>
                                    </a:lnTo>
                                    <a:lnTo>
                                      <a:pt x="362" y="1306"/>
                                    </a:lnTo>
                                    <a:lnTo>
                                      <a:pt x="0" y="932"/>
                                    </a:lnTo>
                                    <a:lnTo>
                                      <a:pt x="203" y="932"/>
                                    </a:lnTo>
                                    <a:lnTo>
                                      <a:pt x="203" y="188"/>
                                    </a:lnTo>
                                    <a:lnTo>
                                      <a:pt x="1006" y="188"/>
                                    </a:lnTo>
                                    <a:lnTo>
                                      <a:pt x="1006" y="0"/>
                                    </a:lnTo>
                                    <a:lnTo>
                                      <a:pt x="1411" y="335"/>
                                    </a:lnTo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75" fillcolor="#3366ff" stroked="t" style="position:absolute;margin-left:142.55pt;margin-top:8.55pt;width:70.45pt;height:65.2pt;mso-wrap-style:none;v-text-anchor:middle;rotation:270" type="shapetype_89">
                      <v:fill o:detectmouseclick="t" type="solid" color2="#cc990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财务</w:t>
            </w:r>
          </w:p>
        </w:tc>
      </w:tr>
      <w:tr>
        <w:trPr>
          <w:trHeight w:val="330" w:hRule="atLeast"/>
        </w:trPr>
        <w:tc>
          <w:tcPr>
            <w:tcW w:w="2820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在财务方面我们向展示什么</w:t>
            </w:r>
          </w:p>
        </w:tc>
      </w:tr>
      <w:tr>
        <w:trPr>
          <w:trHeight w:val="330" w:hRule="atLeast"/>
        </w:trPr>
        <w:tc>
          <w:tcPr>
            <w:tcW w:w="282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before="156" w:after="156"/>
        <w:jc w:val="center"/>
        <w:rPr>
          <w:rFonts w:ascii="楷体;汉仪楷体KW" w:hAnsi="楷体;汉仪楷体KW" w:eastAsia="楷体;汉仪楷体KW" w:cs="楷体;汉仪楷体KW"/>
          <w:b/>
          <w:b/>
          <w:bCs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楷体;汉仪楷体KW" w:hAnsi="楷体;汉仪楷体KW" w:eastAsia="楷体;汉仪楷体KW" w:cs="楷体;汉仪楷体KW"/>
          <w:vanish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vanish/>
          <w:color w:val="000000"/>
          <w:sz w:val="24"/>
          <w:szCs w:val="24"/>
        </w:rPr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10160</wp:posOffset>
                </wp:positionV>
                <wp:extent cx="1790700" cy="20955"/>
                <wp:effectExtent l="0" t="0" r="0" b="0"/>
                <wp:wrapSquare wrapText="bothSides"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0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820" w:type="dxa"/>
                              <w:jc w:val="start"/>
                              <w:tblInd w:w="108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820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4" w:space="0" w:color="000000"/>
                                    <w:end w:val="single" w:sz="8" w:space="0" w:color="000000"/>
                                  </w:tcBorders>
                                  <w:shd w:fill="3366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b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顾客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我们在客户眼里的表现如何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continue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snapToGrid w:val="false"/>
                                    <w:jc w:val="start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楷体;汉仪楷体KW" w:cs="宋体;汉仪书宋二KW" w:ascii="楷体;汉仪楷体KW" w:hAnsi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141pt;height:1.65pt;mso-wrap-distance-left:0pt;mso-wrap-distance-right:9pt;mso-wrap-distance-top:0pt;mso-wrap-distance-bottom:0pt;margin-top:0.8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2820" w:type="dxa"/>
                        <w:jc w:val="start"/>
                        <w:tblInd w:w="108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820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4" w:space="0" w:color="000000"/>
                              <w:end w:val="single" w:sz="8" w:space="0" w:color="000000"/>
                            </w:tcBorders>
                            <w:shd w:fill="3366FF" w:val="clear"/>
                            <w:vAlign w:val="bottom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b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顾客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我们在客户眼里的表现如何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continue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snapToGrid w:val="false"/>
                              <w:jc w:val="start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楷体;汉仪楷体KW" w:cs="宋体;汉仪书宋二KW" w:ascii="楷体;汉仪楷体KW" w:hAnsi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center"/>
        <w:rPr>
          <w:rFonts w:ascii="楷体;汉仪楷体KW" w:hAnsi="楷体;汉仪楷体KW" w:eastAsia="楷体;汉仪楷体KW" w:cs="楷体;汉仪楷体KW"/>
          <w:bCs/>
          <w:color w:val="000000"/>
          <w:sz w:val="24"/>
          <w:szCs w:val="24"/>
          <w:lang w:val="en-US" w:eastAsia="en-US"/>
        </w:rPr>
      </w:pPr>
      <w:r>
        <w:rPr>
          <w:rFonts w:eastAsia="楷体;汉仪楷体KW" w:cs="楷体;汉仪楷体KW" w:ascii="楷体;汉仪楷体KW" w:hAnsi="楷体;汉仪楷体KW"/>
          <w:bCs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behindDoc="0" distT="6350" distB="6350" distL="121285" distR="121285" simplePos="0" locked="0" layoutInCell="0" allowOverlap="1" relativeHeight="6">
                <wp:simplePos x="0" y="0"/>
                <wp:positionH relativeFrom="column">
                  <wp:posOffset>374015</wp:posOffset>
                </wp:positionH>
                <wp:positionV relativeFrom="paragraph">
                  <wp:posOffset>50800</wp:posOffset>
                </wp:positionV>
                <wp:extent cx="1257935" cy="396875"/>
                <wp:effectExtent l="0" t="0" r="0" b="0"/>
                <wp:wrapNone/>
                <wp:docPr id="4" name="椭圆 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396360"/>
                        </a:xfrm>
                        <a:prstGeom prst="ellipse">
                          <a:avLst/>
                        </a:prstGeom>
                        <a:solidFill>
                          <a:srgbClr val="ff99cc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0"/>
                                <w:szCs w:val="20"/>
                                <w:rFonts w:ascii="楷体;汉仪楷体KW" w:hAnsi="楷体;汉仪楷体KW" w:eastAsia="楷体;汉仪楷体KW" w:cs="楷体;汉仪楷体KW"/>
                                <w:color w:val="auto"/>
                                <w:lang w:val="en-US" w:eastAsia="zh-CN" w:bidi="ar-SA"/>
                              </w:rPr>
                              <w:t>远景/战略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椭圆 66" fillcolor="#ff99cc" stroked="t" style="position:absolute;margin-left:29.45pt;margin-top:4pt;width:98.95pt;height:31.15pt;mso-wrap-style:square;v-text-anchor:top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kern w:val="2"/>
                          <w:sz w:val="20"/>
                          <w:szCs w:val="20"/>
                          <w:rFonts w:ascii="楷体;汉仪楷体KW" w:hAnsi="楷体;汉仪楷体KW" w:eastAsia="楷体;汉仪楷体KW" w:cs="楷体;汉仪楷体KW"/>
                          <w:color w:val="auto"/>
                          <w:lang w:val="en-US" w:eastAsia="zh-CN" w:bidi="ar-SA"/>
                        </w:rPr>
                        <w:t>远景/战略</w:t>
                      </w:r>
                    </w:p>
                  </w:txbxContent>
                </v:textbox>
                <v:fill o:detectmouseclick="t" type="solid" color2="#006633"/>
                <v:stroke color="black" weight="12600" joinstyle="miter" endcap="flat"/>
                <w10:wrap type="none"/>
              </v:oval>
            </w:pict>
          </mc:Fallback>
        </mc:AlternateContent>
      </w:r>
      <w:r>
        <mc:AlternateContent>
          <mc:Choice Requires="wps">
            <w:drawing>
              <wp:anchor behindDoc="0" distT="0" distB="0" distL="114300" distR="0" simplePos="0" locked="0" layoutInCell="0" allowOverlap="1" relativeHeight="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790700" cy="829310"/>
                <wp:effectExtent l="0" t="0" r="0" b="0"/>
                <wp:wrapSquare wrapText="bothSides"/>
                <wp:docPr id="5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293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820" w:type="dxa"/>
                              <w:jc w:val="start"/>
                              <w:tblInd w:w="108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820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4" w:space="0" w:color="000000"/>
                                    <w:end w:val="single" w:sz="8" w:space="0" w:color="000000"/>
                                  </w:tcBorders>
                                  <w:shd w:fill="3366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b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内部流程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为了股东和顾客满意，我们要把那些关键业务流程作的更好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continue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snapToGrid w:val="false"/>
                                    <w:jc w:val="start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楷体;汉仪楷体KW" w:cs="宋体;汉仪书宋二KW" w:ascii="楷体;汉仪楷体KW" w:hAnsi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141pt;height:65.3pt;mso-wrap-distance-left:9pt;mso-wrap-distance-right:0pt;mso-wrap-distance-top:0pt;mso-wrap-distance-bottom:0pt;margin-top:0.8pt;mso-position-vertical-relative:text;margin-left:312.5pt;mso-position-horizontal:right;mso-position-horizontal-relative:margin">
                <v:fill opacity="0f"/>
                <v:textbox inset="0in,0in,0in,0in">
                  <w:txbxContent>
                    <w:tbl>
                      <w:tblPr>
                        <w:tblW w:w="2820" w:type="dxa"/>
                        <w:jc w:val="start"/>
                        <w:tblInd w:w="108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820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4" w:space="0" w:color="000000"/>
                              <w:end w:val="single" w:sz="8" w:space="0" w:color="000000"/>
                            </w:tcBorders>
                            <w:shd w:fill="3366FF" w:val="clear"/>
                            <w:vAlign w:val="bottom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b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内部流程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为了股东和顾客满意，我们要把那些关键业务流程作的更好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continue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snapToGrid w:val="false"/>
                              <w:jc w:val="start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楷体;汉仪楷体KW" w:cs="宋体;汉仪书宋二KW" w:ascii="楷体;汉仪楷体KW" w:hAnsi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  <w:szCs w:val="24"/>
        </w:rPr>
        <w:t>　　</w:t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  <w:lang w:val="en-US" w:eastAsia="en-US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7">
                <wp:simplePos x="0" y="0"/>
                <wp:positionH relativeFrom="column">
                  <wp:posOffset>647700</wp:posOffset>
                </wp:positionH>
                <wp:positionV relativeFrom="paragraph">
                  <wp:posOffset>227965</wp:posOffset>
                </wp:positionV>
                <wp:extent cx="895985" cy="829310"/>
                <wp:effectExtent l="0" t="0" r="0" b="0"/>
                <wp:wrapNone/>
                <wp:docPr id="6" name="自选图形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5320" cy="8287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12" h="1307">
                              <a:moveTo>
                                <a:pt x="1411" y="335"/>
                              </a:moveTo>
                              <a:lnTo>
                                <a:pt x="1006" y="670"/>
                              </a:lnTo>
                              <a:lnTo>
                                <a:pt x="1006" y="483"/>
                              </a:lnTo>
                              <a:lnTo>
                                <a:pt x="521" y="483"/>
                              </a:lnTo>
                              <a:lnTo>
                                <a:pt x="521" y="932"/>
                              </a:lnTo>
                              <a:lnTo>
                                <a:pt x="724" y="932"/>
                              </a:lnTo>
                              <a:lnTo>
                                <a:pt x="362" y="1306"/>
                              </a:lnTo>
                              <a:lnTo>
                                <a:pt x="0" y="932"/>
                              </a:lnTo>
                              <a:lnTo>
                                <a:pt x="203" y="932"/>
                              </a:lnTo>
                              <a:lnTo>
                                <a:pt x="203" y="188"/>
                              </a:lnTo>
                              <a:lnTo>
                                <a:pt x="1006" y="188"/>
                              </a:lnTo>
                              <a:lnTo>
                                <a:pt x="1006" y="0"/>
                              </a:lnTo>
                              <a:lnTo>
                                <a:pt x="1411" y="335"/>
                              </a:lnTo>
                            </a:path>
                          </a:pathLst>
                        </a:custGeom>
                        <a:solidFill>
                          <a:srgbClr val="3366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自选图形 69" fillcolor="#3366ff" stroked="t" style="position:absolute;margin-left:51.05pt;margin-top:17.95pt;width:70.45pt;height:65.2pt;mso-wrap-style:none;v-text-anchor:middle;rotation:90" type="shapetype_89">
                <v:fill o:detectmouseclick="t" type="solid" color2="#cc9900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9">
                <wp:simplePos x="0" y="0"/>
                <wp:positionH relativeFrom="column">
                  <wp:posOffset>3657600</wp:posOffset>
                </wp:positionH>
                <wp:positionV relativeFrom="paragraph">
                  <wp:posOffset>194945</wp:posOffset>
                </wp:positionV>
                <wp:extent cx="915035" cy="809625"/>
                <wp:effectExtent l="0" t="0" r="0" b="0"/>
                <wp:wrapNone/>
                <wp:docPr id="7" name="自选图形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89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42" h="1276">
                              <a:moveTo>
                                <a:pt x="0" y="948"/>
                              </a:moveTo>
                              <a:lnTo>
                                <a:pt x="413" y="621"/>
                              </a:lnTo>
                              <a:lnTo>
                                <a:pt x="413" y="804"/>
                              </a:lnTo>
                              <a:lnTo>
                                <a:pt x="909" y="804"/>
                              </a:lnTo>
                              <a:lnTo>
                                <a:pt x="909" y="365"/>
                              </a:lnTo>
                              <a:lnTo>
                                <a:pt x="702" y="365"/>
                              </a:lnTo>
                              <a:lnTo>
                                <a:pt x="1071" y="0"/>
                              </a:lnTo>
                              <a:lnTo>
                                <a:pt x="1441" y="365"/>
                              </a:lnTo>
                              <a:lnTo>
                                <a:pt x="1234" y="365"/>
                              </a:lnTo>
                              <a:lnTo>
                                <a:pt x="1234" y="1092"/>
                              </a:lnTo>
                              <a:lnTo>
                                <a:pt x="413" y="1092"/>
                              </a:lnTo>
                              <a:lnTo>
                                <a:pt x="413" y="1275"/>
                              </a:lnTo>
                              <a:lnTo>
                                <a:pt x="0" y="948"/>
                              </a:lnTo>
                            </a:path>
                          </a:pathLst>
                        </a:custGeom>
                        <a:solidFill>
                          <a:srgbClr val="3366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自选图形 79" fillcolor="#3366ff" stroked="t" style="position:absolute;margin-left:288pt;margin-top:15.35pt;width:71.95pt;height:63.65pt;mso-wrap-style:none;v-text-anchor:middle" type="shapetype_89">
                <v:fill o:detectmouseclick="t" type="solid" color2="#cc9900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1790700" cy="643890"/>
                <wp:effectExtent l="0" t="0" r="0" b="0"/>
                <wp:wrapSquare wrapText="bothSides"/>
                <wp:docPr id="8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6438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820" w:type="dxa"/>
                              <w:jc w:val="start"/>
                              <w:tblInd w:w="108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820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4" w:space="0" w:color="000000"/>
                                    <w:end w:val="single" w:sz="8" w:space="0" w:color="000000"/>
                                  </w:tcBorders>
                                  <w:shd w:fill="3366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b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学习与成长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jc w:val="center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楷体;汉仪楷体KW" w:hAnsi="楷体;汉仪楷体KW" w:cs="宋体;汉仪书宋二KW" w:eastAsia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为达到业绩指标我们学习掌握什么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20" w:type="dxa"/>
                                  <w:vMerge w:val="continue"/>
                                  <w:tcBorders>
                                    <w:top w:val="single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/>
                                    <w:snapToGrid w:val="false"/>
                                    <w:jc w:val="start"/>
                                    <w:rPr>
                                      <w:rFonts w:ascii="楷体;汉仪楷体KW" w:hAnsi="楷体;汉仪楷体KW" w:eastAsia="楷体;汉仪楷体KW" w:cs="宋体;汉仪书宋二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楷体;汉仪楷体KW" w:cs="宋体;汉仪书宋二KW" w:ascii="楷体;汉仪楷体KW" w:hAnsi="楷体;汉仪楷体KW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141pt;height:50.7pt;mso-wrap-distance-left:9pt;mso-wrap-distance-right:9pt;mso-wrap-distance-top:0pt;mso-wrap-distance-bottom:0pt;margin-top:15.4pt;mso-position-vertical-relative:text;margin-left:156.25pt;mso-position-horizontal:center;mso-position-horizontal-relative:margin">
                <v:fill opacity="0f"/>
                <v:textbox inset="0in,0in,0in,0in">
                  <w:txbxContent>
                    <w:tbl>
                      <w:tblPr>
                        <w:tblW w:w="2820" w:type="dxa"/>
                        <w:jc w:val="start"/>
                        <w:tblInd w:w="108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820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4" w:space="0" w:color="000000"/>
                              <w:end w:val="single" w:sz="8" w:space="0" w:color="000000"/>
                            </w:tcBorders>
                            <w:shd w:fill="3366FF" w:val="clear"/>
                            <w:vAlign w:val="bottom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b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学习与成长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jc w:val="center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;汉仪楷体KW" w:hAnsi="楷体;汉仪楷体KW" w:cs="宋体;汉仪书宋二KW" w:eastAsia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为达到业绩指标我们学习掌握什么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20" w:type="dxa"/>
                            <w:vMerge w:val="continue"/>
                            <w:tcBorders>
                              <w:top w:val="single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/>
                              <w:snapToGrid w:val="false"/>
                              <w:jc w:val="start"/>
                              <w:rPr>
                                <w:rFonts w:ascii="楷体;汉仪楷体KW" w:hAnsi="楷体;汉仪楷体KW" w:eastAsia="楷体;汉仪楷体KW" w:cs="宋体;汉仪书宋二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楷体;汉仪楷体KW" w:cs="宋体;汉仪书宋二KW" w:ascii="楷体;汉仪楷体KW" w:hAnsi="楷体;汉仪楷体K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tbl>
      <w:tblPr>
        <w:tblW w:w="1055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01"/>
        <w:gridCol w:w="896"/>
        <w:gridCol w:w="436"/>
        <w:gridCol w:w="931"/>
        <w:gridCol w:w="395"/>
        <w:gridCol w:w="1020"/>
        <w:gridCol w:w="736"/>
        <w:gridCol w:w="614"/>
        <w:gridCol w:w="279"/>
        <w:gridCol w:w="1411"/>
        <w:gridCol w:w="1082"/>
        <w:gridCol w:w="573"/>
        <w:gridCol w:w="180"/>
      </w:tblGrid>
      <w:tr>
        <w:trPr>
          <w:trHeight w:val="645" w:hRule="atLeast"/>
        </w:trPr>
        <w:tc>
          <w:tcPr>
            <w:tcW w:w="2001" w:type="dxa"/>
            <w:tcBorders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财务角度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">
                      <wp:simplePos x="0" y="0"/>
                      <wp:positionH relativeFrom="column">
                        <wp:posOffset>-848360</wp:posOffset>
                      </wp:positionH>
                      <wp:positionV relativeFrom="paragraph">
                        <wp:posOffset>867410</wp:posOffset>
                      </wp:positionV>
                      <wp:extent cx="2181860" cy="467360"/>
                      <wp:effectExtent l="0" t="0" r="0" b="0"/>
                      <wp:wrapNone/>
                      <wp:docPr id="9" name="自选图形 9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181240" cy="46656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436" h="737">
                                    <a:moveTo>
                                      <a:pt x="536" y="184"/>
                                    </a:moveTo>
                                    <a:lnTo>
                                      <a:pt x="2577" y="184"/>
                                    </a:lnTo>
                                    <a:lnTo>
                                      <a:pt x="2577" y="0"/>
                                    </a:lnTo>
                                    <a:lnTo>
                                      <a:pt x="3435" y="368"/>
                                    </a:lnTo>
                                    <a:lnTo>
                                      <a:pt x="2577" y="736"/>
                                    </a:lnTo>
                                    <a:lnTo>
                                      <a:pt x="2577" y="552"/>
                                    </a:lnTo>
                                    <a:lnTo>
                                      <a:pt x="536" y="552"/>
                                    </a:lnTo>
                                    <a:lnTo>
                                      <a:pt x="536" y="184"/>
                                    </a:lnTo>
                                    <a:moveTo>
                                      <a:pt x="0" y="184"/>
                                    </a:moveTo>
                                    <a:lnTo>
                                      <a:pt x="107" y="184"/>
                                    </a:lnTo>
                                    <a:lnTo>
                                      <a:pt x="107" y="552"/>
                                    </a:lnTo>
                                    <a:lnTo>
                                      <a:pt x="0" y="552"/>
                                    </a:lnTo>
                                    <a:lnTo>
                                      <a:pt x="0" y="184"/>
                                    </a:lnTo>
                                    <a:moveTo>
                                      <a:pt x="214" y="184"/>
                                    </a:moveTo>
                                    <a:lnTo>
                                      <a:pt x="429" y="184"/>
                                    </a:lnTo>
                                    <a:lnTo>
                                      <a:pt x="429" y="552"/>
                                    </a:lnTo>
                                    <a:lnTo>
                                      <a:pt x="214" y="552"/>
                                    </a:lnTo>
                                    <a:lnTo>
                                      <a:pt x="214" y="184"/>
                                    </a:lnTo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6d0a1f"/>
                                  </a:gs>
                                  <a:gs pos="100000">
                                    <a:srgbClr val="ee1644"/>
                                  </a:gs>
                                </a:gsLst>
                                <a:lin ang="5400000"/>
                              </a:gra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93" coordsize="21600,21600" o:spt="93" adj="10800,10800" path="m0@6l675@6l675@7l0@7xm1350@6l2700@6l2700@7l1350@7xm@3@6l@4@6l@4,l21600,10800l@4,21600l@4@7l@3@7xe">
                      <v:stroke joinstyle="miter"/>
                      <v:formulas>
                        <v:f eqn="val 18225"/>
                        <v:f eqn="val #1"/>
                        <v:f eqn="val #0"/>
                        <v:f eqn="prod 21600 5 32"/>
                        <v:f eqn="sum width 0 @2"/>
                        <v:f eqn="prod 1 @1 2"/>
                        <v:f eqn="sum 10800 0 @5"/>
                        <v:f eqn="sum 10800 @5 0"/>
                        <v:f eqn="prod @5 @2 10800"/>
                        <v:f eqn="sum width 0 @8"/>
                      </v:formulas>
                      <v:path gradientshapeok="t" o:connecttype="rect" textboxrect="@3,@6,@9,@7"/>
                      <v:handles>
                        <v:h position="0,@6"/>
                        <v:h position="@4,0"/>
                      </v:handles>
                    </v:shapetype>
                    <v:shape id="shape_0" ID="自选图形 98" fillcolor="#6d0a1f" stroked="t" style="position:absolute;margin-left:-66.8pt;margin-top:68.3pt;width:171.7pt;height:36.7pt;mso-wrap-style:none;v-text-anchor:middle;rotation:270" type="shapetype_93">
                      <v:fill o:detectmouseclick="t" color2="#ee1644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67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销售增长</w:t>
            </w:r>
          </w:p>
        </w:tc>
        <w:tc>
          <w:tcPr>
            <w:tcW w:w="141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保证利润</w:t>
            </w:r>
          </w:p>
        </w:tc>
        <w:tc>
          <w:tcPr>
            <w:tcW w:w="7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1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90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提高资产运营效率</w:t>
            </w:r>
          </w:p>
        </w:tc>
        <w:tc>
          <w:tcPr>
            <w:tcW w:w="165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降低成本</w:t>
            </w:r>
          </w:p>
        </w:tc>
        <w:tc>
          <w:tcPr>
            <w:tcW w:w="18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</w:tr>
      <w:tr>
        <w:trPr>
          <w:trHeight w:val="165" w:hRule="atLeast"/>
        </w:trPr>
        <w:tc>
          <w:tcPr>
            <w:tcW w:w="200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1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45" w:hRule="atLeast"/>
        </w:trPr>
        <w:tc>
          <w:tcPr>
            <w:tcW w:w="2001" w:type="dxa"/>
            <w:tcBorders/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顾客角度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67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顾客满意</w:t>
            </w:r>
          </w:p>
        </w:tc>
        <w:tc>
          <w:tcPr>
            <w:tcW w:w="39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1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5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品牌建设</w:t>
            </w:r>
          </w:p>
        </w:tc>
        <w:tc>
          <w:tcPr>
            <w:tcW w:w="18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</w:tr>
      <w:tr>
        <w:trPr>
          <w:trHeight w:val="105" w:hRule="atLeast"/>
        </w:trPr>
        <w:tc>
          <w:tcPr>
            <w:tcW w:w="200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1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45" w:hRule="atLeast"/>
        </w:trPr>
        <w:tc>
          <w:tcPr>
            <w:tcW w:w="2001" w:type="dxa"/>
            <w:tcBorders/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内部流程角度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67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新产品研发</w:t>
            </w:r>
          </w:p>
        </w:tc>
        <w:tc>
          <w:tcPr>
            <w:tcW w:w="141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提高质量</w:t>
            </w:r>
          </w:p>
        </w:tc>
        <w:tc>
          <w:tcPr>
            <w:tcW w:w="1350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基础管理</w:t>
            </w:r>
          </w:p>
        </w:tc>
        <w:tc>
          <w:tcPr>
            <w:tcW w:w="1690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企业文化建设</w:t>
            </w:r>
          </w:p>
        </w:tc>
        <w:tc>
          <w:tcPr>
            <w:tcW w:w="165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渠道建设</w:t>
            </w:r>
          </w:p>
        </w:tc>
        <w:tc>
          <w:tcPr>
            <w:tcW w:w="18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200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1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45" w:hRule="atLeast"/>
        </w:trPr>
        <w:tc>
          <w:tcPr>
            <w:tcW w:w="2001" w:type="dxa"/>
            <w:tcBorders/>
            <w:shd w:fill="99CC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学习与成长角度</w:t>
            </w:r>
          </w:p>
        </w:tc>
        <w:tc>
          <w:tcPr>
            <w:tcW w:w="89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67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</w:t>
            </w:r>
          </w:p>
        </w:tc>
        <w:tc>
          <w:tcPr>
            <w:tcW w:w="1415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人才队伍建设</w:t>
            </w:r>
          </w:p>
        </w:tc>
        <w:tc>
          <w:tcPr>
            <w:tcW w:w="1350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1690" w:type="dxa"/>
            <w:gridSpan w:val="2"/>
            <w:tcBorders/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</w:t>
            </w:r>
          </w:p>
        </w:tc>
        <w:tc>
          <w:tcPr>
            <w:tcW w:w="108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  <w:r>
        <w:br w:type="page"/>
      </w:r>
    </w:p>
    <w:p>
      <w:pPr>
        <w:pStyle w:val="Heading2"/>
        <w:spacing w:lineRule="auto" w:line="360" w:before="0" w:after="0"/>
        <w:ind w:firstLine="362"/>
        <w:rPr>
          <w:rFonts w:ascii="楷体;汉仪楷体KW" w:hAnsi="楷体;汉仪楷体KW" w:eastAsia="楷体;汉仪楷体KW" w:cs="楷体;汉仪楷体KW"/>
          <w:b w:val="false"/>
          <w:b w:val="false"/>
          <w:color w:val="000000"/>
          <w:sz w:val="24"/>
          <w:szCs w:val="24"/>
        </w:rPr>
      </w:pPr>
      <w:r>
        <w:rPr>
          <w:rFonts w:ascii="楷体;汉仪楷体KW" w:hAnsi="楷体;汉仪楷体KW" w:cs="楷体;汉仪楷体KW" w:eastAsia="楷体;汉仪楷体KW"/>
          <w:b w:val="false"/>
          <w:color w:val="000000"/>
          <w:sz w:val="24"/>
          <w:szCs w:val="24"/>
        </w:rPr>
        <w:t>二、战略指标解释</w:t>
      </w:r>
    </w:p>
    <w:tbl>
      <w:tblPr>
        <w:tblW w:w="94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6100"/>
        <w:gridCol w:w="1920"/>
      </w:tblGrid>
      <w:tr>
        <w:trPr>
          <w:trHeight w:val="570" w:hRule="atLeast"/>
        </w:trPr>
        <w:tc>
          <w:tcPr>
            <w:tcW w:w="144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战略主题</w:t>
            </w:r>
          </w:p>
        </w:tc>
        <w:tc>
          <w:tcPr>
            <w:tcW w:w="61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战略主题解释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具体目标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保证利润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完成公司产品利润目标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降低成本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通过采购成本、管理费用、销售费用的持平和改造，实现公司整体成本的降低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提高资产运营效率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加大资金管理力度，实现资本的保值和增值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销售增长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、产品销售带来的销售增长；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、回款；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、呆坏账的控制；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、大客户的维持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顾客满意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包括客户及经销商满意度。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、建立客户档案管理体系；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、提高客服质量；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、及时响应客户需求，处理客户投诉；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、客户回访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品牌建设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完成品牌建设规划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新产品开发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完成新产品开发计划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提高质量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持续推进和实施质量体系，强化质量管理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基础管理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建立健全企业制度、流程体系，建立健全人力资源管理体系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渠道建设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完成渠道建设规划，并根据市场调研结果，不断开拓渠道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企业文化建设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规划并逐步建立具有公司特色的企业文化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、完善培训课程体系，加强培训计分管理；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、加强员工技能培养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人才队伍建设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、建立晋升体系及任职资格体系；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、加强核心员工管理；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、销售队伍的招聘和优化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61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建立并固化考核模式，完善考核体系，规范考核流程</w:t>
            </w:r>
          </w:p>
        </w:tc>
        <w:tc>
          <w:tcPr>
            <w:tcW w:w="1920" w:type="dxa"/>
            <w:tcBorders>
              <w:bottom w:val="single" w:sz="4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440" w:type="dxa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</w:t>
            </w:r>
          </w:p>
        </w:tc>
        <w:tc>
          <w:tcPr>
            <w:tcW w:w="6100" w:type="dxa"/>
            <w:tcBorders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、开展员工满意度调查；</w:t>
            </w: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、对管理弱项提出改进措施，并保证落实和实施</w:t>
            </w:r>
          </w:p>
        </w:tc>
        <w:tc>
          <w:tcPr>
            <w:tcW w:w="1920" w:type="dxa"/>
            <w:tcBorders>
              <w:bottom w:val="single" w:sz="8" w:space="0" w:color="000000"/>
              <w:end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pStyle w:val="Heading2"/>
        <w:spacing w:lineRule="auto" w:line="360" w:before="0" w:after="0"/>
        <w:ind w:firstLine="362"/>
        <w:rPr>
          <w:rFonts w:ascii="楷体;汉仪楷体KW" w:hAnsi="楷体;汉仪楷体KW" w:eastAsia="楷体;汉仪楷体KW" w:cs="楷体;汉仪楷体KW"/>
          <w:b w:val="false"/>
          <w:b w:val="false"/>
          <w:color w:val="000000"/>
          <w:sz w:val="24"/>
          <w:szCs w:val="24"/>
        </w:rPr>
      </w:pPr>
      <w:r>
        <w:br w:type="page"/>
      </w:r>
      <w:r>
        <w:rPr>
          <w:rFonts w:ascii="楷体;汉仪楷体KW" w:hAnsi="楷体;汉仪楷体KW" w:cs="楷体;汉仪楷体KW" w:eastAsia="楷体;汉仪楷体KW"/>
          <w:b w:val="false"/>
          <w:color w:val="000000"/>
          <w:sz w:val="24"/>
          <w:szCs w:val="24"/>
        </w:rPr>
        <w:t>三、各部门战略指标分配</w:t>
      </w:r>
    </w:p>
    <w:tbl>
      <w:tblPr>
        <w:tblW w:w="109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0"/>
        <w:gridCol w:w="11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420" w:hRule="atLeast"/>
        </w:trPr>
        <w:tc>
          <w:tcPr>
            <w:tcW w:w="800" w:type="dxa"/>
            <w:vMerge w:val="restart"/>
            <w:tcBorders>
              <w:top w:val="single" w:sz="8" w:space="0" w:color="0000FF"/>
              <w:start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角度</w:t>
            </w:r>
          </w:p>
        </w:tc>
        <w:tc>
          <w:tcPr>
            <w:tcW w:w="1140" w:type="dxa"/>
            <w:tcBorders>
              <w:top w:val="single" w:sz="8" w:space="0" w:color="0000FF"/>
              <w:start w:val="single" w:sz="4" w:space="0" w:color="0000FF"/>
              <w:end w:val="single" w:sz="4" w:space="0" w:color="0000FF"/>
            </w:tcBorders>
            <w:shd w:fill="00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行政部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人力资源部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Arial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证券投资部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质量管理部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内审部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生产保障部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研发中心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产品中心</w:t>
            </w:r>
          </w:p>
        </w:tc>
        <w:tc>
          <w:tcPr>
            <w:tcW w:w="820" w:type="dxa"/>
            <w:vMerge w:val="restart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国内销售中心</w:t>
            </w:r>
          </w:p>
        </w:tc>
      </w:tr>
      <w:tr>
        <w:trPr>
          <w:trHeight w:val="510" w:hRule="atLeast"/>
        </w:trPr>
        <w:tc>
          <w:tcPr>
            <w:tcW w:w="800" w:type="dxa"/>
            <w:vMerge w:val="continue"/>
            <w:tcBorders>
              <w:top w:val="single" w:sz="8" w:space="0" w:color="0000FF"/>
              <w:start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主题</w:t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bottom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820" w:type="dxa"/>
            <w:vMerge w:val="continue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8" w:space="0" w:color="0000FF"/>
            </w:tcBorders>
            <w:shd w:fill="00CC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</w:t>
            </w:r>
          </w:p>
        </w:tc>
        <w:tc>
          <w:tcPr>
            <w:tcW w:w="114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降低成本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提高资产运营效率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销售增长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top w:val="single" w:sz="4" w:space="0" w:color="0000FF"/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顾客</w:t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顾客满意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top w:val="single" w:sz="4" w:space="0" w:color="0000FF"/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品牌建设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内部流程</w:t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新产品开发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提高质量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基础管理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渠道建设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企业文化建设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学习与成长</w:t>
            </w:r>
          </w:p>
        </w:tc>
        <w:tc>
          <w:tcPr>
            <w:tcW w:w="114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人才队伍建设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sz="4" w:space="0" w:color="0000FF"/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bottom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4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continue"/>
            <w:tcBorders>
              <w:start w:val="single" w:sz="8" w:space="0" w:color="0000FF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14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start w:val="single" w:sz="4" w:space="0" w:color="0000FF"/>
              <w:end w:val="single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bottom w:val="single" w:sz="8" w:space="0" w:color="0000FF"/>
              <w:end w:val="single" w:sz="8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Arial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25" w:hRule="atLeast"/>
        </w:trPr>
        <w:tc>
          <w:tcPr>
            <w:tcW w:w="1940" w:type="dxa"/>
            <w:gridSpan w:val="2"/>
            <w:tcBorders>
              <w:top w:val="single" w:sz="8" w:space="0" w:color="0000FF"/>
              <w:start w:val="single" w:sz="8" w:space="0" w:color="0000FF"/>
              <w:bottom w:val="single" w:sz="8" w:space="0" w:color="0000FF"/>
              <w:end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目标小计</w:t>
            </w:r>
          </w:p>
        </w:tc>
        <w:tc>
          <w:tcPr>
            <w:tcW w:w="820" w:type="dxa"/>
            <w:tcBorders>
              <w:top w:val="single" w:sz="8" w:space="0" w:color="0000FF"/>
              <w:bottom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FF"/>
              <w:bottom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FF"/>
              <w:bottom w:val="single" w:sz="8" w:space="0" w:color="0000FF"/>
              <w:end w:val="single" w:sz="4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FF"/>
              <w:bottom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FF"/>
              <w:start w:val="single" w:sz="4" w:space="0" w:color="0000FF"/>
              <w:bottom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FF"/>
              <w:bottom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FF"/>
              <w:start w:val="single" w:sz="4" w:space="0" w:color="0000FF"/>
              <w:bottom w:val="single" w:sz="8" w:space="0" w:color="0000FF"/>
              <w:end w:val="single" w:sz="4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bottom w:val="single" w:sz="8" w:space="0" w:color="0000FF"/>
              <w:end w:val="single" w:sz="8" w:space="0" w:color="0000FF"/>
            </w:tcBorders>
            <w:shd w:fill="99CCFF" w:val="clear"/>
            <w:vAlign w:val="bottom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楷体;汉仪楷体KW" w:hAnsi="楷体;汉仪楷体KW" w:eastAsia="楷体;汉仪楷体KW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Arial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</w:tr>
    </w:tbl>
    <w:p>
      <w:pPr>
        <w:pStyle w:val="Heading2"/>
        <w:spacing w:lineRule="auto" w:line="360" w:before="0" w:after="0"/>
        <w:ind w:firstLine="362"/>
        <w:rPr>
          <w:rFonts w:ascii="楷体;汉仪楷体KW" w:hAnsi="楷体;汉仪楷体KW" w:eastAsia="楷体;汉仪楷体KW" w:cs="楷体;汉仪楷体KW"/>
          <w:b w:val="false"/>
          <w:b w:val="false"/>
          <w:color w:val="000000"/>
          <w:sz w:val="24"/>
          <w:szCs w:val="24"/>
        </w:rPr>
      </w:pPr>
      <w:r>
        <w:br w:type="page"/>
      </w:r>
      <w:r>
        <w:rPr>
          <w:rFonts w:ascii="楷体;汉仪楷体KW" w:hAnsi="楷体;汉仪楷体KW" w:cs="楷体;汉仪楷体KW" w:eastAsia="楷体;汉仪楷体KW"/>
          <w:b w:val="false"/>
          <w:color w:val="000000"/>
          <w:sz w:val="24"/>
          <w:szCs w:val="24"/>
        </w:rPr>
        <w:t>四、战略指标的具体化分解</w:t>
      </w:r>
    </w:p>
    <w:tbl>
      <w:tblPr>
        <w:tblW w:w="96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0"/>
        <w:gridCol w:w="1420"/>
        <w:gridCol w:w="1420"/>
        <w:gridCol w:w="1410"/>
        <w:gridCol w:w="1400"/>
        <w:gridCol w:w="3010"/>
      </w:tblGrid>
      <w:tr>
        <w:trPr>
          <w:trHeight w:val="495" w:hRule="atLeast"/>
        </w:trPr>
        <w:tc>
          <w:tcPr>
            <w:tcW w:w="1000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战略主题</w:t>
            </w:r>
          </w:p>
        </w:tc>
        <w:tc>
          <w:tcPr>
            <w:tcW w:w="1420" w:type="dxa"/>
            <w:tcBorders>
              <w:top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关键绩效指标</w:t>
            </w:r>
          </w:p>
        </w:tc>
        <w:tc>
          <w:tcPr>
            <w:tcW w:w="1420" w:type="dxa"/>
            <w:tcBorders>
              <w:top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关键成功因素</w:t>
            </w:r>
          </w:p>
        </w:tc>
        <w:tc>
          <w:tcPr>
            <w:tcW w:w="1410" w:type="dxa"/>
            <w:tcBorders>
              <w:top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关键绩效指标</w:t>
            </w:r>
          </w:p>
        </w:tc>
        <w:tc>
          <w:tcPr>
            <w:tcW w:w="1400" w:type="dxa"/>
            <w:tcBorders>
              <w:top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关键成功因素</w:t>
            </w:r>
          </w:p>
        </w:tc>
        <w:tc>
          <w:tcPr>
            <w:tcW w:w="3010" w:type="dxa"/>
            <w:tcBorders>
              <w:top w:val="single" w:sz="8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关键绩效指标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保证利润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利润率人均利润率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增加销售收入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销售额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来自客户的销售收入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来自渠道线的销售收入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来自大客户的销售收入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来自行业线的销售收入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来自产品的销售收入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来自核心产品的销售收入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来自新产品的销售收入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提高市场份额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来自老客户的销售收入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来自新客户的销售收入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提高资产运营效率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加速资产利用率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库存周转率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应付账款周转率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应收账款周转率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总资产周转率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固定资产周转率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降低成本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费用率</w:t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控制和降低人员成本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人员成本增长率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控制与降低销售费用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销售费用率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控制与降低物流成本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物流成本率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控制与降低研发成本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项目研发费用率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研发费用增长率与毛利率增长之比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控制与降低维修服务成本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维修服务费用率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加强预算管理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预算制定、调整按时开展和完成率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实际费用与预算的差异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加强应收账款管理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应收账款逾期率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应收账款回款期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逾期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年以上应收账款比率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808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坏账率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增加客户价值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提高客户满意度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客户满意度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提高用户满意度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售后服务质量满意度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产品质量满意度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产品到货的及时性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售后服务回访的及时性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对客户需求响应的及时性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降低投诉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对产品质量的投诉次数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对服务质量的投诉次数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建立良好的企业和品牌形象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品牌认知度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提高市场活动有效性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市场活动参加的比率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市场活动效果评估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行业信息收集的及时性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行业信息收集的完整性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市场调研的质量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著名品牌、专利申报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国家、省、市各类投资申报效果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知识产权申报的及时性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品牌申报成功率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提高内部运营效率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新产品研发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新产品研发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新产品开发数量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新产品开发周期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专利数量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研发目标达成率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提高技术创新的效率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需求分析的准确性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计划偏差率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产品上市周期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渠道建设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经销商管理体系的执行效果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提高质量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提高研发质量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产品重大缺陷数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产品生命周期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研发质量的投诉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提高产品生产质量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开箱不良率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产品生产质量的投诉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加强质量管理监管力度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质量体系的完善性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质量检查的效果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质量检查的及时性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分析报告的有效性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基础管理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制度、流程的完善性、执行力度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制度的完善性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制度的推广及时性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制度、流程执行的符合度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提高职能管理水平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职能部门服务满意度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档案管理的及时性、准确性</w:t>
            </w:r>
          </w:p>
        </w:tc>
      </w:tr>
      <w:tr>
        <w:trPr>
          <w:trHeight w:val="360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提高人力资源工作的有效性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人员规划开展的及时性</w:t>
            </w:r>
          </w:p>
        </w:tc>
      </w:tr>
      <w:tr>
        <w:trPr>
          <w:trHeight w:val="360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实际人数与定编人数的差异</w:t>
            </w:r>
          </w:p>
        </w:tc>
      </w:tr>
      <w:tr>
        <w:trPr>
          <w:trHeight w:val="360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薪酬体系的完善性</w:t>
            </w:r>
          </w:p>
        </w:tc>
      </w:tr>
      <w:tr>
        <w:trPr>
          <w:trHeight w:val="360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招聘平均天数</w:t>
            </w:r>
          </w:p>
        </w:tc>
      </w:tr>
      <w:tr>
        <w:trPr>
          <w:trHeight w:val="360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招聘成功率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各项工作的准确性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提高财务工作开展的有效性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财务工作开展的及时性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财务工作开展的有效性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提高信息技术服务的有效性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软硬件系统事故次数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软硬件系统事故处理的及时性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信息安全管理的及时性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信息系统建设完成率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固定资产管理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定期盘点的及时性、准确性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资产与账务的符合度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加强各类档案管理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档案存档的及时性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档案的完善性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提高客户关系管理水平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客户档案的完备率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服务的规范性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提高项目管理水平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项目按时达成率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项目质量合格率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项目预算达成率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内审工作的质量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内审报告的质量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内审计划按时开展的比率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内审报告的及时性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提高供应链管理水平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采购质量检验合格率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采购成本降低的比率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库存控制的合理性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供应商档案完善性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库存盘点符合率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采购订单执行率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运输过程产品损坏率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企业文化建设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积极建设企业文化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刊物发行的及时性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各类公司活动组织的效果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提高员工技能和满意度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管理人员的管理技能提升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培训课程体系建立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课程体系建立的完成时间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内部讲师的培养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培训积分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培训积分完成率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培训的组织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培训满意度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人才队伍建设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员工晋升体系的建立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晋升制度的制定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晋升课程体系的建立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晋升体系的执行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人才储备达成率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核心员工管理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核心员工访谈开展的及时性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核心员工访谈报告的及时性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绩效体系的建立完善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考核体系的建立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绩效考核的推行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考核完成比率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</w:t>
            </w:r>
          </w:p>
        </w:tc>
        <w:tc>
          <w:tcPr>
            <w:tcW w:w="141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员工满意度调查</w:t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满意度调查开展的及时性</w:t>
            </w:r>
          </w:p>
        </w:tc>
      </w:tr>
      <w:tr>
        <w:trPr>
          <w:trHeight w:val="345" w:hRule="atLeast"/>
        </w:trPr>
        <w:tc>
          <w:tcPr>
            <w:tcW w:w="10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2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4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1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满意度调查报告的及时性</w:t>
            </w:r>
          </w:p>
        </w:tc>
      </w:tr>
    </w:tbl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  <w:szCs w:val="24"/>
        </w:rPr>
        <w:t>红色表示重要或核心指标</w:t>
      </w:r>
      <w:r>
        <w:br w:type="page"/>
      </w:r>
    </w:p>
    <w:p>
      <w:pPr>
        <w:pStyle w:val="Heading2"/>
        <w:spacing w:lineRule="auto" w:line="360" w:before="0" w:after="0"/>
        <w:ind w:firstLine="362"/>
        <w:rPr>
          <w:rFonts w:ascii="楷体;汉仪楷体KW" w:hAnsi="楷体;汉仪楷体KW" w:eastAsia="楷体;汉仪楷体KW" w:cs="楷体;汉仪楷体KW"/>
          <w:b w:val="false"/>
          <w:b w:val="false"/>
          <w:color w:val="000000"/>
          <w:sz w:val="24"/>
          <w:szCs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五、各部门指标库</w:t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b/>
          <w:b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b/>
          <w:color w:val="000000"/>
          <w:sz w:val="24"/>
          <w:szCs w:val="24"/>
        </w:rPr>
      </w:r>
    </w:p>
    <w:tbl>
      <w:tblPr>
        <w:tblW w:w="1112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3"/>
        <w:gridCol w:w="764"/>
        <w:gridCol w:w="525"/>
        <w:gridCol w:w="2379"/>
        <w:gridCol w:w="4722"/>
        <w:gridCol w:w="590"/>
        <w:gridCol w:w="1632"/>
      </w:tblGrid>
      <w:tr>
        <w:trPr>
          <w:trHeight w:val="453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3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考核指标</w:t>
            </w:r>
          </w:p>
        </w:tc>
        <w:tc>
          <w:tcPr>
            <w:tcW w:w="47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定义</w:t>
            </w: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公式</w:t>
            </w: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3366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数据来源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人力资源部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人工成本增长率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[(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本年工资福利支出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上年工资福利支出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上年工资福利支出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]×100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招聘费用预算达成率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实际发生费用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培训费用预算达成率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实际发生费用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对员工进行满意度调查的算术平均值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内部流程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培训计划完成率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实际培训课时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计划培训课时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员工培训满意率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根据《满意度调查表》计算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招聘计划完成率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实际招聘人数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计划招聘人数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空缺职位招聘周期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所有岗位招聘天数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招聘岗位数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试用期员工被动离职率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试用期内被动离职人数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试用期员工数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人员编制控制率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计划编制人数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劳动合同签定率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已签定劳动合同人数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人事工作办理的差错次数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工资发放差错次数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员工绩效考核的比例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实际考核人数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应考核人数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绩效申诉处理的及时性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制度体系等的建立、完善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8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学习与发展</w:t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培训积分完成率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实际完成积分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计划完成积分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总资产周转率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总资产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平均应收账款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应付账款周转率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平均应付账款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平均库存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销售收入净额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固定资产平均净值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利润总额完成率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实际完成利润总额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计划利润总额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)×100%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采购成本占总成本比率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总成本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会计核算差错次数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会计报表差错次数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成本核算差错率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会计凭证差错次数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成本分析的及时性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按照延迟次数计算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现金帐差错次数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固定资产财务报表准确性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税务核算及申报完成及时性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按照延迟次数计算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财务及税务报表准确性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销售收入和销售成本明细帐准确性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销售收入和销售税金的准确性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费用报表准确性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费用明细台帐准确性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会计凭证编制准确性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人员编制控制率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计划编制人数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对员工进行满意度调查的算术平均值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小时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项目预算准确率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固定资产管理的准确性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后勤管理工作重大差错次数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对员工进行满意度调查的算术平均值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小时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项目外联部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项目申报完成率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实际申报到的金额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计划申报金额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项目外联部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项目外联部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各类资质申报的及时性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项目外联部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对员工进行满意度调查的算术平均值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top w:val="single" w:sz="8" w:space="0" w:color="0000FF"/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客户接待部</w:t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客户接待部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客户接待部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对员工进行满意度调查的算术平均值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销售中心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销售计划完成率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实际销售额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计划销售额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渠道线的销售收入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渠道线销售收入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大客户的销售收入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大客户销售收入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行业线的销售收入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行业线销售收入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核心产品的销售收入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核心产品销售收入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老客户的销售收入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老客户销售收入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新客户的销售收入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新客户销售收入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回款率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已回收账款总额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平均应收账款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应收账款逾期率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逾期应收账款总额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逾期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年以上应收账款比率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(3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年以上账款总额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坏账率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坏账总额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应收账款总额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人均销售额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实际销售总额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区域人数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销售费用率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实际销售费用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销售费用预算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毛利率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营业成本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满意度调查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人员编制控制率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计划编制人数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制度体系等的建立、完善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质量管理部</w:t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客户对质量的满意度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满意度调查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质检工作及时完成率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实际质检次数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应完成质检次数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产品质量合格率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合格的产品数量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产品总数量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开箱不良率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不良产品数量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开箱检查产品总数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制度体系等的建立、完善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重大质量事故次数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按照实际发生次数计算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部</w:t>
            </w:r>
          </w:p>
        </w:tc>
        <w:tc>
          <w:tcPr>
            <w:tcW w:w="764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软硬件系统事故次数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按照实际发生次数计算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软硬件系统事故处理的及时性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按照延误次数计算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项目费用预算的准确性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[∑(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预算费用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)]/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项目个数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项目完成的及时性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按照延误次数计算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制度体系等的建立、完善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IT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研发中心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研发费用增长与毛利率之比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研发费用增长比率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毛利率增长比率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新产品收入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新产品销售额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)×100%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研发费用率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研发投入费用总额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销售收入总额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计划偏差率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实际周期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计划周期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计划周期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流程符合度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(1-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不符合流程规范的项数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要求符合规范的项数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技术评审通过率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技术评审通过次数之和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提交评审次数之和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产品的生命周期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专利数量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申报成功的专利数量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项目外联部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重大质量缺陷数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按缺陷数量计算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人员编制控制率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计划编制人数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核心员工离职人数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产品中心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销售计划完成率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实际销售额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计划销售额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产品线毛利率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产品线销售收入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营业成本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产品需求准确度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新产品立项率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新产品立项数量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公司要求的总数量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研发中心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培训计划完成率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实际培训课时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计划培训课时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员工培训满意率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根据《满意度调查表》计算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产品的生命周期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培训课程开发的及时性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按照延误次数计算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产品资料的完整性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按照不完整次数、点数计算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产品中心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restart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b/>
                <w:bCs/>
                <w:color w:val="000000"/>
                <w:kern w:val="0"/>
                <w:sz w:val="24"/>
                <w:szCs w:val="24"/>
              </w:rPr>
              <w:t>生产保障部</w:t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应付账款周转率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平均应付账款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库存周转率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销售收入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平均库存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采购成本占总成本比率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总成本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平均采购成本降低率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上年同期采购价－当年同期采购价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当年同期采购价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部门费用预算完成率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实际部门费用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计划费用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财务部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采购质量检验合格率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上年同期采购价－当年同期采购价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当年同期采购价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供应商资料完整性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按照不完整次数、点数计算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库存盘点符合率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按照误差次数计算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盘损率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（盘损金额／期初存货与中期进货的总金额）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开箱不良率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不良产品数量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开箱检查产品总数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订单完成的及时性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按照延误次数计算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产品返修率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返修产品数量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发货数量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产品报损率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报损金额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库存总金额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年以上仓储产品金额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(1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年以上仓储产品金额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库存总金额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5S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管理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质量管理部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重点工作开展的情况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按照计划进行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dotDash" w:sz="4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各项工作开展的及时性、准确性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按照延期及误差的人、次计算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生产保障部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restart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学习发展类</w:t>
            </w:r>
          </w:p>
        </w:tc>
        <w:tc>
          <w:tcPr>
            <w:tcW w:w="525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379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员工离职率</w:t>
            </w:r>
          </w:p>
        </w:tc>
        <w:tc>
          <w:tcPr>
            <w:tcW w:w="472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离职人数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员工人数</w:t>
            </w: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)×100</w:t>
            </w: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590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1632" w:type="dxa"/>
            <w:tcBorders>
              <w:bottom w:val="dotDash" w:sz="4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  <w:tr>
        <w:trPr>
          <w:trHeight w:val="483" w:hRule="atLeast"/>
        </w:trPr>
        <w:tc>
          <w:tcPr>
            <w:tcW w:w="513" w:type="dxa"/>
            <w:vMerge w:val="continue"/>
            <w:tcBorders>
              <w:start w:val="single" w:sz="12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764" w:type="dxa"/>
            <w:vMerge w:val="continue"/>
            <w:tcBorders>
              <w:start w:val="dotDash" w:sz="4" w:space="0" w:color="0000FF"/>
              <w:bottom w:val="single" w:sz="8" w:space="0" w:color="0000FF"/>
              <w:end w:val="dotDash" w:sz="4" w:space="0" w:color="0000FF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;汉仪楷体KW" w:hAnsi="楷体;汉仪楷体KW" w:eastAsia="楷体;汉仪楷体KW" w:cs="宋体;汉仪书宋二KW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525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;汉仪楷体KW" w:cs="宋体;汉仪书宋二KW" w:ascii="楷体;汉仪楷体KW" w:hAnsi="楷体;汉仪楷体KW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379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部门人均培训学时完成率</w:t>
            </w:r>
          </w:p>
        </w:tc>
        <w:tc>
          <w:tcPr>
            <w:tcW w:w="472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实际人均培训学时计划培训人均学时</w:t>
            </w:r>
          </w:p>
        </w:tc>
        <w:tc>
          <w:tcPr>
            <w:tcW w:w="590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2" w:type="dxa"/>
            <w:tcBorders>
              <w:bottom w:val="single" w:sz="8" w:space="0" w:color="0000FF"/>
              <w:end w:val="dotDash" w:sz="4" w:space="0" w:color="0000FF"/>
            </w:tcBorders>
            <w:shd w:fill="FFFFFF" w:val="clear"/>
            <w:vAlign w:val="bottom"/>
          </w:tcPr>
          <w:p>
            <w:pPr>
              <w:pStyle w:val="Normal"/>
              <w:widowControl/>
              <w:jc w:val="start"/>
              <w:rPr>
                <w:rFonts w:ascii="楷体;汉仪楷体KW" w:hAnsi="楷体;汉仪楷体KW" w:eastAsia="楷体;汉仪楷体KW" w:cs="宋体;汉仪书宋二KW"/>
                <w:color w:val="000000"/>
                <w:kern w:val="0"/>
                <w:sz w:val="24"/>
                <w:szCs w:val="24"/>
              </w:rPr>
            </w:pPr>
            <w:r>
              <w:rPr>
                <w:rFonts w:ascii="楷体;汉仪楷体KW" w:hAnsi="楷体;汉仪楷体KW" w:cs="宋体;汉仪书宋二KW" w:eastAsia="楷体;汉仪楷体KW"/>
                <w:color w:val="000000"/>
                <w:kern w:val="0"/>
                <w:sz w:val="24"/>
                <w:szCs w:val="24"/>
              </w:rPr>
              <w:t>人力资源部</w:t>
            </w:r>
          </w:p>
        </w:tc>
      </w:tr>
    </w:tbl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p>
      <w:pPr>
        <w:pStyle w:val="Normal"/>
        <w:spacing w:lineRule="exact" w:line="400"/>
        <w:rPr>
          <w:rFonts w:ascii="楷体;汉仪楷体KW" w:hAnsi="楷体;汉仪楷体KW" w:eastAsia="楷体;汉仪楷体KW" w:cs="楷体;汉仪楷体KW"/>
          <w:color w:val="000000"/>
          <w:sz w:val="24"/>
          <w:szCs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7" w:top="851" w:footer="57" w:bottom="851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altName w:val="Helvetica Neue"/>
    <w:charset w:val="00" w:characterSet="windows-1252"/>
    <w:family w:val="swiss"/>
    <w:pitch w:val="default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86"/>
    <w:family w:val="auto"/>
    <w:pitch w:val="default"/>
  </w:font>
  <w:font w:name="楷体">
    <w:altName w:val="汉仪楷体KW"/>
    <w:charset w:val="00" w:characterSet="windows-1252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;Helvetica Neue" w:hAnsi="Calibri;Helvetica Neue" w:eastAsia="宋体;汉仪书宋二KW" w:cs="Calibri;Helvetica Neue"/>
      <w:color w:val="auto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2Char">
    <w:name w:val="标题 2 Char"/>
    <w:basedOn w:val="Style13"/>
    <w:qFormat/>
    <w:rPr>
      <w:rFonts w:ascii="Arial" w:hAnsi="Arial" w:eastAsia="黑体;汉仪中黑KW" w:cs="Arial"/>
      <w:b/>
      <w:bCs/>
      <w:kern w:val="2"/>
      <w:sz w:val="32"/>
      <w:szCs w:val="32"/>
    </w:rPr>
  </w:style>
  <w:style w:type="character" w:styleId="Char">
    <w:name w:val="页脚 Char"/>
    <w:qFormat/>
    <w:rPr>
      <w:rFonts w:eastAsia="宋体;汉仪书宋二KW"/>
      <w:kern w:val="2"/>
      <w:sz w:val="18"/>
      <w:szCs w:val="18"/>
      <w:lang w:val="en-US" w:eastAsia="zh-CN" w:bidi="ar-SA"/>
    </w:rPr>
  </w:style>
  <w:style w:type="character" w:styleId="11pt">
    <w:name w:val="11pt"/>
    <w:basedOn w:val="Style13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rFonts w:ascii="Times New Roman" w:hAnsi="Times New Roman" w:cs="Times New Roman"/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;汉仪书宋二KW" w:hAnsi="宋体;汉仪书宋二KW" w:cs="宋体;汉仪书宋二KW"/>
      <w:kern w:val="0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0绩效改进与绩效评价表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2012-10-25T00:28:00Z</dcterms:created>
  <dc:creator>Administrator</dc:creator>
  <dc:description/>
  <dc:language>en-US</dc:language>
  <cp:lastModifiedBy>dae</cp:lastModifiedBy>
  <dcterms:modified xsi:type="dcterms:W3CDTF">2022-03-03T06:20:12Z</dcterms:modified>
  <cp:revision>4</cp:revision>
  <dc:subject/>
  <dc:title>绩效改进与绩效评价表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