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Bdr>
          <w:bottom w:val="none" w:color="auto" w:sz="0" w:space="0"/>
        </w:pBdr>
        <w:spacing w:line="360" w:lineRule="auto"/>
        <w:jc w:val="center"/>
        <w:rPr>
          <w:rFonts w:hint="eastAsia" w:ascii="楷体" w:hAnsi="楷体" w:eastAsia="楷体" w:cs="Verdana"/>
          <w:b/>
          <w:color w:val="221E1F"/>
          <w:sz w:val="36"/>
        </w:rPr>
      </w:pPr>
      <w:r>
        <w:rPr>
          <w:rFonts w:hint="eastAsia" w:ascii="楷体" w:hAnsi="楷体" w:eastAsia="楷体" w:cs="Verdana"/>
          <w:b/>
          <w:color w:val="221E1F"/>
          <w:sz w:val="36"/>
        </w:rPr>
        <w:t>某企业</w:t>
      </w:r>
      <w:bookmarkStart w:id="0" w:name="_GoBack"/>
      <w:r>
        <w:rPr>
          <w:rFonts w:hint="eastAsia" w:ascii="楷体" w:hAnsi="楷体" w:eastAsia="楷体" w:cs="Verdana"/>
          <w:b/>
          <w:color w:val="221E1F"/>
          <w:sz w:val="36"/>
        </w:rPr>
        <w:t>总经理及其高管团队年度绩效考核</w:t>
      </w:r>
    </w:p>
    <w:p>
      <w:pPr>
        <w:pStyle w:val="5"/>
        <w:pBdr>
          <w:bottom w:val="none" w:color="auto" w:sz="0" w:space="0"/>
        </w:pBdr>
        <w:spacing w:line="360" w:lineRule="auto"/>
        <w:jc w:val="center"/>
        <w:rPr>
          <w:rFonts w:hint="eastAsia" w:ascii="楷体" w:hAnsi="楷体" w:eastAsia="楷体" w:cs="Verdana"/>
          <w:b/>
          <w:color w:val="221E1F"/>
          <w:sz w:val="36"/>
        </w:rPr>
      </w:pPr>
      <w:r>
        <w:rPr>
          <w:rFonts w:hint="eastAsia" w:ascii="楷体" w:hAnsi="楷体" w:eastAsia="楷体" w:cs="Verdana"/>
          <w:b/>
          <w:color w:val="221E1F"/>
          <w:sz w:val="36"/>
        </w:rPr>
        <w:t>与薪酬管理办法</w:t>
      </w:r>
      <w:bookmarkEnd w:id="0"/>
    </w:p>
    <w:p>
      <w:pPr>
        <w:pStyle w:val="5"/>
        <w:spacing w:line="360" w:lineRule="auto"/>
        <w:ind w:firstLine="480" w:firstLineChars="200"/>
        <w:jc w:val="both"/>
        <w:rPr>
          <w:rFonts w:ascii="楷体" w:hAnsi="楷体" w:eastAsia="楷体" w:cs="方正楷体简体"/>
          <w:b/>
          <w:color w:val="221E1F"/>
        </w:rPr>
      </w:pPr>
      <w:r>
        <w:rPr>
          <w:rFonts w:hint="eastAsia" w:ascii="楷体" w:hAnsi="楷体" w:eastAsia="楷体" w:cs="Verdana"/>
          <w:b/>
          <w:color w:val="221E1F"/>
        </w:rPr>
        <w:t>一、目的</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强化以目标责任结果为贡献评价根本标准的公司价值评价体系，确保公司年度各项经营目标的达成。</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促使公司总经理及其高管团队不断提升个人自身素质，树立良好的品德和领袖风范。激发献身精神和奋斗精神，不计个人得失，勇于承担目标责任。</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促使公司高管团队关注公司整体团队运作，注重团队士气和组织气氛的营造，重视关键员工的培养和干部梯队的建设。</w:t>
      </w:r>
    </w:p>
    <w:p>
      <w:pPr>
        <w:pStyle w:val="8"/>
        <w:spacing w:line="360" w:lineRule="auto"/>
        <w:ind w:firstLine="480" w:firstLineChars="200"/>
        <w:jc w:val="both"/>
        <w:rPr>
          <w:rFonts w:hint="eastAsia"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年度薪酬激励分配以年度绩效考核结果为根本标准，同时也作为下一年度公司总经理及其高管团队安排的依据，促进建立公司管理者能上能下的机制。</w:t>
      </w:r>
    </w:p>
    <w:p>
      <w:pPr>
        <w:pStyle w:val="5"/>
        <w:spacing w:line="360" w:lineRule="auto"/>
        <w:ind w:firstLine="480" w:firstLineChars="200"/>
        <w:jc w:val="both"/>
        <w:rPr>
          <w:rFonts w:hint="eastAsia" w:ascii="楷体" w:hAnsi="楷体" w:eastAsia="楷体" w:cs="Verdana"/>
          <w:b/>
          <w:color w:val="221E1F"/>
        </w:rPr>
      </w:pPr>
      <w:r>
        <w:rPr>
          <w:rFonts w:hint="eastAsia" w:ascii="楷体" w:hAnsi="楷体" w:eastAsia="楷体" w:cs="Verdana"/>
          <w:b/>
          <w:color w:val="221E1F"/>
        </w:rPr>
        <w:t>二、适用范围</w:t>
      </w:r>
    </w:p>
    <w:p>
      <w:pPr>
        <w:pStyle w:val="9"/>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经公司董事会决议聘任的公司总经理、公司副总经理级别公司高级管理人员的年度绩效考核与薪酬管理工作适用本办法，具体包括以下内容。</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公司总经理及其高管团队年度绩效目标的确定与完成情况考核的执行。</w:t>
      </w:r>
    </w:p>
    <w:p>
      <w:pPr>
        <w:pStyle w:val="5"/>
        <w:spacing w:line="360" w:lineRule="auto"/>
        <w:ind w:firstLine="480" w:firstLineChars="200"/>
        <w:jc w:val="both"/>
        <w:rPr>
          <w:rFonts w:hint="eastAsia" w:ascii="楷体" w:hAnsi="楷体" w:eastAsia="楷体" w:cs="Verdana"/>
          <w:color w:val="221E1F"/>
        </w:rPr>
      </w:pPr>
      <w:r>
        <w:rPr>
          <w:rFonts w:ascii="楷体" w:hAnsi="楷体" w:eastAsia="楷体" w:cs="Verdana"/>
          <w:color w:val="221E1F"/>
        </w:rPr>
        <w:t xml:space="preserve">(2) </w:t>
      </w:r>
      <w:r>
        <w:rPr>
          <w:rFonts w:hint="eastAsia" w:ascii="楷体" w:hAnsi="楷体" w:eastAsia="楷体" w:cs="Verdana"/>
          <w:color w:val="221E1F"/>
        </w:rPr>
        <w:t>与年度绩效目标挂钩的公司总经理年度薪酬包的确定与执行。</w:t>
      </w:r>
    </w:p>
    <w:p>
      <w:pPr>
        <w:pStyle w:val="5"/>
        <w:spacing w:line="360" w:lineRule="auto"/>
        <w:ind w:firstLine="480" w:firstLineChars="200"/>
        <w:jc w:val="both"/>
        <w:rPr>
          <w:rFonts w:hint="eastAsia" w:ascii="楷体" w:hAnsi="楷体" w:eastAsia="楷体" w:cs="Verdana"/>
          <w:color w:val="221E1F"/>
        </w:rPr>
      </w:pPr>
      <w:r>
        <w:rPr>
          <w:rFonts w:ascii="楷体" w:hAnsi="楷体" w:eastAsia="楷体" w:cs="Verdana"/>
          <w:color w:val="221E1F"/>
        </w:rPr>
        <w:t xml:space="preserve">(3) </w:t>
      </w:r>
      <w:r>
        <w:rPr>
          <w:rFonts w:hint="eastAsia" w:ascii="楷体" w:hAnsi="楷体" w:eastAsia="楷体" w:cs="Verdana"/>
          <w:color w:val="221E1F"/>
        </w:rPr>
        <w:t>与年度绩效目标挂钩的除总经理外的其他高管团队整体年度薪酬包的确定与执行。</w:t>
      </w:r>
    </w:p>
    <w:p>
      <w:pPr>
        <w:pStyle w:val="5"/>
        <w:spacing w:line="360" w:lineRule="auto"/>
        <w:ind w:firstLine="480" w:firstLineChars="200"/>
        <w:jc w:val="both"/>
        <w:rPr>
          <w:rFonts w:ascii="楷体" w:hAnsi="楷体" w:eastAsia="楷体" w:cs="Verdana"/>
          <w:b/>
          <w:color w:val="221E1F"/>
        </w:rPr>
      </w:pPr>
      <w:r>
        <w:rPr>
          <w:rFonts w:hint="eastAsia" w:ascii="楷体" w:hAnsi="楷体" w:eastAsia="楷体" w:cs="Verdana"/>
          <w:b/>
          <w:color w:val="221E1F"/>
        </w:rPr>
        <w:t>三、指导原则</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责任结果导向原则。强调以责任结果为价值评价导向，关注个人绩效目标的达成，同时也关注对公司整体绩效目标的支撑。</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述职与考核相结合原则。通过述职，促进公司总经理及其高管团队理清思路，抓住重点，合理配置资源，确保对公司年度绩效目标的支撑；通过承诺与考核，强化执行落实与组织协作意识，不断提高组织的整体绩效。</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公司绩效与团队绩效、个人绩效结合原则。为增强公司总经理及其高管团队的责任和目标意识，公司总经理及其高管团队须就公司年度绩效目标进行承诺。同时，绩效承诺达成的结果即绩效考核成绩直接影响公司整体薪酬包额度、公司总经理年度薪酬包额度以及除公司总经理外其他高管整体年度薪酬包额度。</w:t>
      </w:r>
    </w:p>
    <w:p>
      <w:pPr>
        <w:pStyle w:val="5"/>
        <w:spacing w:line="360" w:lineRule="auto"/>
        <w:ind w:firstLine="480" w:firstLineChars="200"/>
        <w:jc w:val="both"/>
        <w:rPr>
          <w:rFonts w:hint="eastAsia"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客观公正原则。强调依据结果数据和事实进行评价。</w:t>
      </w:r>
    </w:p>
    <w:p>
      <w:pPr>
        <w:pStyle w:val="5"/>
        <w:spacing w:line="360" w:lineRule="auto"/>
        <w:ind w:firstLine="480" w:firstLineChars="200"/>
        <w:jc w:val="both"/>
        <w:rPr>
          <w:rFonts w:ascii="楷体" w:hAnsi="楷体" w:eastAsia="楷体" w:cs="Verdana"/>
          <w:b/>
          <w:color w:val="221E1F"/>
        </w:rPr>
      </w:pPr>
      <w:r>
        <w:rPr>
          <w:rFonts w:hint="eastAsia" w:ascii="楷体" w:hAnsi="楷体" w:eastAsia="楷体" w:cs="Verdana"/>
          <w:b/>
          <w:color w:val="221E1F"/>
        </w:rPr>
        <w:t>四、年度绩效目标承诺与完成结果考核流程</w:t>
      </w:r>
    </w:p>
    <w:p>
      <w:pPr>
        <w:pStyle w:val="5"/>
        <w:spacing w:line="360" w:lineRule="auto"/>
        <w:ind w:left="48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公司总经理及其高管团队的年度绩效目标承诺与考核流程</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年初的公司总经理及其高管团队的年度经营计划述职与绩效目标承诺</w:t>
      </w:r>
      <w:r>
        <w:rPr>
          <w:rFonts w:ascii="楷体" w:hAnsi="楷体" w:eastAsia="楷体" w:cs="Verdana"/>
          <w:color w:val="221E1F"/>
        </w:rPr>
        <w:t>(</w:t>
      </w:r>
      <w:r>
        <w:rPr>
          <w:rFonts w:hint="eastAsia" w:ascii="楷体" w:hAnsi="楷体" w:eastAsia="楷体" w:cs="Verdana"/>
          <w:color w:val="221E1F"/>
        </w:rPr>
        <w:t>包括持平目标、达标目标、挑战目标</w:t>
      </w:r>
      <w:r>
        <w:rPr>
          <w:rFonts w:ascii="楷体" w:hAnsi="楷体" w:eastAsia="楷体" w:cs="Verdana"/>
          <w:color w:val="221E1F"/>
        </w:rPr>
        <w:t>)</w:t>
      </w:r>
      <w:r>
        <w:rPr>
          <w:rFonts w:hint="eastAsia" w:ascii="楷体" w:hAnsi="楷体" w:eastAsia="楷体" w:cs="Verdana"/>
          <w:color w:val="221E1F"/>
        </w:rPr>
        <w:t>，并分别签订承诺书。</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年中的绩效目标达成情况跟踪。</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第二年年初对上一年的年度绩效综合评议。</w:t>
      </w:r>
    </w:p>
    <w:p>
      <w:pPr>
        <w:pStyle w:val="6"/>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年度经营计划述职</w:t>
      </w:r>
    </w:p>
    <w:p>
      <w:pPr>
        <w:pStyle w:val="6"/>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为推动公司年度经营目标自上而下有效落实，要求公司总经理及其高管团队在年初</w:t>
      </w:r>
      <w:r>
        <w:rPr>
          <w:rFonts w:ascii="楷体" w:hAnsi="楷体" w:eastAsia="楷体" w:cs="Verdana"/>
          <w:color w:val="221E1F"/>
        </w:rPr>
        <w:t>(</w:t>
      </w:r>
      <w:r>
        <w:rPr>
          <w:rFonts w:hint="eastAsia" w:ascii="楷体" w:hAnsi="楷体" w:eastAsia="楷体" w:cs="Verdana"/>
          <w:color w:val="221E1F"/>
        </w:rPr>
        <w:t>一季度</w:t>
      </w:r>
      <w:r>
        <w:rPr>
          <w:rFonts w:ascii="楷体" w:hAnsi="楷体" w:eastAsia="楷体" w:cs="Verdana"/>
          <w:color w:val="221E1F"/>
        </w:rPr>
        <w:t>)</w:t>
      </w:r>
      <w:r>
        <w:rPr>
          <w:rFonts w:hint="eastAsia" w:ascii="楷体" w:hAnsi="楷体" w:eastAsia="楷体" w:cs="Verdana"/>
          <w:color w:val="221E1F"/>
        </w:rPr>
        <w:t>进行年度经营计划述职。原则上要求各副总经理要向总经理述职，具体要求由公司总经理另行规定；公司总经理向董事会考核与薪酬委员会预述职，在经会议审议后，向公司董事会正式述职。</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公司总经理年度经营计划述职的关注点。</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①</w:t>
      </w:r>
      <w:r>
        <w:rPr>
          <w:rFonts w:ascii="楷体" w:hAnsi="楷体" w:eastAsia="楷体" w:cs="Verdana"/>
          <w:color w:val="221E1F"/>
        </w:rPr>
        <w:t xml:space="preserve"> </w:t>
      </w:r>
      <w:r>
        <w:rPr>
          <w:rFonts w:hint="eastAsia" w:ascii="楷体" w:hAnsi="楷体" w:eastAsia="楷体" w:cs="Verdana"/>
          <w:color w:val="221E1F"/>
        </w:rPr>
        <w:t>公司长期规划与重点；</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②</w:t>
      </w:r>
      <w:r>
        <w:rPr>
          <w:rFonts w:ascii="楷体" w:hAnsi="楷体" w:eastAsia="楷体" w:cs="Verdana"/>
          <w:color w:val="221E1F"/>
        </w:rPr>
        <w:t xml:space="preserve"> </w:t>
      </w:r>
      <w:r>
        <w:rPr>
          <w:rFonts w:hint="eastAsia" w:ascii="楷体" w:hAnsi="楷体" w:eastAsia="楷体" w:cs="Verdana"/>
          <w:color w:val="221E1F"/>
        </w:rPr>
        <w:t>公司未来一年的年度经营计划与绩效目标；</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③</w:t>
      </w:r>
      <w:r>
        <w:rPr>
          <w:rFonts w:ascii="楷体" w:hAnsi="楷体" w:eastAsia="楷体" w:cs="Verdana"/>
          <w:color w:val="221E1F"/>
        </w:rPr>
        <w:t xml:space="preserve"> </w:t>
      </w:r>
      <w:r>
        <w:rPr>
          <w:rFonts w:hint="eastAsia" w:ascii="楷体" w:hAnsi="楷体" w:eastAsia="楷体" w:cs="Verdana"/>
          <w:color w:val="221E1F"/>
        </w:rPr>
        <w:t>公司未来一年的财务预算和人力资源规划；</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④</w:t>
      </w:r>
      <w:r>
        <w:rPr>
          <w:rFonts w:ascii="楷体" w:hAnsi="楷体" w:eastAsia="楷体" w:cs="Verdana"/>
          <w:color w:val="221E1F"/>
        </w:rPr>
        <w:t xml:space="preserve"> </w:t>
      </w:r>
      <w:r>
        <w:rPr>
          <w:rFonts w:hint="eastAsia" w:ascii="楷体" w:hAnsi="楷体" w:eastAsia="楷体" w:cs="Verdana"/>
          <w:color w:val="221E1F"/>
        </w:rPr>
        <w:t>公司组织气氛的营造，关键员工的培养和干部梯队建设等相关计划；</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⑤</w:t>
      </w:r>
      <w:r>
        <w:rPr>
          <w:rFonts w:ascii="楷体" w:hAnsi="楷体" w:eastAsia="楷体" w:cs="Verdana"/>
          <w:color w:val="221E1F"/>
        </w:rPr>
        <w:t xml:space="preserve"> </w:t>
      </w:r>
      <w:r>
        <w:rPr>
          <w:rFonts w:hint="eastAsia" w:ascii="楷体" w:hAnsi="楷体" w:eastAsia="楷体" w:cs="Verdana"/>
          <w:color w:val="221E1F"/>
        </w:rPr>
        <w:t>强调质量和客户满意度，落实业务流程优化进展指标；</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⑥</w:t>
      </w:r>
      <w:r>
        <w:rPr>
          <w:rFonts w:ascii="楷体" w:hAnsi="楷体" w:eastAsia="楷体" w:cs="Verdana"/>
          <w:color w:val="221E1F"/>
        </w:rPr>
        <w:t xml:space="preserve"> </w:t>
      </w:r>
      <w:r>
        <w:rPr>
          <w:rFonts w:hint="eastAsia" w:ascii="楷体" w:hAnsi="楷体" w:eastAsia="楷体" w:cs="Verdana"/>
          <w:color w:val="221E1F"/>
        </w:rPr>
        <w:t>强调与业界最佳比较、与上年比较，不断改进；</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其他未来一年工作中需要强化的管理要点。</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公司总经理年度经营计划述职的主要内容。</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①上年度工作回顾</w:t>
      </w:r>
      <w:r>
        <w:rPr>
          <w:rFonts w:ascii="楷体" w:hAnsi="楷体" w:eastAsia="楷体" w:cs="Verdana"/>
          <w:color w:val="221E1F"/>
        </w:rPr>
        <w:t>(</w:t>
      </w:r>
      <w:r>
        <w:rPr>
          <w:rFonts w:hint="eastAsia" w:ascii="楷体" w:hAnsi="楷体" w:eastAsia="楷体" w:cs="Verdana"/>
          <w:color w:val="221E1F"/>
        </w:rPr>
        <w:t>成绩与教训</w:t>
      </w:r>
      <w:r>
        <w:rPr>
          <w:rFonts w:ascii="楷体" w:hAnsi="楷体" w:eastAsia="楷体" w:cs="Verdana"/>
          <w:color w:val="221E1F"/>
        </w:rPr>
        <w:t>)</w:t>
      </w:r>
      <w:r>
        <w:rPr>
          <w:rFonts w:hint="eastAsia" w:ascii="楷体" w:hAnsi="楷体" w:eastAsia="楷体" w:cs="Verdana"/>
          <w:color w:val="221E1F"/>
        </w:rPr>
        <w:t>；</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②</w:t>
      </w:r>
      <w:r>
        <w:rPr>
          <w:rFonts w:ascii="楷体" w:hAnsi="楷体" w:eastAsia="楷体" w:cs="Verdana"/>
          <w:color w:val="221E1F"/>
        </w:rPr>
        <w:t xml:space="preserve"> </w:t>
      </w:r>
      <w:r>
        <w:rPr>
          <w:rFonts w:hint="eastAsia" w:ascii="楷体" w:hAnsi="楷体" w:eastAsia="楷体" w:cs="Verdana"/>
          <w:color w:val="221E1F"/>
        </w:rPr>
        <w:t>与竞争对手及业界最佳基准比较；</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③</w:t>
      </w:r>
      <w:r>
        <w:rPr>
          <w:rFonts w:ascii="楷体" w:hAnsi="楷体" w:eastAsia="楷体" w:cs="Verdana"/>
          <w:color w:val="221E1F"/>
        </w:rPr>
        <w:t xml:space="preserve"> </w:t>
      </w:r>
      <w:r>
        <w:rPr>
          <w:rFonts w:hint="eastAsia" w:ascii="楷体" w:hAnsi="楷体" w:eastAsia="楷体" w:cs="Verdana"/>
          <w:color w:val="221E1F"/>
        </w:rPr>
        <w:t>本年度关键绩效目标承诺；</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④</w:t>
      </w:r>
      <w:r>
        <w:rPr>
          <w:rFonts w:ascii="楷体" w:hAnsi="楷体" w:eastAsia="楷体" w:cs="Verdana"/>
          <w:color w:val="221E1F"/>
        </w:rPr>
        <w:t xml:space="preserve"> </w:t>
      </w:r>
      <w:r>
        <w:rPr>
          <w:rFonts w:hint="eastAsia" w:ascii="楷体" w:hAnsi="楷体" w:eastAsia="楷体" w:cs="Verdana"/>
          <w:color w:val="221E1F"/>
        </w:rPr>
        <w:t>业务策略与关键措施；</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⑤</w:t>
      </w:r>
      <w:r>
        <w:rPr>
          <w:rFonts w:ascii="楷体" w:hAnsi="楷体" w:eastAsia="楷体" w:cs="Verdana"/>
          <w:color w:val="221E1F"/>
        </w:rPr>
        <w:t xml:space="preserve"> </w:t>
      </w:r>
      <w:r>
        <w:rPr>
          <w:rFonts w:hint="eastAsia" w:ascii="楷体" w:hAnsi="楷体" w:eastAsia="楷体" w:cs="Verdana"/>
          <w:color w:val="221E1F"/>
        </w:rPr>
        <w:t>财务及人力预算；</w:t>
      </w:r>
    </w:p>
    <w:p>
      <w:pPr>
        <w:pStyle w:val="5"/>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⑥</w:t>
      </w:r>
      <w:r>
        <w:rPr>
          <w:rFonts w:ascii="楷体" w:hAnsi="楷体" w:eastAsia="楷体" w:cs="Verdana"/>
          <w:color w:val="221E1F"/>
        </w:rPr>
        <w:t xml:space="preserve"> </w:t>
      </w:r>
      <w:r>
        <w:rPr>
          <w:rFonts w:hint="eastAsia" w:ascii="楷体" w:hAnsi="楷体" w:eastAsia="楷体" w:cs="Verdana"/>
          <w:color w:val="221E1F"/>
        </w:rPr>
        <w:t>困难求助等。</w:t>
      </w:r>
    </w:p>
    <w:p>
      <w:pPr>
        <w:pStyle w:val="7"/>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年度绩效目标承诺</w:t>
      </w:r>
    </w:p>
    <w:p>
      <w:pPr>
        <w:pStyle w:val="6"/>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依据年初的述职结果，公司总经理及其高管团队确定并签署年度绩效承诺书。签署后的承诺书由董事会考核与薪酬委员会存档，作为对绩效承诺者进行绩效评价的依据。年度绩效承诺的内容包括以下几项。</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结果目标：公司总经理及其高管团队承诺在考评期内所要达成的绩效结果性目标，分为持平目标、达标目标和挑战目标，以支持公司年度经营绩效目标的实现。</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执行措施：为达成绩效结果性目标，应采取哪些关键措施，以确保结果目标的最终达成。</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团队建设：为保证公司整体绩效的达成，更加高效地促进关键措施的执行和结果目标的达成，应就团队士气和组织气氛的营造、关键员工培养和干部梯队建设等相关方面计划进行承诺。</w:t>
      </w:r>
    </w:p>
    <w:p>
      <w:pPr>
        <w:pStyle w:val="5"/>
        <w:spacing w:line="360" w:lineRule="auto"/>
        <w:ind w:left="480"/>
        <w:jc w:val="both"/>
        <w:rPr>
          <w:rFonts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绩效跟踪</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该阶段由董事会考核与薪酬委员会利用季度财务报告等信息，对公司总经理及其高管团队的绩效目标执行完成状况进行例行跟踪、分析。</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公司年度经营计划及绩效目标一经确定，原则上应保持相对稳定。如确实需要更改，须向董事会考核与薪酬委员会提出申请，经董事会考核与薪酬委员会会议审核，并提交董事会决议通过才能变更，并在董事会考核与薪酬委员会备案。</w:t>
      </w:r>
    </w:p>
    <w:p>
      <w:pPr>
        <w:pStyle w:val="6"/>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5. </w:t>
      </w:r>
      <w:r>
        <w:rPr>
          <w:rFonts w:hint="eastAsia" w:ascii="楷体" w:hAnsi="楷体" w:eastAsia="楷体" w:cs="Verdana"/>
          <w:color w:val="221E1F"/>
        </w:rPr>
        <w:t>年度绩效综合评议</w:t>
      </w:r>
    </w:p>
    <w:p>
      <w:pPr>
        <w:pStyle w:val="6"/>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对照公司总经理及其高管团队年度绩效承诺目标的达成状况，董事会考核与薪酬委员会进行综合评议并给出初评意见，双方将初评意见与公司总经理及其高管团队进行反馈沟通后，提交董事会会议审议通过，确定最终年度绩效考核结果。</w:t>
      </w:r>
    </w:p>
    <w:p>
      <w:pPr>
        <w:pStyle w:val="5"/>
        <w:spacing w:line="360" w:lineRule="auto"/>
        <w:ind w:firstLine="480" w:firstLineChars="200"/>
        <w:jc w:val="both"/>
        <w:rPr>
          <w:rFonts w:ascii="楷体" w:hAnsi="楷体" w:eastAsia="楷体" w:cs="Verdana"/>
          <w:b/>
          <w:color w:val="221E1F"/>
        </w:rPr>
      </w:pPr>
      <w:r>
        <w:rPr>
          <w:rFonts w:hint="eastAsia" w:ascii="楷体" w:hAnsi="楷体" w:eastAsia="楷体" w:cs="Verdana"/>
          <w:b/>
          <w:color w:val="221E1F"/>
        </w:rPr>
        <w:t>五、年度绩效考核职责分工</w:t>
      </w:r>
    </w:p>
    <w:p>
      <w:pPr>
        <w:pStyle w:val="8"/>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董事会</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评审公司总经理及其高管团队的年度经营计划述职报告；</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与公司总经理及其高管团队讨论确定其年度绩效目标承诺；</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建立并组织实施例行的绩效分析评审会，针对公司总经理及其高管团队的绩效承诺和改进要求，及时监控与指导；</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负责对公司总经理及其高管团队进行年度绩效考核，确定绩效考核结果；</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(5) </w:t>
      </w:r>
      <w:r>
        <w:rPr>
          <w:rFonts w:hint="eastAsia" w:ascii="楷体" w:hAnsi="楷体" w:eastAsia="楷体" w:cs="Verdana"/>
          <w:color w:val="221E1F"/>
        </w:rPr>
        <w:t>就年度绩效考核结果，向公司总经理及其高管团队进行沟通反馈。</w:t>
      </w:r>
    </w:p>
    <w:p>
      <w:pPr>
        <w:pStyle w:val="5"/>
        <w:spacing w:line="360" w:lineRule="auto"/>
        <w:ind w:left="48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公司总经理及其高管团队</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年初根据要求，撰写述职报告，向董事会进行年度述职；</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与董事会一起讨论确定并签署年度绩效承诺书；</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参与董事会组织的例行跟踪、分析和评审会议，按照评审的意见组织不断进行绩效改进；</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承诺书中相关工作内容如有较大变更，应及时向董事会提出对承诺书的修改意见，以及向董事会考核与薪酬委员会提出修改申请。</w:t>
      </w:r>
    </w:p>
    <w:p>
      <w:pPr>
        <w:pStyle w:val="8"/>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董事会考核与薪酬委员会</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考核实施的组织部门，确保绩效考核符合流程规范；</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协助公司总经理及其高管团队制定年初述职报告和年度绩效承诺目标书；</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收集、跟踪公司总经理及其高管团队承诺目标的达成情况，并进行必要分析；</w:t>
      </w:r>
    </w:p>
    <w:p>
      <w:pPr>
        <w:pStyle w:val="5"/>
        <w:spacing w:line="360" w:lineRule="auto"/>
        <w:ind w:firstLine="480" w:firstLineChars="200"/>
        <w:jc w:val="both"/>
        <w:rPr>
          <w:rFonts w:hint="eastAsia" w:ascii="楷体" w:hAnsi="楷体" w:eastAsia="楷体" w:cs="方正楷体简体"/>
          <w:color w:val="221E1F"/>
        </w:rPr>
      </w:pPr>
      <w:r>
        <w:rPr>
          <w:rFonts w:ascii="楷体" w:hAnsi="楷体" w:eastAsia="楷体" w:cs="Verdana"/>
          <w:color w:val="221E1F"/>
        </w:rPr>
        <w:t xml:space="preserve">(4) </w:t>
      </w:r>
      <w:r>
        <w:rPr>
          <w:rFonts w:hint="eastAsia" w:ascii="楷体" w:hAnsi="楷体" w:eastAsia="楷体" w:cs="Verdana"/>
          <w:color w:val="221E1F"/>
        </w:rPr>
        <w:t>负责公司总经理及其高管团队的述职、例行绩效分析评审、年终考核的初评会议，提出初评意见并与公司总经理及其高管团队进行沟通反馈。</w:t>
      </w:r>
    </w:p>
    <w:p>
      <w:pPr>
        <w:pStyle w:val="5"/>
        <w:spacing w:line="360" w:lineRule="auto"/>
        <w:ind w:firstLine="480" w:firstLineChars="200"/>
        <w:jc w:val="both"/>
        <w:rPr>
          <w:rFonts w:ascii="楷体" w:hAnsi="楷体" w:eastAsia="楷体" w:cs="Verdana"/>
          <w:b/>
          <w:color w:val="221E1F"/>
        </w:rPr>
      </w:pPr>
      <w:r>
        <w:rPr>
          <w:rFonts w:hint="eastAsia" w:ascii="楷体" w:hAnsi="楷体" w:eastAsia="楷体" w:cs="Verdana"/>
          <w:b/>
          <w:color w:val="221E1F"/>
        </w:rPr>
        <w:t>六、年度绩效目标承诺及考核结果的应用</w:t>
      </w:r>
    </w:p>
    <w:p>
      <w:pPr>
        <w:pStyle w:val="8"/>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考核结果的得出</w:t>
      </w:r>
    </w:p>
    <w:p>
      <w:pPr>
        <w:pStyle w:val="6"/>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年度绩效综合评议结果主要采取参照年度绩效承诺指标达成目标值的情况进行考核并以加权记分的方式得出，具体记分方式包括以下几项。</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年度绩效指标达成持平目标值的为</w:t>
      </w:r>
      <w:r>
        <w:rPr>
          <w:rFonts w:ascii="楷体" w:hAnsi="楷体" w:eastAsia="楷体" w:cs="Verdana"/>
          <w:color w:val="221E1F"/>
        </w:rPr>
        <w:t xml:space="preserve">70 </w:t>
      </w:r>
      <w:r>
        <w:rPr>
          <w:rFonts w:hint="eastAsia" w:ascii="楷体" w:hAnsi="楷体" w:eastAsia="楷体" w:cs="Verdana"/>
          <w:color w:val="221E1F"/>
        </w:rPr>
        <w:t>分；</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年度绩效指标达成达标目标值的为</w:t>
      </w:r>
      <w:r>
        <w:rPr>
          <w:rFonts w:ascii="楷体" w:hAnsi="楷体" w:eastAsia="楷体" w:cs="Verdana"/>
          <w:color w:val="221E1F"/>
        </w:rPr>
        <w:t xml:space="preserve">100 </w:t>
      </w:r>
      <w:r>
        <w:rPr>
          <w:rFonts w:hint="eastAsia" w:ascii="楷体" w:hAnsi="楷体" w:eastAsia="楷体" w:cs="Verdana"/>
          <w:color w:val="221E1F"/>
        </w:rPr>
        <w:t>分；</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(3) </w:t>
      </w:r>
      <w:r>
        <w:rPr>
          <w:rFonts w:hint="eastAsia" w:ascii="楷体" w:hAnsi="楷体" w:eastAsia="楷体" w:cs="Verdana"/>
          <w:color w:val="221E1F"/>
        </w:rPr>
        <w:t>年度绩效指标达成挑战目标值的为</w:t>
      </w:r>
      <w:r>
        <w:rPr>
          <w:rFonts w:ascii="楷体" w:hAnsi="楷体" w:eastAsia="楷体" w:cs="Verdana"/>
          <w:color w:val="221E1F"/>
        </w:rPr>
        <w:t xml:space="preserve">120 </w:t>
      </w:r>
      <w:r>
        <w:rPr>
          <w:rFonts w:hint="eastAsia" w:ascii="楷体" w:hAnsi="楷体" w:eastAsia="楷体" w:cs="Verdana"/>
          <w:color w:val="221E1F"/>
        </w:rPr>
        <w:t>分。</w:t>
      </w:r>
    </w:p>
    <w:p>
      <w:pPr>
        <w:pStyle w:val="6"/>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存在多项绩效考核指标的，以各项指标得分的加权分数之和作为最终年度绩效综合评分。</w:t>
      </w:r>
    </w:p>
    <w:p>
      <w:pPr>
        <w:pStyle w:val="8"/>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2. </w:t>
      </w:r>
      <w:r>
        <w:rPr>
          <w:rFonts w:hint="eastAsia" w:ascii="楷体" w:hAnsi="楷体" w:eastAsia="楷体" w:cs="Verdana"/>
          <w:color w:val="221E1F"/>
        </w:rPr>
        <w:t>考核结果的应用</w:t>
      </w:r>
    </w:p>
    <w:p>
      <w:pPr>
        <w:pStyle w:val="5"/>
        <w:spacing w:line="360" w:lineRule="auto"/>
        <w:ind w:firstLine="480" w:firstLineChars="200"/>
        <w:jc w:val="both"/>
        <w:rPr>
          <w:rFonts w:ascii="楷体" w:hAnsi="楷体" w:eastAsia="楷体" w:cs="方正楷体简体"/>
          <w:color w:val="221E1F"/>
        </w:rPr>
      </w:pPr>
      <w:r>
        <w:rPr>
          <w:rFonts w:ascii="楷体" w:hAnsi="楷体" w:eastAsia="楷体" w:cs="Verdana"/>
          <w:color w:val="221E1F"/>
        </w:rPr>
        <w:t xml:space="preserve">(1) </w:t>
      </w:r>
      <w:r>
        <w:rPr>
          <w:rFonts w:hint="eastAsia" w:ascii="楷体" w:hAnsi="楷体" w:eastAsia="楷体" w:cs="Verdana"/>
          <w:color w:val="221E1F"/>
        </w:rPr>
        <w:t>年度绩效综合评分≤</w:t>
      </w:r>
      <w:r>
        <w:rPr>
          <w:rFonts w:ascii="楷体" w:hAnsi="楷体" w:eastAsia="楷体" w:cs="Verdana"/>
          <w:color w:val="221E1F"/>
        </w:rPr>
        <w:t xml:space="preserve">70 </w:t>
      </w:r>
      <w:r>
        <w:rPr>
          <w:rFonts w:hint="eastAsia" w:ascii="楷体" w:hAnsi="楷体" w:eastAsia="楷体" w:cs="Verdana"/>
          <w:color w:val="221E1F"/>
        </w:rPr>
        <w:t>，即年度绩效未达成或刚达成承诺的持平目标。</w:t>
      </w:r>
    </w:p>
    <w:p>
      <w:pPr>
        <w:pStyle w:val="5"/>
        <w:spacing w:line="360" w:lineRule="auto"/>
        <w:ind w:firstLine="480" w:firstLineChars="200"/>
        <w:jc w:val="both"/>
        <w:rPr>
          <w:rFonts w:hint="eastAsia" w:ascii="楷体" w:hAnsi="楷体" w:eastAsia="楷体" w:cs="方正楷体简体"/>
          <w:color w:val="221E1F"/>
        </w:rPr>
      </w:pPr>
      <w:r>
        <w:rPr>
          <w:rFonts w:hint="eastAsia" w:ascii="楷体" w:hAnsi="楷体" w:eastAsia="楷体" w:cs="Verdana"/>
          <w:color w:val="221E1F"/>
        </w:rPr>
        <w:t>①公司总经理及其高管团队年度薪酬包按照以下方式计算减少或者冻结</w:t>
      </w:r>
      <w:r>
        <w:rPr>
          <w:rFonts w:ascii="楷体" w:hAnsi="楷体" w:eastAsia="楷体" w:cs="Verdana"/>
          <w:color w:val="221E1F"/>
        </w:rPr>
        <w:t>(</w:t>
      </w:r>
      <w:r>
        <w:rPr>
          <w:rFonts w:hint="eastAsia" w:ascii="楷体" w:hAnsi="楷体" w:eastAsia="楷体" w:cs="Verdana"/>
          <w:color w:val="221E1F"/>
        </w:rPr>
        <w:t>在计算数额已低于上一年度实际已发薪酬数额时</w:t>
      </w:r>
      <w:r>
        <w:rPr>
          <w:rFonts w:ascii="楷体" w:hAnsi="楷体" w:eastAsia="楷体" w:cs="Verdana"/>
          <w:color w:val="221E1F"/>
        </w:rPr>
        <w:t>)</w:t>
      </w:r>
      <w:r>
        <w:rPr>
          <w:rFonts w:hint="eastAsia" w:ascii="楷体" w:hAnsi="楷体" w:eastAsia="楷体" w:cs="Verdana"/>
          <w:color w:val="221E1F"/>
        </w:rPr>
        <w:t>：</w:t>
      </w:r>
    </w:p>
    <w:p>
      <w:pPr>
        <w:pStyle w:val="5"/>
        <w:spacing w:line="360" w:lineRule="auto"/>
        <w:ind w:firstLine="480" w:firstLineChars="200"/>
        <w:jc w:val="both"/>
        <w:rPr>
          <w:rFonts w:ascii="楷体" w:hAnsi="楷体" w:eastAsia="楷体"/>
          <w:color w:val="221E1F"/>
        </w:rPr>
      </w:pPr>
      <w:r>
        <w:rPr>
          <w:rFonts w:hint="eastAsia" w:ascii="楷体" w:hAnsi="楷体" w:eastAsia="楷体" w:cs="Verdana"/>
          <w:color w:val="221E1F"/>
        </w:rPr>
        <w:t>本年度薪酬包总额</w:t>
      </w:r>
      <w:r>
        <w:rPr>
          <w:rFonts w:ascii="楷体" w:hAnsi="楷体" w:eastAsia="楷体" w:cs="Verdana"/>
          <w:i/>
          <w:iCs/>
          <w:color w:val="221E1F"/>
        </w:rPr>
        <w:t>=</w:t>
      </w:r>
      <w:r>
        <w:rPr>
          <w:rFonts w:hint="eastAsia" w:ascii="楷体" w:hAnsi="楷体" w:eastAsia="楷体" w:cs="Verdana"/>
          <w:color w:val="221E1F"/>
        </w:rPr>
        <w:t>上一年度薪酬包总额×</w:t>
      </w:r>
      <w:r>
        <w:rPr>
          <w:rFonts w:ascii="楷体" w:hAnsi="楷体" w:eastAsia="楷体" w:cs="Verdana"/>
          <w:color w:val="221E1F"/>
        </w:rPr>
        <w:t>[1-(70-</w:t>
      </w:r>
      <w:r>
        <w:rPr>
          <w:rFonts w:hint="eastAsia" w:ascii="楷体" w:hAnsi="楷体" w:eastAsia="楷体" w:cs="Verdana"/>
          <w:color w:val="221E1F"/>
        </w:rPr>
        <w:t>年度绩效综合评分</w:t>
      </w:r>
      <w:r>
        <w:rPr>
          <w:rFonts w:ascii="楷体" w:hAnsi="楷体" w:eastAsia="楷体" w:cs="Verdana"/>
          <w:color w:val="221E1F"/>
        </w:rPr>
        <w:t xml:space="preserve">)/70] </w:t>
      </w:r>
    </w:p>
    <w:p>
      <w:pPr>
        <w:pStyle w:val="5"/>
        <w:spacing w:line="360" w:lineRule="auto"/>
        <w:ind w:left="480"/>
        <w:jc w:val="both"/>
        <w:rPr>
          <w:rFonts w:hint="eastAsia" w:ascii="楷体" w:hAnsi="楷体" w:eastAsia="楷体" w:cs="Verdana"/>
          <w:color w:val="221E1F"/>
        </w:rPr>
      </w:pPr>
      <w:r>
        <w:rPr>
          <w:rFonts w:hint="eastAsia" w:ascii="楷体" w:hAnsi="楷体" w:eastAsia="楷体" w:cs="Verdana"/>
          <w:color w:val="221E1F"/>
        </w:rPr>
        <w:t>②</w:t>
      </w:r>
      <w:r>
        <w:rPr>
          <w:rFonts w:ascii="楷体" w:hAnsi="楷体" w:eastAsia="楷体" w:cs="Verdana"/>
          <w:color w:val="221E1F"/>
        </w:rPr>
        <w:t xml:space="preserve"> </w:t>
      </w:r>
      <w:r>
        <w:rPr>
          <w:rFonts w:hint="eastAsia" w:ascii="楷体" w:hAnsi="楷体" w:eastAsia="楷体" w:cs="Verdana"/>
          <w:color w:val="221E1F"/>
        </w:rPr>
        <w:t>公司总经理及其高管团队正职降为副职或予以免职。</w:t>
      </w:r>
    </w:p>
    <w:p>
      <w:pPr>
        <w:pStyle w:val="5"/>
        <w:spacing w:line="360" w:lineRule="auto"/>
        <w:ind w:left="480"/>
        <w:jc w:val="both"/>
        <w:rPr>
          <w:rFonts w:ascii="楷体" w:hAnsi="楷体" w:eastAsia="楷体" w:cs="方正楷体简体"/>
          <w:color w:val="221E1F"/>
        </w:rPr>
      </w:pPr>
      <w:r>
        <w:rPr>
          <w:rFonts w:ascii="楷体" w:hAnsi="楷体" w:eastAsia="楷体" w:cs="Verdana"/>
          <w:color w:val="221E1F"/>
        </w:rPr>
        <w:t xml:space="preserve">(2) 70 </w:t>
      </w:r>
      <w:r>
        <w:rPr>
          <w:rFonts w:hint="eastAsia" w:ascii="楷体" w:hAnsi="楷体" w:eastAsia="楷体" w:cs="Verdana"/>
          <w:color w:val="221E1F"/>
        </w:rPr>
        <w:t>＜年度绩效综合评分≤</w:t>
      </w:r>
      <w:r>
        <w:rPr>
          <w:rFonts w:ascii="楷体" w:hAnsi="楷体" w:eastAsia="楷体" w:cs="Verdana"/>
          <w:color w:val="221E1F"/>
        </w:rPr>
        <w:t xml:space="preserve">100 </w:t>
      </w:r>
      <w:r>
        <w:rPr>
          <w:rFonts w:hint="eastAsia" w:ascii="楷体" w:hAnsi="楷体" w:eastAsia="楷体" w:cs="Verdana"/>
          <w:color w:val="221E1F"/>
        </w:rPr>
        <w:t>，即年度绩效超过了承诺的持平目标，或已达成了承诺的达标目标。</w:t>
      </w:r>
    </w:p>
    <w:p>
      <w:pPr>
        <w:pStyle w:val="11"/>
        <w:spacing w:line="360" w:lineRule="auto"/>
        <w:ind w:firstLine="480" w:firstLineChars="200"/>
        <w:jc w:val="both"/>
        <w:rPr>
          <w:rFonts w:ascii="楷体" w:hAnsi="楷体" w:eastAsia="楷体" w:cs="方正楷体简体"/>
          <w:color w:val="221E1F"/>
        </w:rPr>
      </w:pPr>
      <w:r>
        <w:rPr>
          <w:rFonts w:hint="eastAsia" w:ascii="楷体" w:hAnsi="楷体" w:eastAsia="楷体" w:cs="Verdana"/>
          <w:color w:val="221E1F"/>
        </w:rPr>
        <w:t>公司总经理及其高管团队年度薪酬包按照以下方式计算：</w:t>
      </w:r>
    </w:p>
    <w:p>
      <w:pPr>
        <w:pStyle w:val="11"/>
        <w:spacing w:line="360" w:lineRule="auto"/>
        <w:ind w:firstLine="480" w:firstLineChars="200"/>
        <w:jc w:val="both"/>
        <w:rPr>
          <w:rFonts w:ascii="楷体" w:hAnsi="楷体" w:eastAsia="楷体"/>
          <w:color w:val="221E1F"/>
        </w:rPr>
      </w:pPr>
      <w:r>
        <w:rPr>
          <w:rFonts w:hint="eastAsia" w:ascii="楷体" w:hAnsi="楷体" w:eastAsia="楷体" w:cs="Verdana"/>
          <w:color w:val="221E1F"/>
        </w:rPr>
        <w:t>本年度薪酬包总额</w:t>
      </w:r>
      <w:r>
        <w:rPr>
          <w:rFonts w:ascii="楷体" w:hAnsi="楷体" w:eastAsia="楷体" w:cs="Verdana"/>
          <w:i/>
          <w:iCs/>
          <w:color w:val="221E1F"/>
        </w:rPr>
        <w:t>=</w:t>
      </w:r>
      <w:r>
        <w:rPr>
          <w:rFonts w:hint="eastAsia" w:ascii="楷体" w:hAnsi="楷体" w:eastAsia="楷体" w:cs="Verdana"/>
          <w:color w:val="221E1F"/>
        </w:rPr>
        <w:t>上一年度薪酬包总额×</w:t>
      </w:r>
      <w:r>
        <w:rPr>
          <w:rFonts w:ascii="楷体" w:hAnsi="楷体" w:eastAsia="楷体" w:cs="Verdana"/>
          <w:color w:val="221E1F"/>
        </w:rPr>
        <w:t xml:space="preserve">[1+( </w:t>
      </w:r>
      <w:r>
        <w:rPr>
          <w:rFonts w:hint="eastAsia" w:ascii="楷体" w:hAnsi="楷体" w:eastAsia="楷体" w:cs="Verdana"/>
          <w:color w:val="221E1F"/>
        </w:rPr>
        <w:t>年度绩效综合评分</w:t>
      </w:r>
      <w:r>
        <w:rPr>
          <w:rFonts w:ascii="楷体" w:hAnsi="楷体" w:eastAsia="楷体" w:cs="Verdana"/>
          <w:color w:val="221E1F"/>
        </w:rPr>
        <w:t>-70)/30</w:t>
      </w:r>
      <w:r>
        <w:rPr>
          <w:rFonts w:hint="eastAsia" w:ascii="楷体" w:hAnsi="楷体" w:eastAsia="楷体" w:cs="Verdana"/>
          <w:color w:val="221E1F"/>
        </w:rPr>
        <w:t>×</w:t>
      </w:r>
      <w:r>
        <w:rPr>
          <w:rFonts w:ascii="楷体" w:hAnsi="楷体" w:eastAsia="楷体" w:cs="Verdana"/>
          <w:color w:val="221E1F"/>
        </w:rPr>
        <w:t>30</w:t>
      </w:r>
      <w:r>
        <w:rPr>
          <w:rFonts w:hint="eastAsia" w:ascii="楷体" w:hAnsi="楷体" w:eastAsia="楷体" w:cs="Verdana"/>
          <w:color w:val="221E1F"/>
        </w:rPr>
        <w:t>％</w:t>
      </w:r>
      <w:r>
        <w:rPr>
          <w:rFonts w:ascii="楷体" w:hAnsi="楷体" w:eastAsia="楷体" w:cs="Verdana"/>
          <w:color w:val="221E1F"/>
        </w:rPr>
        <w:t xml:space="preserve">] </w:t>
      </w:r>
    </w:p>
    <w:p>
      <w:pPr>
        <w:pStyle w:val="12"/>
        <w:spacing w:line="360" w:lineRule="auto"/>
        <w:ind w:firstLine="480" w:firstLineChars="200"/>
        <w:jc w:val="both"/>
        <w:rPr>
          <w:rFonts w:hint="eastAsia" w:ascii="楷体" w:hAnsi="楷体" w:eastAsia="楷体" w:cs="方正楷体简体"/>
          <w:color w:val="221E1F"/>
        </w:rPr>
      </w:pPr>
      <w:r>
        <w:rPr>
          <w:rFonts w:ascii="楷体" w:hAnsi="楷体" w:eastAsia="楷体" w:cs="Verdana"/>
          <w:color w:val="221E1F"/>
        </w:rPr>
        <w:t xml:space="preserve">(3) 100 </w:t>
      </w:r>
      <w:r>
        <w:rPr>
          <w:rFonts w:hint="eastAsia" w:ascii="楷体" w:hAnsi="楷体" w:eastAsia="楷体" w:cs="Verdana"/>
          <w:color w:val="221E1F"/>
        </w:rPr>
        <w:t>＜年度绩效综合评分≤</w:t>
      </w:r>
      <w:r>
        <w:rPr>
          <w:rFonts w:ascii="楷体" w:hAnsi="楷体" w:eastAsia="楷体" w:cs="Verdana"/>
          <w:color w:val="221E1F"/>
        </w:rPr>
        <w:t xml:space="preserve">120 </w:t>
      </w:r>
      <w:r>
        <w:rPr>
          <w:rFonts w:hint="eastAsia" w:ascii="楷体" w:hAnsi="楷体" w:eastAsia="楷体" w:cs="Verdana"/>
          <w:color w:val="221E1F"/>
        </w:rPr>
        <w:t>，即年度绩效超过了承诺的达标目标，或达成了承诺的挑战目标。</w:t>
      </w:r>
    </w:p>
    <w:p>
      <w:pPr>
        <w:pStyle w:val="9"/>
        <w:spacing w:line="360" w:lineRule="auto"/>
        <w:ind w:left="210" w:leftChars="100" w:firstLine="480" w:firstLineChars="200"/>
        <w:jc w:val="both"/>
        <w:rPr>
          <w:rFonts w:hint="eastAsia" w:ascii="楷体" w:hAnsi="楷体" w:eastAsia="楷体" w:cs="方正楷体简体"/>
          <w:color w:val="221E1F"/>
        </w:rPr>
      </w:pPr>
      <w:r>
        <w:rPr>
          <w:rFonts w:hint="eastAsia" w:ascii="楷体" w:hAnsi="楷体" w:eastAsia="楷体" w:cs="Verdana"/>
          <w:color w:val="221E1F"/>
        </w:rPr>
        <w:t>公司总经理及其高管团队年度薪酬包按照以下方式计算：</w:t>
      </w:r>
    </w:p>
    <w:p>
      <w:pPr>
        <w:pStyle w:val="9"/>
        <w:spacing w:line="360" w:lineRule="auto"/>
        <w:ind w:left="210" w:leftChars="100" w:firstLine="480" w:firstLineChars="200"/>
        <w:jc w:val="both"/>
        <w:rPr>
          <w:rFonts w:ascii="楷体" w:hAnsi="楷体" w:eastAsia="楷体"/>
          <w:color w:val="221E1F"/>
        </w:rPr>
      </w:pPr>
      <w:r>
        <w:rPr>
          <w:rFonts w:hint="eastAsia" w:ascii="楷体" w:hAnsi="楷体" w:eastAsia="楷体" w:cs="Verdana"/>
          <w:color w:val="221E1F"/>
        </w:rPr>
        <w:t>本年度薪酬包总额</w:t>
      </w:r>
      <w:r>
        <w:rPr>
          <w:rFonts w:ascii="楷体" w:hAnsi="楷体" w:eastAsia="楷体" w:cs="Verdana"/>
          <w:i/>
          <w:iCs/>
          <w:color w:val="221E1F"/>
        </w:rPr>
        <w:t>=</w:t>
      </w:r>
      <w:r>
        <w:rPr>
          <w:rFonts w:hint="eastAsia" w:ascii="楷体" w:hAnsi="楷体" w:eastAsia="楷体" w:cs="Verdana"/>
          <w:color w:val="221E1F"/>
        </w:rPr>
        <w:t>上一年度薪酬包总额×</w:t>
      </w:r>
      <w:r>
        <w:rPr>
          <w:rFonts w:ascii="楷体" w:hAnsi="楷体" w:eastAsia="楷体" w:cs="Verdana"/>
          <w:color w:val="221E1F"/>
        </w:rPr>
        <w:t xml:space="preserve">[1+( </w:t>
      </w:r>
      <w:r>
        <w:rPr>
          <w:rFonts w:hint="eastAsia" w:ascii="楷体" w:hAnsi="楷体" w:eastAsia="楷体" w:cs="Verdana"/>
          <w:color w:val="221E1F"/>
        </w:rPr>
        <w:t>年度绩效综合评分</w:t>
      </w:r>
      <w:r>
        <w:rPr>
          <w:rFonts w:ascii="楷体" w:hAnsi="楷体" w:eastAsia="楷体" w:cs="Verdana"/>
          <w:color w:val="221E1F"/>
        </w:rPr>
        <w:t>-100)/20</w:t>
      </w:r>
      <w:r>
        <w:rPr>
          <w:rFonts w:hint="eastAsia" w:ascii="楷体" w:hAnsi="楷体" w:eastAsia="楷体" w:cs="Verdana"/>
          <w:color w:val="221E1F"/>
        </w:rPr>
        <w:t>×</w:t>
      </w:r>
      <w:r>
        <w:rPr>
          <w:rFonts w:ascii="楷体" w:hAnsi="楷体" w:eastAsia="楷体" w:cs="Verdana"/>
          <w:color w:val="221E1F"/>
        </w:rPr>
        <w:t>50</w:t>
      </w:r>
      <w:r>
        <w:rPr>
          <w:rFonts w:hint="eastAsia" w:ascii="楷体" w:hAnsi="楷体" w:eastAsia="楷体" w:cs="Verdana"/>
          <w:color w:val="221E1F"/>
        </w:rPr>
        <w:t>％</w:t>
      </w:r>
      <w:r>
        <w:rPr>
          <w:rFonts w:ascii="楷体" w:hAnsi="楷体" w:eastAsia="楷体" w:cs="Verdana"/>
          <w:color w:val="221E1F"/>
        </w:rPr>
        <w:t xml:space="preserve">] </w:t>
      </w:r>
    </w:p>
    <w:p>
      <w:pPr>
        <w:pStyle w:val="10"/>
        <w:spacing w:line="360" w:lineRule="auto"/>
        <w:ind w:firstLine="480" w:firstLineChars="200"/>
        <w:jc w:val="both"/>
        <w:rPr>
          <w:rFonts w:hint="eastAsia" w:ascii="楷体" w:hAnsi="楷体" w:eastAsia="楷体" w:cs="方正楷体简体"/>
          <w:color w:val="221E1F"/>
        </w:rPr>
      </w:pPr>
      <w:r>
        <w:rPr>
          <w:rFonts w:ascii="楷体" w:hAnsi="楷体" w:eastAsia="楷体" w:cs="Verdana"/>
          <w:color w:val="221E1F"/>
        </w:rPr>
        <w:t xml:space="preserve">(4) 120 </w:t>
      </w:r>
      <w:r>
        <w:rPr>
          <w:rFonts w:hint="eastAsia" w:ascii="楷体" w:hAnsi="楷体" w:eastAsia="楷体" w:cs="Verdana"/>
          <w:color w:val="221E1F"/>
        </w:rPr>
        <w:t>＜年度绩效综合评分。</w:t>
      </w:r>
    </w:p>
    <w:p>
      <w:pPr>
        <w:pStyle w:val="10"/>
        <w:spacing w:line="360" w:lineRule="auto"/>
        <w:ind w:firstLine="480" w:firstLineChars="200"/>
        <w:jc w:val="both"/>
        <w:rPr>
          <w:rFonts w:hint="eastAsia" w:ascii="楷体" w:hAnsi="楷体" w:eastAsia="楷体" w:cs="方正楷体简体"/>
          <w:color w:val="221E1F"/>
        </w:rPr>
      </w:pPr>
      <w:r>
        <w:rPr>
          <w:rFonts w:hint="eastAsia" w:ascii="楷体" w:hAnsi="楷体" w:eastAsia="楷体" w:cs="Verdana"/>
          <w:color w:val="221E1F"/>
        </w:rPr>
        <w:t>公司总经理及其高管团队年度薪酬包按照以下方式计算：</w:t>
      </w:r>
    </w:p>
    <w:p>
      <w:pPr>
        <w:pStyle w:val="10"/>
        <w:spacing w:line="360" w:lineRule="auto"/>
        <w:ind w:firstLine="480" w:firstLineChars="200"/>
        <w:jc w:val="both"/>
        <w:rPr>
          <w:rFonts w:hint="eastAsia" w:ascii="楷体" w:hAnsi="楷体" w:eastAsia="楷体" w:cs="Verdana"/>
          <w:color w:val="221E1F"/>
        </w:rPr>
      </w:pPr>
      <w:r>
        <w:rPr>
          <w:rFonts w:hint="eastAsia" w:ascii="楷体" w:hAnsi="楷体" w:eastAsia="楷体" w:cs="Verdana"/>
          <w:color w:val="221E1F"/>
        </w:rPr>
        <w:t>本年度薪酬包总额</w:t>
      </w:r>
      <w:r>
        <w:rPr>
          <w:rFonts w:ascii="楷体" w:hAnsi="楷体" w:eastAsia="楷体" w:cs="Verdana"/>
          <w:i/>
          <w:iCs/>
          <w:color w:val="221E1F"/>
        </w:rPr>
        <w:t>=</w:t>
      </w:r>
      <w:r>
        <w:rPr>
          <w:rFonts w:hint="eastAsia" w:ascii="楷体" w:hAnsi="楷体" w:eastAsia="楷体" w:cs="Verdana"/>
          <w:color w:val="221E1F"/>
        </w:rPr>
        <w:t>上一年度薪酬包总额×</w:t>
      </w:r>
      <w:r>
        <w:rPr>
          <w:rFonts w:ascii="楷体" w:hAnsi="楷体" w:eastAsia="楷体" w:cs="Verdana"/>
          <w:color w:val="221E1F"/>
        </w:rPr>
        <w:t xml:space="preserve">[1+50%+( </w:t>
      </w:r>
      <w:r>
        <w:rPr>
          <w:rFonts w:hint="eastAsia" w:ascii="楷体" w:hAnsi="楷体" w:eastAsia="楷体" w:cs="Verdana"/>
          <w:color w:val="221E1F"/>
        </w:rPr>
        <w:t>年度绩效综合评分</w:t>
      </w:r>
      <w:r>
        <w:rPr>
          <w:rFonts w:ascii="楷体" w:hAnsi="楷体" w:eastAsia="楷体" w:cs="Verdana"/>
          <w:color w:val="221E1F"/>
        </w:rPr>
        <w:t xml:space="preserve">-120)/120] </w:t>
      </w:r>
    </w:p>
    <w:p>
      <w:pPr>
        <w:pStyle w:val="5"/>
        <w:spacing w:line="360" w:lineRule="auto"/>
        <w:ind w:firstLine="480" w:firstLineChars="200"/>
        <w:jc w:val="both"/>
        <w:rPr>
          <w:rFonts w:ascii="楷体" w:hAnsi="楷体" w:eastAsia="楷体" w:cs="Verdana"/>
          <w:b/>
          <w:color w:val="221E1F"/>
        </w:rPr>
      </w:pPr>
      <w:r>
        <w:rPr>
          <w:rFonts w:hint="eastAsia" w:ascii="楷体" w:hAnsi="楷体" w:eastAsia="楷体" w:cs="Verdana"/>
          <w:b/>
          <w:color w:val="221E1F"/>
        </w:rPr>
        <w:t>七、解释、修订和废止本办法的解释、修订和废止权归公司董事会。</w:t>
      </w:r>
    </w:p>
    <w:p>
      <w:pPr>
        <w:pStyle w:val="5"/>
        <w:spacing w:line="360" w:lineRule="auto"/>
        <w:ind w:firstLine="480" w:firstLineChars="200"/>
        <w:jc w:val="right"/>
        <w:rPr>
          <w:rFonts w:hint="eastAsia" w:ascii="楷体" w:hAnsi="楷体" w:eastAsia="楷体" w:cs="方正楷体简体"/>
          <w:color w:val="221E1F"/>
        </w:rPr>
      </w:pPr>
      <w:r>
        <w:rPr>
          <w:rFonts w:hint="eastAsia" w:ascii="楷体" w:hAnsi="楷体" w:eastAsia="楷体" w:cs="Verdana"/>
          <w:color w:val="221E1F"/>
        </w:rPr>
        <w:t>××公司董事会</w:t>
      </w:r>
    </w:p>
    <w:p>
      <w:pPr>
        <w:pStyle w:val="5"/>
        <w:spacing w:line="360" w:lineRule="auto"/>
        <w:ind w:firstLine="480" w:firstLineChars="200"/>
        <w:jc w:val="right"/>
        <w:rPr>
          <w:rFonts w:hint="eastAsia" w:ascii="楷体" w:hAnsi="楷体" w:eastAsia="楷体" w:cs="方正楷体简体"/>
          <w:color w:val="221E1F"/>
        </w:rPr>
      </w:pPr>
      <w:r>
        <w:rPr>
          <w:rFonts w:hint="eastAsia" w:ascii="楷体" w:hAnsi="楷体" w:eastAsia="楷体" w:cs="Verdana"/>
          <w:color w:val="221E1F"/>
        </w:rPr>
        <w:t>××××年×月×日</w:t>
      </w:r>
    </w:p>
    <w:p>
      <w:pPr>
        <w:pStyle w:val="5"/>
        <w:spacing w:line="360" w:lineRule="auto"/>
        <w:jc w:val="center"/>
        <w:rPr>
          <w:rFonts w:ascii="楷体" w:hAnsi="楷体" w:eastAsia="楷体" w:cs="黑体.体简体"/>
          <w:b/>
          <w:color w:val="221E1F"/>
        </w:rPr>
      </w:pPr>
      <w:r>
        <w:rPr>
          <w:rFonts w:ascii="楷体" w:hAnsi="楷体" w:eastAsia="楷体" w:cs="Verdana"/>
          <w:b/>
          <w:color w:val="221E1F"/>
        </w:rPr>
        <w:br w:type="page"/>
      </w:r>
      <w:r>
        <w:rPr>
          <w:rFonts w:hint="eastAsia" w:ascii="楷体" w:hAnsi="楷体" w:eastAsia="楷体" w:cs="Verdana"/>
          <w:b/>
          <w:color w:val="221E1F"/>
          <w:sz w:val="28"/>
        </w:rPr>
        <w:t>总经理考核表</w:t>
      </w:r>
    </w:p>
    <w:tbl>
      <w:tblPr>
        <w:tblStyle w:val="4"/>
        <w:tblW w:w="8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42"/>
        <w:gridCol w:w="1134"/>
        <w:gridCol w:w="946"/>
        <w:gridCol w:w="897"/>
        <w:gridCol w:w="3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5" w:hRule="atLeast"/>
          <w:jc w:val="center"/>
        </w:trPr>
        <w:tc>
          <w:tcPr>
            <w:tcW w:w="1242" w:type="dxa"/>
            <w:tcBorders>
              <w:top w:val="single" w:color="000000" w:sz="8" w:space="0"/>
              <w:left w:val="single" w:color="000000" w:sz="8" w:space="0"/>
              <w:bottom w:val="single" w:color="000000" w:sz="4" w:space="0"/>
              <w:right w:val="single" w:color="000000" w:sz="4" w:space="0"/>
            </w:tcBorders>
            <w:shd w:val="clear" w:color="auto" w:fill="E1E1E1"/>
            <w:vAlign w:val="center"/>
          </w:tcPr>
          <w:p>
            <w:pPr>
              <w:pStyle w:val="5"/>
              <w:spacing w:line="360" w:lineRule="auto"/>
              <w:jc w:val="both"/>
              <w:rPr>
                <w:rFonts w:ascii="楷体" w:hAnsi="楷体" w:eastAsia="楷体" w:cs="黑体e眠副浡渀."/>
                <w:color w:val="221E1F"/>
              </w:rPr>
            </w:pPr>
            <w:r>
              <w:rPr>
                <w:rFonts w:hint="eastAsia" w:ascii="楷体" w:hAnsi="楷体" w:eastAsia="楷体" w:cs="Verdana"/>
                <w:color w:val="221E1F"/>
              </w:rPr>
              <w:t>考核方向</w:t>
            </w:r>
          </w:p>
        </w:tc>
        <w:tc>
          <w:tcPr>
            <w:tcW w:w="1134" w:type="dxa"/>
            <w:tcBorders>
              <w:top w:val="single" w:color="000000" w:sz="8" w:space="0"/>
              <w:left w:val="single" w:color="000000" w:sz="4" w:space="0"/>
              <w:bottom w:val="single" w:color="000000" w:sz="4" w:space="0"/>
              <w:right w:val="single" w:color="000000" w:sz="4" w:space="0"/>
            </w:tcBorders>
            <w:shd w:val="clear" w:color="auto" w:fill="E1E1E1"/>
            <w:vAlign w:val="center"/>
          </w:tcPr>
          <w:p>
            <w:pPr>
              <w:pStyle w:val="5"/>
              <w:spacing w:line="360" w:lineRule="auto"/>
              <w:ind w:firstLine="240" w:firstLineChars="100"/>
              <w:jc w:val="both"/>
              <w:rPr>
                <w:rFonts w:ascii="楷体" w:hAnsi="楷体" w:eastAsia="楷体" w:cs="黑体e眠副浡渀."/>
                <w:color w:val="221E1F"/>
              </w:rPr>
            </w:pPr>
            <w:r>
              <w:rPr>
                <w:rFonts w:hint="eastAsia" w:ascii="楷体" w:hAnsi="楷体" w:eastAsia="楷体" w:cs="Verdana"/>
                <w:color w:val="221E1F"/>
              </w:rPr>
              <w:t>权重</w:t>
            </w:r>
          </w:p>
        </w:tc>
        <w:tc>
          <w:tcPr>
            <w:tcW w:w="1843" w:type="dxa"/>
            <w:gridSpan w:val="2"/>
            <w:tcBorders>
              <w:top w:val="single" w:color="000000" w:sz="8" w:space="0"/>
              <w:left w:val="single" w:color="000000" w:sz="4" w:space="0"/>
              <w:bottom w:val="single" w:color="000000" w:sz="4" w:space="0"/>
              <w:right w:val="single" w:color="000000" w:sz="4" w:space="0"/>
            </w:tcBorders>
            <w:shd w:val="clear" w:color="auto" w:fill="E1E1E1"/>
            <w:vAlign w:val="center"/>
          </w:tcPr>
          <w:p>
            <w:pPr>
              <w:pStyle w:val="5"/>
              <w:spacing w:line="360" w:lineRule="auto"/>
              <w:ind w:firstLine="480" w:firstLineChars="200"/>
              <w:jc w:val="both"/>
              <w:rPr>
                <w:rFonts w:ascii="楷体" w:hAnsi="楷体" w:eastAsia="楷体" w:cs="黑体e眠副浡渀."/>
                <w:color w:val="221E1F"/>
              </w:rPr>
            </w:pPr>
            <w:r>
              <w:rPr>
                <w:rFonts w:hint="eastAsia" w:ascii="楷体" w:hAnsi="楷体" w:eastAsia="楷体" w:cs="Verdana"/>
                <w:color w:val="221E1F"/>
              </w:rPr>
              <w:t>指标</w:t>
            </w:r>
          </w:p>
        </w:tc>
        <w:tc>
          <w:tcPr>
            <w:tcW w:w="3786" w:type="dxa"/>
            <w:tcBorders>
              <w:top w:val="single" w:color="000000" w:sz="8" w:space="0"/>
              <w:left w:val="single" w:color="000000" w:sz="4" w:space="0"/>
              <w:bottom w:val="single" w:color="000000" w:sz="4" w:space="0"/>
              <w:right w:val="single" w:color="000000" w:sz="8" w:space="0"/>
            </w:tcBorders>
            <w:shd w:val="clear" w:color="auto" w:fill="E1E1E1"/>
            <w:vAlign w:val="center"/>
          </w:tcPr>
          <w:p>
            <w:pPr>
              <w:pStyle w:val="5"/>
              <w:spacing w:line="360" w:lineRule="auto"/>
              <w:ind w:firstLine="1200" w:firstLineChars="500"/>
              <w:jc w:val="both"/>
              <w:rPr>
                <w:rFonts w:ascii="楷体" w:hAnsi="楷体" w:eastAsia="楷体" w:cs="黑体e眠副浡渀."/>
                <w:color w:val="221E1F"/>
              </w:rPr>
            </w:pPr>
            <w:r>
              <w:rPr>
                <w:rFonts w:hint="eastAsia" w:ascii="楷体" w:hAnsi="楷体" w:eastAsia="楷体" w:cs="Verdana"/>
                <w:color w:val="221E1F"/>
              </w:rPr>
              <w:t>指标描述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jc w:val="center"/>
        </w:trPr>
        <w:tc>
          <w:tcPr>
            <w:tcW w:w="1242" w:type="dxa"/>
            <w:tcBorders>
              <w:top w:val="single" w:color="000000" w:sz="4" w:space="0"/>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净资产回报率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衡量净资产的盈利能力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tcBorders>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10%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税后净利润率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衡量公司的盈利能力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tcBorders>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销售收入</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衡量公司的销售收入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hRule="atLeast"/>
          <w:jc w:val="center"/>
        </w:trPr>
        <w:tc>
          <w:tcPr>
            <w:tcW w:w="1242" w:type="dxa"/>
            <w:tcBorders>
              <w:left w:val="single" w:color="000000" w:sz="8" w:space="0"/>
              <w:right w:val="single" w:color="000000" w:sz="4" w:space="0"/>
            </w:tcBorders>
          </w:tcPr>
          <w:p>
            <w:pPr>
              <w:pStyle w:val="5"/>
              <w:spacing w:line="360" w:lineRule="auto"/>
              <w:jc w:val="both"/>
              <w:rPr>
                <w:rFonts w:ascii="楷体" w:hAnsi="楷体" w:eastAsia="楷体"/>
                <w:color w:val="221E1F"/>
              </w:rPr>
            </w:pPr>
            <w:r>
              <w:rPr>
                <w:rFonts w:hint="eastAsia" w:ascii="楷体" w:hAnsi="楷体" w:eastAsia="楷体" w:cs="Verdana"/>
                <w:color w:val="221E1F"/>
              </w:rPr>
              <w:t>财务</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10%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hint="eastAsia" w:ascii="楷体" w:hAnsi="楷体" w:eastAsia="楷体" w:cs="Verdana"/>
                <w:color w:val="221E1F"/>
              </w:rPr>
              <w:t>股价</w:t>
            </w:r>
            <w:r>
              <w:rPr>
                <w:rFonts w:ascii="楷体" w:hAnsi="楷体" w:eastAsia="楷体" w:cs="Verdana"/>
                <w:color w:val="221E1F"/>
              </w:rPr>
              <w:t>(</w:t>
            </w:r>
            <w:r>
              <w:rPr>
                <w:rFonts w:hint="eastAsia" w:ascii="楷体" w:hAnsi="楷体" w:eastAsia="楷体" w:cs="Verdana"/>
                <w:color w:val="221E1F"/>
              </w:rPr>
              <w:t>上市公司</w:t>
            </w:r>
            <w:r>
              <w:rPr>
                <w:rFonts w:ascii="楷体" w:hAnsi="楷体" w:eastAsia="楷体" w:cs="Verdana"/>
                <w:color w:val="221E1F"/>
              </w:rPr>
              <w:t xml:space="preserve">) </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是否通过合理的经营结果及长远策略使股价持续增长，为股东带来回报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jc w:val="center"/>
        </w:trPr>
        <w:tc>
          <w:tcPr>
            <w:tcW w:w="1242" w:type="dxa"/>
            <w:tcBorders>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总资产周转率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提高资产的利用效率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tcBorders>
              <w:left w:val="single" w:color="000000" w:sz="8" w:space="0"/>
              <w:bottom w:val="single" w:color="000000" w:sz="4" w:space="0"/>
              <w:right w:val="single" w:color="000000" w:sz="4" w:space="0"/>
            </w:tcBorders>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成本费用利润率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提高当期经营投入的盈利能力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内部运营</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20%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公司战略目标完成率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公司战略发展计划的完成情况，确保战略执行能力和一致性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vMerge w:val="restart"/>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客户</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市场占有率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确保公司在行业内的市场领导地位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jc w:val="center"/>
        </w:trPr>
        <w:tc>
          <w:tcPr>
            <w:tcW w:w="1242" w:type="dxa"/>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品牌价值增长率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建立良好的企业和品牌形象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242" w:type="dxa"/>
            <w:vMerge w:val="restart"/>
            <w:tcBorders>
              <w:top w:val="single" w:color="000000" w:sz="4" w:space="0"/>
              <w:left w:val="single" w:color="000000" w:sz="8" w:space="0"/>
              <w:bottom w:val="single" w:color="000000" w:sz="8"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学习与发展</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核心员工保留率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增强企业对于关键人才的吸引和保留能力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jc w:val="center"/>
        </w:trPr>
        <w:tc>
          <w:tcPr>
            <w:tcW w:w="1242" w:type="dxa"/>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5% </w:t>
            </w:r>
          </w:p>
        </w:tc>
        <w:tc>
          <w:tcPr>
            <w:tcW w:w="946"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员工流失率</w:t>
            </w:r>
          </w:p>
        </w:tc>
        <w:tc>
          <w:tcPr>
            <w:tcW w:w="4683" w:type="dxa"/>
            <w:gridSpan w:val="2"/>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确保有序的人员流动，防止员工流动给经营带来风险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jc w:val="center"/>
        </w:trPr>
        <w:tc>
          <w:tcPr>
            <w:tcW w:w="1242" w:type="dxa"/>
            <w:tcBorders>
              <w:top w:val="single" w:color="000000" w:sz="4" w:space="0"/>
              <w:left w:val="single" w:color="000000" w:sz="8" w:space="0"/>
              <w:bottom w:val="single" w:color="000000" w:sz="8" w:space="0"/>
              <w:right w:val="single" w:color="000000" w:sz="4" w:space="0"/>
            </w:tcBorders>
            <w:vAlign w:val="center"/>
          </w:tcPr>
          <w:p>
            <w:pPr>
              <w:pStyle w:val="5"/>
              <w:spacing w:line="360" w:lineRule="auto"/>
              <w:jc w:val="both"/>
              <w:rPr>
                <w:rFonts w:hint="eastAsia" w:ascii="楷体" w:hAnsi="楷体" w:eastAsia="楷体" w:cs="Times New Roman"/>
                <w:color w:val="auto"/>
              </w:rPr>
            </w:pPr>
          </w:p>
        </w:tc>
        <w:tc>
          <w:tcPr>
            <w:tcW w:w="1134" w:type="dxa"/>
            <w:tcBorders>
              <w:top w:val="single" w:color="000000" w:sz="4" w:space="0"/>
              <w:left w:val="single" w:color="000000" w:sz="4" w:space="0"/>
              <w:bottom w:val="single" w:color="000000" w:sz="8" w:space="0"/>
              <w:right w:val="single" w:color="000000" w:sz="4" w:space="0"/>
            </w:tcBorders>
            <w:vAlign w:val="center"/>
          </w:tcPr>
          <w:p>
            <w:pPr>
              <w:pStyle w:val="5"/>
              <w:spacing w:line="360" w:lineRule="auto"/>
              <w:jc w:val="both"/>
              <w:rPr>
                <w:rFonts w:ascii="楷体" w:hAnsi="楷体" w:eastAsia="楷体" w:cs="Times New Roman"/>
                <w:color w:val="221E1F"/>
              </w:rPr>
            </w:pPr>
          </w:p>
        </w:tc>
        <w:tc>
          <w:tcPr>
            <w:tcW w:w="946" w:type="dxa"/>
            <w:tcBorders>
              <w:top w:val="single" w:color="000000" w:sz="4" w:space="0"/>
              <w:left w:val="single" w:color="000000" w:sz="4" w:space="0"/>
              <w:bottom w:val="single" w:color="000000" w:sz="8" w:space="0"/>
              <w:right w:val="single" w:color="000000" w:sz="4" w:space="0"/>
            </w:tcBorders>
            <w:vAlign w:val="center"/>
          </w:tcPr>
          <w:p>
            <w:pPr>
              <w:pStyle w:val="5"/>
              <w:spacing w:line="360" w:lineRule="auto"/>
              <w:jc w:val="both"/>
              <w:rPr>
                <w:rFonts w:hint="eastAsia" w:ascii="楷体" w:hAnsi="楷体" w:eastAsia="楷体"/>
                <w:color w:val="221E1F"/>
              </w:rPr>
            </w:pPr>
          </w:p>
        </w:tc>
        <w:tc>
          <w:tcPr>
            <w:tcW w:w="4683" w:type="dxa"/>
            <w:gridSpan w:val="2"/>
            <w:tcBorders>
              <w:top w:val="single" w:color="000000" w:sz="4" w:space="0"/>
              <w:left w:val="single" w:color="000000" w:sz="4" w:space="0"/>
              <w:bottom w:val="single" w:color="000000" w:sz="8" w:space="0"/>
              <w:right w:val="single" w:color="000000" w:sz="8" w:space="0"/>
            </w:tcBorders>
            <w:vAlign w:val="center"/>
          </w:tcPr>
          <w:p>
            <w:pPr>
              <w:pStyle w:val="5"/>
              <w:spacing w:line="360" w:lineRule="auto"/>
              <w:jc w:val="both"/>
              <w:rPr>
                <w:rFonts w:hint="eastAsia" w:ascii="楷体" w:hAnsi="楷体" w:eastAsia="楷体"/>
                <w:color w:val="221E1F"/>
              </w:rPr>
            </w:pPr>
          </w:p>
        </w:tc>
      </w:tr>
    </w:tbl>
    <w:p>
      <w:pPr>
        <w:spacing w:line="360" w:lineRule="auto"/>
        <w:ind w:firstLine="3114" w:firstLineChars="1296"/>
        <w:rPr>
          <w:rFonts w:hint="eastAsia" w:ascii="楷体" w:hAnsi="楷体" w:eastAsia="楷体" w:cs="Verdana"/>
          <w:b/>
          <w:color w:val="221E1F"/>
          <w:sz w:val="24"/>
        </w:rPr>
      </w:pPr>
    </w:p>
    <w:p>
      <w:pPr>
        <w:spacing w:line="360" w:lineRule="auto"/>
        <w:ind w:firstLine="3114" w:firstLineChars="1296"/>
        <w:rPr>
          <w:rFonts w:hint="eastAsia" w:ascii="楷体" w:hAnsi="楷体" w:eastAsia="楷体"/>
          <w:sz w:val="24"/>
        </w:rPr>
      </w:pPr>
      <w:r>
        <w:rPr>
          <w:rFonts w:hint="eastAsia" w:ascii="楷体" w:hAnsi="楷体" w:eastAsia="楷体" w:cs="Verdana"/>
          <w:b/>
          <w:color w:val="221E1F"/>
          <w:sz w:val="24"/>
        </w:rPr>
        <w:t>董事会考核表</w:t>
      </w:r>
    </w:p>
    <w:tbl>
      <w:tblPr>
        <w:tblStyle w:val="4"/>
        <w:tblpPr w:leftFromText="180" w:rightFromText="180" w:horzAnchor="margin" w:tblpXSpec="center" w:tblpY="153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4"/>
        <w:gridCol w:w="670"/>
        <w:gridCol w:w="1750"/>
        <w:gridCol w:w="50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0" w:hRule="atLeast"/>
        </w:trPr>
        <w:tc>
          <w:tcPr>
            <w:tcW w:w="642" w:type="pct"/>
            <w:tcBorders>
              <w:top w:val="single" w:color="000000" w:sz="8" w:space="0"/>
              <w:left w:val="single" w:color="000000" w:sz="8" w:space="0"/>
              <w:bottom w:val="single" w:color="000000" w:sz="4" w:space="0"/>
              <w:right w:val="single" w:color="000000" w:sz="4" w:space="0"/>
            </w:tcBorders>
            <w:shd w:val="clear" w:color="auto" w:fill="E1E1E1"/>
            <w:vAlign w:val="center"/>
          </w:tcPr>
          <w:p>
            <w:pPr>
              <w:pStyle w:val="5"/>
              <w:spacing w:line="360" w:lineRule="auto"/>
              <w:jc w:val="both"/>
              <w:rPr>
                <w:rFonts w:ascii="楷体" w:hAnsi="楷体" w:eastAsia="楷体" w:cs="黑体e眠副浡渀."/>
                <w:color w:val="221E1F"/>
              </w:rPr>
            </w:pPr>
            <w:r>
              <w:rPr>
                <w:rFonts w:hint="eastAsia" w:ascii="楷体" w:hAnsi="楷体" w:eastAsia="楷体" w:cs="Verdana"/>
                <w:color w:val="221E1F"/>
              </w:rPr>
              <w:t>考核项目</w:t>
            </w:r>
          </w:p>
        </w:tc>
        <w:tc>
          <w:tcPr>
            <w:tcW w:w="341" w:type="pct"/>
            <w:tcBorders>
              <w:top w:val="single" w:color="000000" w:sz="8" w:space="0"/>
              <w:left w:val="single" w:color="000000" w:sz="4" w:space="0"/>
              <w:bottom w:val="single" w:color="000000" w:sz="4" w:space="0"/>
              <w:right w:val="single" w:color="000000" w:sz="4" w:space="0"/>
            </w:tcBorders>
            <w:shd w:val="clear" w:color="auto" w:fill="E1E1E1"/>
            <w:vAlign w:val="center"/>
          </w:tcPr>
          <w:p>
            <w:pPr>
              <w:pStyle w:val="5"/>
              <w:spacing w:line="360" w:lineRule="auto"/>
              <w:jc w:val="both"/>
              <w:rPr>
                <w:rFonts w:ascii="楷体" w:hAnsi="楷体" w:eastAsia="楷体" w:cs="黑体e眠副浡渀."/>
                <w:color w:val="221E1F"/>
              </w:rPr>
            </w:pPr>
            <w:r>
              <w:rPr>
                <w:rFonts w:hint="eastAsia" w:ascii="楷体" w:hAnsi="楷体" w:eastAsia="楷体" w:cs="Verdana"/>
                <w:color w:val="221E1F"/>
              </w:rPr>
              <w:t>权重</w:t>
            </w:r>
          </w:p>
        </w:tc>
        <w:tc>
          <w:tcPr>
            <w:tcW w:w="1044" w:type="pct"/>
            <w:tcBorders>
              <w:top w:val="single" w:color="000000" w:sz="8" w:space="0"/>
              <w:left w:val="single" w:color="000000" w:sz="4" w:space="0"/>
              <w:bottom w:val="single" w:color="000000" w:sz="4" w:space="0"/>
              <w:right w:val="single" w:color="000000" w:sz="4" w:space="0"/>
            </w:tcBorders>
            <w:shd w:val="clear" w:color="auto" w:fill="E1E1E1"/>
            <w:vAlign w:val="center"/>
          </w:tcPr>
          <w:p>
            <w:pPr>
              <w:pStyle w:val="5"/>
              <w:spacing w:line="360" w:lineRule="auto"/>
              <w:jc w:val="both"/>
              <w:rPr>
                <w:rFonts w:ascii="楷体" w:hAnsi="楷体" w:eastAsia="楷体" w:cs="黑体e眠副浡渀."/>
                <w:color w:val="221E1F"/>
              </w:rPr>
            </w:pPr>
            <w:r>
              <w:rPr>
                <w:rFonts w:hint="eastAsia" w:ascii="楷体" w:hAnsi="楷体" w:eastAsia="楷体" w:cs="Verdana"/>
                <w:color w:val="221E1F"/>
              </w:rPr>
              <w:t>指标</w:t>
            </w:r>
          </w:p>
        </w:tc>
        <w:tc>
          <w:tcPr>
            <w:tcW w:w="2973" w:type="pct"/>
            <w:tcBorders>
              <w:top w:val="single" w:color="000000" w:sz="8" w:space="0"/>
              <w:left w:val="single" w:color="000000" w:sz="4" w:space="0"/>
              <w:bottom w:val="single" w:color="000000" w:sz="4" w:space="0"/>
              <w:right w:val="single" w:color="000000" w:sz="8" w:space="0"/>
            </w:tcBorders>
            <w:shd w:val="clear" w:color="auto" w:fill="E1E1E1"/>
            <w:vAlign w:val="center"/>
          </w:tcPr>
          <w:p>
            <w:pPr>
              <w:pStyle w:val="5"/>
              <w:spacing w:line="360" w:lineRule="auto"/>
              <w:jc w:val="both"/>
              <w:rPr>
                <w:rFonts w:ascii="楷体" w:hAnsi="楷体" w:eastAsia="楷体" w:cs="黑体e眠副浡渀."/>
                <w:color w:val="221E1F"/>
              </w:rPr>
            </w:pPr>
            <w:r>
              <w:rPr>
                <w:rFonts w:hint="eastAsia" w:ascii="楷体" w:hAnsi="楷体" w:eastAsia="楷体" w:cs="Verdana"/>
                <w:color w:val="221E1F"/>
              </w:rPr>
              <w:t>指标描述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tcBorders>
              <w:top w:val="single" w:color="000000" w:sz="4" w:space="0"/>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341" w:type="pct"/>
            <w:tcBorders>
              <w:top w:val="single" w:color="000000" w:sz="4" w:space="0"/>
              <w:left w:val="single" w:color="000000" w:sz="4" w:space="0"/>
              <w:right w:val="single" w:color="000000" w:sz="4" w:space="0"/>
            </w:tcBorders>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年度利润总额</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经核定后的企业合并报表利润总额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tcBorders>
              <w:left w:val="single" w:color="000000" w:sz="8"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经营业绩</w:t>
            </w:r>
          </w:p>
        </w:tc>
        <w:tc>
          <w:tcPr>
            <w:tcW w:w="341" w:type="pct"/>
            <w:tcBorders>
              <w:left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30%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主营业务收入</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经核定后的企业合并报表主营业务收入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tcBorders>
              <w:left w:val="single" w:color="000000" w:sz="8" w:space="0"/>
              <w:bottom w:val="single" w:color="000000" w:sz="4" w:space="0"/>
              <w:right w:val="single" w:color="000000" w:sz="4" w:space="0"/>
            </w:tcBorders>
          </w:tcPr>
          <w:p>
            <w:pPr>
              <w:pStyle w:val="5"/>
              <w:spacing w:line="360" w:lineRule="auto"/>
              <w:jc w:val="both"/>
              <w:rPr>
                <w:rFonts w:ascii="楷体" w:hAnsi="楷体" w:eastAsia="楷体" w:cs="Times New Roman"/>
                <w:color w:val="auto"/>
              </w:rPr>
            </w:pPr>
          </w:p>
        </w:tc>
        <w:tc>
          <w:tcPr>
            <w:tcW w:w="341" w:type="pct"/>
            <w:tcBorders>
              <w:left w:val="single" w:color="000000" w:sz="4" w:space="0"/>
              <w:bottom w:val="single" w:color="000000" w:sz="4" w:space="0"/>
              <w:right w:val="single" w:color="000000" w:sz="4" w:space="0"/>
            </w:tcBorders>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净资产收益率</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衡量净资产的盈利能力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5" w:hRule="atLeast"/>
        </w:trPr>
        <w:tc>
          <w:tcPr>
            <w:tcW w:w="642" w:type="pct"/>
            <w:vMerge w:val="restart"/>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董事会结构的科学、合理性</w:t>
            </w:r>
          </w:p>
        </w:tc>
        <w:tc>
          <w:tcPr>
            <w:tcW w:w="341" w:type="pct"/>
            <w:vMerge w:val="restar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15%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机构合理性</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衡量董事会工作机构设置是否符合公司发展需要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职责明确性</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衡量董事会与经营层职责划分清晰、董事间分工是否清晰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hRule="atLeast"/>
        </w:trPr>
        <w:tc>
          <w:tcPr>
            <w:tcW w:w="642" w:type="pct"/>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制度健全性</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衡量董事会及专门委员会工作制度、议事规则、公司各项基本管理制度是否健全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vMerge w:val="restart"/>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董事任职能力</w:t>
            </w:r>
          </w:p>
        </w:tc>
        <w:tc>
          <w:tcPr>
            <w:tcW w:w="341" w:type="pct"/>
            <w:vMerge w:val="restar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10%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董事会结构合理性</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独立董事比例的合理性及董事会规模的合理性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董事资格符合度</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董事是否具有行业背景资格，是否具有高管工作经验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独立董事资格符合度</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独立董事是否具有独立董事资格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hRule="atLeast"/>
        </w:trPr>
        <w:tc>
          <w:tcPr>
            <w:tcW w:w="642" w:type="pct"/>
            <w:vMerge w:val="restart"/>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董事会运作的科学、合理性</w:t>
            </w:r>
          </w:p>
        </w:tc>
        <w:tc>
          <w:tcPr>
            <w:tcW w:w="341" w:type="pct"/>
            <w:vMerge w:val="restar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10%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依法依章履责</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董事会按照规定程序决策；董事会与经营层各司其职，各负其责，协调运转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hRule="atLeast"/>
        </w:trPr>
        <w:tc>
          <w:tcPr>
            <w:tcW w:w="642" w:type="pct"/>
            <w:vMerge w:val="continue"/>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信息沟通有效性</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董事会同股东代表、监事会、经营层等利益相关方进行及时、有效沟通，为独立董事提供充分有效的决策所需信息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tcBorders>
              <w:top w:val="single" w:color="000000" w:sz="4" w:space="0"/>
              <w:left w:val="single" w:color="000000" w:sz="8"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审计报告</w:t>
            </w:r>
          </w:p>
        </w:tc>
        <w:tc>
          <w:tcPr>
            <w:tcW w:w="341"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15%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审计报告意见</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根据外部审计机构的独立审计意见进行衡量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3" w:hRule="atLeast"/>
        </w:trPr>
        <w:tc>
          <w:tcPr>
            <w:tcW w:w="642" w:type="pct"/>
            <w:tcBorders>
              <w:top w:val="single" w:color="000000" w:sz="4" w:space="0"/>
              <w:left w:val="single" w:color="000000" w:sz="8" w:space="0"/>
              <w:right w:val="single" w:color="000000" w:sz="4" w:space="0"/>
            </w:tcBorders>
          </w:tcPr>
          <w:p>
            <w:pPr>
              <w:pStyle w:val="5"/>
              <w:spacing w:line="360" w:lineRule="auto"/>
              <w:jc w:val="both"/>
              <w:rPr>
                <w:rFonts w:ascii="楷体" w:hAnsi="楷体" w:eastAsia="楷体" w:cs="Times New Roman"/>
                <w:color w:val="auto"/>
              </w:rPr>
            </w:pPr>
          </w:p>
        </w:tc>
        <w:tc>
          <w:tcPr>
            <w:tcW w:w="341" w:type="pct"/>
            <w:tcBorders>
              <w:top w:val="single" w:color="000000" w:sz="4" w:space="0"/>
              <w:left w:val="single" w:color="000000" w:sz="4" w:space="0"/>
              <w:right w:val="single" w:color="000000" w:sz="4" w:space="0"/>
            </w:tcBorders>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董事会报告通过率</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股东大会审议通过的董事会报告率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hRule="atLeast"/>
        </w:trPr>
        <w:tc>
          <w:tcPr>
            <w:tcW w:w="642" w:type="pct"/>
            <w:vMerge w:val="restart"/>
            <w:tcBorders>
              <w:left w:val="single" w:color="000000" w:sz="8" w:space="0"/>
              <w:bottom w:val="single" w:color="000000" w:sz="8"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决策效果</w:t>
            </w:r>
          </w:p>
        </w:tc>
        <w:tc>
          <w:tcPr>
            <w:tcW w:w="341" w:type="pct"/>
            <w:vMerge w:val="restart"/>
            <w:tcBorders>
              <w:left w:val="single" w:color="000000" w:sz="4" w:space="0"/>
              <w:bottom w:val="single" w:color="000000" w:sz="8" w:space="0"/>
              <w:right w:val="single" w:color="000000" w:sz="4" w:space="0"/>
            </w:tcBorders>
            <w:vAlign w:val="center"/>
          </w:tcPr>
          <w:p>
            <w:pPr>
              <w:pStyle w:val="5"/>
              <w:spacing w:line="360" w:lineRule="auto"/>
              <w:jc w:val="both"/>
              <w:rPr>
                <w:rFonts w:ascii="楷体" w:hAnsi="楷体" w:eastAsia="楷体" w:cs="Times New Roman"/>
                <w:color w:val="221E1F"/>
              </w:rPr>
            </w:pPr>
            <w:r>
              <w:rPr>
                <w:rFonts w:ascii="楷体" w:hAnsi="楷体" w:eastAsia="楷体" w:cs="Verdana"/>
                <w:color w:val="221E1F"/>
              </w:rPr>
              <w:t xml:space="preserve">20% </w:t>
            </w:r>
          </w:p>
        </w:tc>
        <w:tc>
          <w:tcPr>
            <w:tcW w:w="1044" w:type="pct"/>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公司发展战略促进</w:t>
            </w:r>
          </w:p>
        </w:tc>
        <w:tc>
          <w:tcPr>
            <w:tcW w:w="2973" w:type="pct"/>
            <w:tcBorders>
              <w:top w:val="single" w:color="000000" w:sz="4" w:space="0"/>
              <w:left w:val="single" w:color="000000" w:sz="4" w:space="0"/>
              <w:bottom w:val="single" w:color="000000" w:sz="4"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决议符合公司改革发展的要求，企业价值创造能力、主营业务增长和公司核心竞争力得到有效提升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642" w:type="pct"/>
            <w:vMerge w:val="continue"/>
            <w:tcBorders>
              <w:left w:val="single" w:color="000000" w:sz="8" w:space="0"/>
              <w:bottom w:val="single" w:color="000000" w:sz="8"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341" w:type="pct"/>
            <w:vMerge w:val="continue"/>
            <w:tcBorders>
              <w:left w:val="single" w:color="000000" w:sz="4" w:space="0"/>
              <w:bottom w:val="single" w:color="000000" w:sz="8" w:space="0"/>
              <w:right w:val="single" w:color="000000" w:sz="4" w:space="0"/>
            </w:tcBorders>
            <w:vAlign w:val="center"/>
          </w:tcPr>
          <w:p>
            <w:pPr>
              <w:pStyle w:val="5"/>
              <w:spacing w:line="360" w:lineRule="auto"/>
              <w:jc w:val="both"/>
              <w:rPr>
                <w:rFonts w:ascii="楷体" w:hAnsi="楷体" w:eastAsia="楷体" w:cs="Times New Roman"/>
                <w:color w:val="auto"/>
              </w:rPr>
            </w:pPr>
          </w:p>
        </w:tc>
        <w:tc>
          <w:tcPr>
            <w:tcW w:w="1044" w:type="pct"/>
            <w:tcBorders>
              <w:top w:val="single" w:color="000000" w:sz="4" w:space="0"/>
              <w:left w:val="single" w:color="000000" w:sz="4" w:space="0"/>
              <w:bottom w:val="single" w:color="000000" w:sz="8" w:space="0"/>
              <w:right w:val="single" w:color="000000" w:sz="4"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风险管理</w:t>
            </w:r>
          </w:p>
        </w:tc>
        <w:tc>
          <w:tcPr>
            <w:tcW w:w="2973" w:type="pct"/>
            <w:tcBorders>
              <w:top w:val="single" w:color="000000" w:sz="4" w:space="0"/>
              <w:left w:val="single" w:color="000000" w:sz="4" w:space="0"/>
              <w:bottom w:val="single" w:color="000000" w:sz="8" w:space="0"/>
              <w:right w:val="single" w:color="000000" w:sz="8" w:space="0"/>
            </w:tcBorders>
            <w:vAlign w:val="center"/>
          </w:tcPr>
          <w:p>
            <w:pPr>
              <w:pStyle w:val="5"/>
              <w:spacing w:line="360" w:lineRule="auto"/>
              <w:jc w:val="both"/>
              <w:rPr>
                <w:rFonts w:ascii="楷体" w:hAnsi="楷体" w:eastAsia="楷体"/>
                <w:color w:val="221E1F"/>
              </w:rPr>
            </w:pPr>
            <w:r>
              <w:rPr>
                <w:rFonts w:hint="eastAsia" w:ascii="楷体" w:hAnsi="楷体" w:eastAsia="楷体" w:cs="Verdana"/>
                <w:color w:val="221E1F"/>
              </w:rPr>
              <w:t>对经营、管理的重大事项进行正确审核与评估，避免重大决策失误，强化风险管理</w:t>
            </w:r>
          </w:p>
        </w:tc>
      </w:tr>
    </w:tbl>
    <w:p>
      <w:pPr>
        <w:spacing w:line="360" w:lineRule="auto"/>
        <w:ind w:firstLine="480" w:firstLineChars="200"/>
        <w:rPr>
          <w:rFonts w:hint="eastAsia" w:ascii="楷体" w:hAnsi="楷体" w:eastAsia="楷体"/>
          <w:sz w:val="24"/>
        </w:rPr>
      </w:pPr>
    </w:p>
    <w:p>
      <w:pPr>
        <w:tabs>
          <w:tab w:val="left" w:pos="2535"/>
        </w:tabs>
        <w:spacing w:line="360" w:lineRule="auto"/>
        <w:ind w:firstLine="480" w:firstLineChars="200"/>
        <w:rPr>
          <w:rFonts w:ascii="楷体" w:hAnsi="楷体" w:eastAsia="楷体"/>
          <w:sz w:val="24"/>
        </w:rPr>
      </w:pPr>
      <w:r>
        <w:rPr>
          <w:rFonts w:hint="eastAsia" w:ascii="楷体" w:hAnsi="楷体" w:eastAsia="楷体" w:cs="Verdana"/>
          <w:b/>
          <w:color w:val="221E1F"/>
          <w:sz w:val="24"/>
        </w:rPr>
        <w:t xml:space="preserve"> </w:t>
      </w:r>
      <w:r>
        <w:rPr>
          <w:rFonts w:ascii="楷体" w:hAnsi="楷体" w:eastAsia="楷体"/>
          <w:sz w:val="24"/>
        </w:rPr>
        <w:t xml:space="preserve">                                 </w:t>
      </w:r>
    </w:p>
    <w:p>
      <w:pPr>
        <w:tabs>
          <w:tab w:val="left" w:pos="2535"/>
        </w:tabs>
        <w:spacing w:line="360" w:lineRule="auto"/>
        <w:ind w:firstLine="480" w:firstLineChars="200"/>
        <w:rPr>
          <w:rFonts w:ascii="楷体" w:hAnsi="楷体" w:eastAsia="楷体"/>
          <w:sz w:val="24"/>
        </w:rPr>
      </w:pPr>
      <w:r>
        <w:rPr>
          <w:rFonts w:ascii="楷体" w:hAnsi="楷体" w:eastAsia="楷体"/>
          <w:sz w:val="24"/>
        </w:rPr>
        <w:t xml:space="preserve">                      </w:t>
      </w:r>
    </w:p>
    <w:p>
      <w:pPr>
        <w:tabs>
          <w:tab w:val="left" w:pos="2535"/>
        </w:tabs>
        <w:spacing w:line="360" w:lineRule="auto"/>
        <w:ind w:firstLine="480" w:firstLineChars="200"/>
        <w:rPr>
          <w:rFonts w:ascii="楷体" w:hAnsi="楷体" w:eastAsia="楷体"/>
          <w:sz w:val="24"/>
        </w:rPr>
      </w:pPr>
      <w:r>
        <w:rPr>
          <w:rFonts w:ascii="楷体" w:hAnsi="楷体" w:eastAsia="楷体"/>
          <w:sz w:val="24"/>
        </w:rPr>
        <w:t xml:space="preserve">              </w:t>
      </w:r>
    </w:p>
    <w:p>
      <w:pPr>
        <w:spacing w:line="360" w:lineRule="auto"/>
        <w:ind w:firstLine="480" w:firstLineChars="200"/>
        <w:rPr>
          <w:rFonts w:hint="eastAsia" w:ascii="楷体" w:hAnsi="楷体" w:eastAsia="楷体"/>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Verdana">
    <w:panose1 w:val="020B0804030504040204"/>
    <w:charset w:val="00"/>
    <w:family w:val="swiss"/>
    <w:pitch w:val="default"/>
    <w:sig w:usb0="A10006FF" w:usb1="4000205B" w:usb2="00000010" w:usb3="00000000" w:csb0="2000019F" w:csb1="00000000"/>
  </w:font>
  <w:font w:name="方正大标宋简体">
    <w:altName w:val="苹方-简"/>
    <w:panose1 w:val="00000000000000000000"/>
    <w:charset w:val="86"/>
    <w:family w:val="roma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方正楷体简体">
    <w:altName w:val="苹方-简"/>
    <w:panose1 w:val="00000000000000000000"/>
    <w:charset w:val="86"/>
    <w:family w:val="roman"/>
    <w:pitch w:val="default"/>
    <w:sig w:usb0="00000000" w:usb1="00000000" w:usb2="00000010" w:usb3="00000000" w:csb0="00040000" w:csb1="00000000"/>
  </w:font>
  <w:font w:name="黑体.体简体">
    <w:altName w:val="苹方-简"/>
    <w:panose1 w:val="00000000000000000000"/>
    <w:charset w:val="86"/>
    <w:family w:val="swiss"/>
    <w:pitch w:val="default"/>
    <w:sig w:usb0="00000000" w:usb1="00000000" w:usb2="00000010" w:usb3="00000000" w:csb0="00040000" w:csb1="00000000"/>
  </w:font>
  <w:font w:name="黑体e眠副浡渀.">
    <w:altName w:val="苹方-简"/>
    <w:panose1 w:val="00000000000000000000"/>
    <w:charset w:val="86"/>
    <w:family w:val="swiss"/>
    <w:pitch w:val="default"/>
    <w:sig w:usb0="00000000" w:usb1="00000000" w:usb2="00000010" w:usb3="00000000" w:csb0="00040000" w:csb1="00000000"/>
  </w:font>
  <w:font w:name="Lucida Sans Typewriter">
    <w:altName w:val="苹方-简"/>
    <w:panose1 w:val="020B0509030504030204"/>
    <w:charset w:val="00"/>
    <w:family w:val="modern"/>
    <w:pitch w:val="default"/>
    <w:sig w:usb0="00000000" w:usb1="0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00" w:lineRule="auto"/>
      <w:jc w:val="center"/>
      <w:rPr>
        <w:rFonts w:ascii="楷体" w:hAnsi="楷体" w:eastAsia="楷体"/>
        <w:sz w:val="18"/>
      </w:rPr>
    </w:pPr>
    <w:r>
      <w:rPr>
        <w:rFonts w:ascii="楷体" w:hAnsi="楷体" w:eastAsia="楷体"/>
        <w:sz w:val="18"/>
      </w:rPr>
      <w:fldChar w:fldCharType="begin"/>
    </w:r>
    <w:r>
      <w:rPr>
        <w:rFonts w:ascii="楷体" w:hAnsi="楷体" w:eastAsia="楷体" w:cs="Verdana"/>
        <w:sz w:val="18"/>
      </w:rPr>
      <w:instrText xml:space="preserve"> PAGE </w:instrText>
    </w:r>
    <w:r>
      <w:rPr>
        <w:rFonts w:ascii="楷体" w:hAnsi="楷体" w:eastAsia="楷体"/>
        <w:sz w:val="18"/>
      </w:rPr>
      <w:fldChar w:fldCharType="separate"/>
    </w:r>
    <w:r>
      <w:rPr>
        <w:rFonts w:ascii="楷体" w:hAnsi="楷体" w:eastAsia="楷体" w:cs="Verdana"/>
        <w:sz w:val="18"/>
      </w:rPr>
      <w:t>1</w:t>
    </w:r>
    <w:r>
      <w:rPr>
        <w:rFonts w:ascii="楷体" w:hAnsi="楷体" w:eastAsia="楷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00" w:lineRule="auto"/>
      <w:jc w:val="center"/>
    </w:pPr>
    <w:r>
      <w:rPr>
        <w:rFonts w:ascii="Verdana" w:hAnsi="Verdana" w:eastAsia="Verdana" w:cs="Verdana"/>
        <w:b/>
        <w:i/>
        <w:strike/>
        <w:sz w:val="14"/>
      </w:rPr>
      <w:t>页脚内容</w:t>
    </w:r>
    <w:r>
      <w:fldChar w:fldCharType="begin"/>
    </w:r>
    <w:r>
      <w:rPr>
        <w:rFonts w:ascii="Verdana" w:hAnsi="Verdana" w:eastAsia="Verdana" w:cs="Verdana"/>
      </w:rPr>
      <w:instrText xml:space="preserve"> PAGE </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00" w:lineRule="auto"/>
      <w:jc w:val="center"/>
    </w:pPr>
    <w:r>
      <w:rPr>
        <w:rFonts w:ascii="Verdana" w:hAnsi="Verdana" w:eastAsia="Verdana" w:cs="Verdana"/>
        <w:b/>
        <w:i/>
        <w:strike/>
        <w:color w:val="00FFFF"/>
        <w:sz w:val="14"/>
      </w:rPr>
      <w:t>页脚内容</w:t>
    </w:r>
    <w:r>
      <w:fldChar w:fldCharType="begin"/>
    </w:r>
    <w:r>
      <w:rPr>
        <w:rFonts w:ascii="Verdana" w:hAnsi="Verdana" w:eastAsia="Verdana" w:cs="Verdana"/>
      </w:rPr>
      <w:instrText xml:space="preserve"> PAGE </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spacing w:line="400" w:lineRule="auto"/>
      <w:jc w:val="center"/>
      <w:rPr>
        <w:rFonts w:ascii="Lucida Sans Typewriter" w:hAnsi="Lucida Sans Typewriter" w:eastAsia="Lucida Sans Typewriter" w:cs="Lucida Sans Typewriter"/>
        <w:b/>
        <w:i/>
        <w:strike/>
        <w:sz w:val="14"/>
      </w:rPr>
    </w:pPr>
    <w:r>
      <w:rPr>
        <w:rFonts w:ascii="Verdana" w:hAnsi="Verdana" w:eastAsia="Verdana" w:cs="Verdana"/>
        <w:b/>
        <w:i/>
        <w:strike/>
        <w:sz w:val="14"/>
      </w:rPr>
      <w:t>MATCH公司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spacing w:line="400" w:lineRule="auto"/>
      <w:jc w:val="center"/>
      <w:rPr>
        <w:rFonts w:ascii="Lucida Sans Typewriter" w:hAnsi="Lucida Sans Typewriter" w:eastAsia="Lucida Sans Typewriter" w:cs="Lucida Sans Typewriter"/>
        <w:b/>
        <w:i/>
        <w:strike/>
        <w:color w:val="00FFFF"/>
        <w:sz w:val="14"/>
      </w:rPr>
    </w:pPr>
    <w:r>
      <w:rPr>
        <w:rFonts w:ascii="Verdana" w:hAnsi="Verdana" w:eastAsia="Verdana" w:cs="Verdana"/>
        <w:b/>
        <w:i/>
        <w:strike/>
        <w:color w:val="00FFFF"/>
        <w:sz w:val="14"/>
      </w:rPr>
      <w:t>MATCH公司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C9F"/>
    <w:rsid w:val="001C2C57"/>
    <w:rsid w:val="0027740B"/>
    <w:rsid w:val="0030424E"/>
    <w:rsid w:val="00397064"/>
    <w:rsid w:val="003C2C9F"/>
    <w:rsid w:val="00474015"/>
    <w:rsid w:val="00483BCE"/>
    <w:rsid w:val="00520A0B"/>
    <w:rsid w:val="0059318B"/>
    <w:rsid w:val="007D0CE4"/>
    <w:rsid w:val="008515A5"/>
    <w:rsid w:val="00A0281A"/>
    <w:rsid w:val="00B94AFD"/>
    <w:rsid w:val="00BD70C6"/>
    <w:rsid w:val="00C06174"/>
    <w:rsid w:val="00EE3E1E"/>
    <w:rsid w:val="BFCD8EA3"/>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efault"/>
    <w:qFormat/>
    <w:uiPriority w:val="0"/>
    <w:pPr>
      <w:widowControl w:val="0"/>
      <w:autoSpaceDE w:val="0"/>
      <w:autoSpaceDN w:val="0"/>
      <w:adjustRightInd w:val="0"/>
    </w:pPr>
    <w:rPr>
      <w:rFonts w:ascii="方正大标宋简体" w:hAnsi="Calibri" w:eastAsia="方正大标宋简体" w:cs="方正大标宋简体"/>
      <w:color w:val="000000"/>
      <w:sz w:val="24"/>
      <w:szCs w:val="24"/>
      <w:lang w:val="en-US" w:eastAsia="zh-CN" w:bidi="ar-SA"/>
    </w:rPr>
  </w:style>
  <w:style w:type="paragraph" w:customStyle="1" w:styleId="6">
    <w:name w:val="CM1"/>
    <w:basedOn w:val="5"/>
    <w:next w:val="5"/>
    <w:qFormat/>
    <w:uiPriority w:val="0"/>
    <w:rPr>
      <w:rFonts w:cs="Times New Roman"/>
      <w:color w:val="auto"/>
    </w:rPr>
  </w:style>
  <w:style w:type="paragraph" w:customStyle="1" w:styleId="7">
    <w:name w:val="CM3"/>
    <w:basedOn w:val="5"/>
    <w:next w:val="5"/>
    <w:qFormat/>
    <w:uiPriority w:val="0"/>
    <w:pPr>
      <w:spacing w:line="366" w:lineRule="atLeast"/>
    </w:pPr>
    <w:rPr>
      <w:rFonts w:cs="Times New Roman"/>
      <w:color w:val="auto"/>
    </w:rPr>
  </w:style>
  <w:style w:type="paragraph" w:customStyle="1" w:styleId="8">
    <w:name w:val="CM9"/>
    <w:basedOn w:val="5"/>
    <w:next w:val="5"/>
    <w:qFormat/>
    <w:uiPriority w:val="0"/>
    <w:pPr>
      <w:spacing w:line="378" w:lineRule="atLeast"/>
    </w:pPr>
    <w:rPr>
      <w:rFonts w:cs="Times New Roman"/>
      <w:color w:val="auto"/>
    </w:rPr>
  </w:style>
  <w:style w:type="paragraph" w:customStyle="1" w:styleId="9">
    <w:name w:val="CM11"/>
    <w:basedOn w:val="5"/>
    <w:next w:val="5"/>
    <w:qFormat/>
    <w:uiPriority w:val="0"/>
    <w:pPr>
      <w:spacing w:line="378" w:lineRule="atLeast"/>
    </w:pPr>
    <w:rPr>
      <w:rFonts w:cs="Times New Roman"/>
      <w:color w:val="auto"/>
    </w:rPr>
  </w:style>
  <w:style w:type="paragraph" w:customStyle="1" w:styleId="10">
    <w:name w:val="CM16"/>
    <w:basedOn w:val="5"/>
    <w:next w:val="5"/>
    <w:qFormat/>
    <w:uiPriority w:val="0"/>
    <w:pPr>
      <w:spacing w:line="420" w:lineRule="atLeast"/>
    </w:pPr>
    <w:rPr>
      <w:rFonts w:cs="Times New Roman"/>
      <w:color w:val="auto"/>
    </w:rPr>
  </w:style>
  <w:style w:type="paragraph" w:customStyle="1" w:styleId="11">
    <w:name w:val="CM25"/>
    <w:basedOn w:val="5"/>
    <w:next w:val="5"/>
    <w:qFormat/>
    <w:uiPriority w:val="0"/>
    <w:rPr>
      <w:rFonts w:cs="Times New Roman"/>
      <w:color w:val="auto"/>
    </w:rPr>
  </w:style>
  <w:style w:type="paragraph" w:customStyle="1" w:styleId="12">
    <w:name w:val="CM15"/>
    <w:basedOn w:val="5"/>
    <w:next w:val="5"/>
    <w:qFormat/>
    <w:uiPriority w:val="0"/>
    <w:rPr>
      <w:rFonts w:ascii="宋体" w:eastAsia="宋体" w:cs="Times New Roman"/>
      <w:color w:val="auto"/>
    </w:rPr>
  </w:style>
  <w:style w:type="character" w:customStyle="1" w:styleId="13">
    <w:name w:val="页眉 Char"/>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659</Words>
  <Characters>3762</Characters>
  <Lines>31</Lines>
  <Paragraphs>8</Paragraphs>
  <ScaleCrop>false</ScaleCrop>
  <LinksUpToDate>false</LinksUpToDate>
  <CharactersWithSpaces>4413</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2021-08-10T09:15:00Z</dcterms:created>
  <dc:creator>Administrator</dc:creator>
  <cp:lastModifiedBy>dae</cp:lastModifiedBy>
  <cp:lastPrinted>2113-01-01T08:00:00Z</cp:lastPrinted>
  <dcterms:modified xsi:type="dcterms:W3CDTF">2022-03-03T16:11:33Z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