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false"/>
        <w:keepLines w:val="false"/>
        <w:pageBreakBefore w:val="false"/>
        <w:widowControl/>
        <w:kinsoku w:val="true"/>
        <w:overflowPunct w:val="true"/>
        <w:autoSpaceDE w:val="true"/>
        <w:bidi w:val="0"/>
        <w:snapToGrid w:val="true"/>
        <w:spacing w:lineRule="auto" w:line="360" w:before="313" w:after="312"/>
        <w:jc w:val="center"/>
        <w:textAlignment w:val="auto"/>
        <w:rPr>
          <w:rFonts w:ascii="楷体;汉仪楷体KW" w:hAnsi="楷体;汉仪楷体KW" w:eastAsia="楷体;汉仪楷体KW" w:cs="黑体;汉仪中黑KW"/>
          <w:b/>
          <w:b/>
          <w:bCs/>
          <w:color w:val="000000"/>
          <w:kern w:val="0"/>
          <w:sz w:val="24"/>
          <w:szCs w:val="28"/>
        </w:rPr>
      </w:pPr>
      <w:r>
        <w:rPr>
          <w:rFonts w:ascii="楷体;汉仪楷体KW" w:hAnsi="楷体;汉仪楷体KW" w:cs="黑体;汉仪中黑KW" w:eastAsia="楷体;汉仪楷体KW"/>
          <w:b/>
          <w:bCs/>
          <w:color w:val="000000"/>
          <w:kern w:val="0"/>
          <w:sz w:val="24"/>
          <w:szCs w:val="28"/>
        </w:rPr>
        <w:t>成绩与效率改进计划</w:t>
      </w:r>
    </w:p>
    <w:tbl>
      <w:tblPr>
        <w:tblW w:w="9405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620"/>
        <w:gridCol w:w="2550"/>
        <w:gridCol w:w="2235"/>
      </w:tblGrid>
      <w:tr>
        <w:trPr>
          <w:trHeight w:val="1446" w:hRule="atLeast"/>
          <w:cantSplit w:val="true"/>
        </w:trPr>
        <w:tc>
          <w:tcPr>
            <w:tcW w:w="9405" w:type="dxa"/>
            <w:gridSpan w:val="3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楷体;汉仪楷体KW" w:hAnsi="楷体;汉仪楷体KW" w:eastAsia="楷体;汉仪楷体KW"/>
                <w:color w:val="000000"/>
                <w:sz w:val="24"/>
              </w:rPr>
            </w:pPr>
            <w:r>
              <w:rPr>
                <w:rFonts w:ascii="楷体;汉仪楷体KW" w:hAnsi="楷体;汉仪楷体KW" w:eastAsia="楷体;汉仪楷体KW"/>
                <w:color w:val="000000"/>
                <w:sz w:val="24"/>
              </w:rPr>
              <w:t>待改进成绩与效率：                      训练新进员工</w:t>
            </w:r>
          </w:p>
          <w:p>
            <w:pPr>
              <w:pStyle w:val="Normal"/>
              <w:spacing w:lineRule="auto" w:line="360"/>
              <w:rPr>
                <w:rFonts w:ascii="楷体;汉仪楷体KW" w:hAnsi="楷体;汉仪楷体KW" w:eastAsia="楷体;汉仪楷体KW"/>
                <w:color w:val="000000"/>
                <w:sz w:val="24"/>
              </w:rPr>
            </w:pPr>
            <w:r>
              <w:rPr>
                <w:rFonts w:ascii="楷体;汉仪楷体KW" w:hAnsi="楷体;汉仪楷体KW" w:eastAsia="楷体;汉仪楷体KW"/>
                <w:color w:val="000000"/>
                <w:sz w:val="24"/>
              </w:rPr>
              <w:t>员工：</w:t>
            </w:r>
            <w:r>
              <w:rPr>
                <w:rFonts w:ascii="楷体;汉仪楷体KW" w:hAnsi="楷体;汉仪楷体KW" w:eastAsia="楷体;汉仪楷体KW"/>
                <w:color w:val="000000"/>
                <w:sz w:val="24"/>
              </w:rPr>
              <w:t xml:space="preserve">            </w:t>
            </w:r>
            <w:r>
              <w:rPr>
                <w:rFonts w:ascii="楷体;汉仪楷体KW" w:hAnsi="楷体;汉仪楷体KW" w:eastAsia="楷体;汉仪楷体KW"/>
                <w:color w:val="000000"/>
                <w:sz w:val="24"/>
              </w:rPr>
              <w:t xml:space="preserve">                      主管：</w:t>
            </w:r>
            <w:r>
              <w:rPr>
                <w:rFonts w:ascii="楷体;汉仪楷体KW" w:hAnsi="楷体;汉仪楷体KW" w:eastAsia="楷体;汉仪楷体KW"/>
                <w:color w:val="000000"/>
                <w:sz w:val="24"/>
              </w:rPr>
              <w:t xml:space="preserve">                  </w:t>
            </w:r>
          </w:p>
          <w:p>
            <w:pPr>
              <w:pStyle w:val="Normal"/>
              <w:spacing w:lineRule="auto" w:line="360"/>
              <w:rPr>
                <w:rFonts w:ascii="楷体;汉仪楷体KW" w:hAnsi="楷体;汉仪楷体KW" w:eastAsia="楷体;汉仪楷体KW"/>
                <w:color w:val="000000"/>
                <w:sz w:val="24"/>
              </w:rPr>
            </w:pPr>
            <w:r>
              <w:rPr>
                <w:rFonts w:ascii="楷体;汉仪楷体KW" w:hAnsi="楷体;汉仪楷体KW" w:eastAsia="楷体;汉仪楷体KW"/>
                <w:color w:val="000000"/>
                <w:sz w:val="24"/>
              </w:rPr>
              <w:t>时间：</w:t>
            </w:r>
            <w:r>
              <w:rPr>
                <w:rFonts w:ascii="楷体;汉仪楷体KW" w:hAnsi="楷体;汉仪楷体KW" w:eastAsia="楷体;汉仪楷体KW"/>
                <w:color w:val="000000"/>
                <w:sz w:val="24"/>
              </w:rPr>
              <w:t xml:space="preserve">  </w:t>
            </w:r>
            <w:r>
              <w:rPr>
                <w:rFonts w:ascii="楷体;汉仪楷体KW" w:hAnsi="楷体;汉仪楷体KW" w:eastAsia="楷体;汉仪楷体KW"/>
                <w:color w:val="000000"/>
                <w:sz w:val="24"/>
              </w:rPr>
              <w:t>月</w:t>
            </w:r>
            <w:r>
              <w:rPr>
                <w:rFonts w:ascii="楷体;汉仪楷体KW" w:hAnsi="楷体;汉仪楷体KW" w:eastAsia="楷体;汉仪楷体KW"/>
                <w:color w:val="000000"/>
                <w:sz w:val="24"/>
              </w:rPr>
              <w:t xml:space="preserve">   </w:t>
            </w:r>
            <w:r>
              <w:rPr>
                <w:rFonts w:ascii="楷体;汉仪楷体KW" w:hAnsi="楷体;汉仪楷体KW" w:eastAsia="楷体;汉仪楷体KW"/>
                <w:color w:val="000000"/>
                <w:sz w:val="24"/>
              </w:rPr>
              <w:t>日</w:t>
            </w:r>
          </w:p>
        </w:tc>
      </w:tr>
      <w:tr>
        <w:trPr/>
        <w:tc>
          <w:tcPr>
            <w:tcW w:w="4620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;汉仪楷体KW" w:hAnsi="楷体;汉仪楷体KW" w:eastAsia="楷体;汉仪楷体KW"/>
                <w:color w:val="000000"/>
                <w:sz w:val="24"/>
              </w:rPr>
            </w:pPr>
            <w:r>
              <w:rPr>
                <w:rFonts w:ascii="楷体;汉仪楷体KW" w:hAnsi="楷体;汉仪楷体KW" w:eastAsia="楷体;汉仪楷体KW"/>
                <w:color w:val="000000"/>
                <w:sz w:val="24"/>
              </w:rPr>
              <w:t>执</w:t>
            </w:r>
            <w:r>
              <w:rPr>
                <w:rFonts w:ascii="楷体;汉仪楷体KW" w:hAnsi="楷体;汉仪楷体KW" w:eastAsia="楷体;汉仪楷体KW"/>
                <w:color w:val="000000"/>
                <w:sz w:val="24"/>
              </w:rPr>
              <w:t xml:space="preserve"> </w:t>
            </w:r>
            <w:r>
              <w:rPr>
                <w:rFonts w:ascii="楷体;汉仪楷体KW" w:hAnsi="楷体;汉仪楷体KW" w:eastAsia="楷体;汉仪楷体KW"/>
                <w:color w:val="000000"/>
                <w:sz w:val="24"/>
              </w:rPr>
              <w:t>行</w:t>
            </w:r>
            <w:r>
              <w:rPr>
                <w:rFonts w:ascii="楷体;汉仪楷体KW" w:hAnsi="楷体;汉仪楷体KW" w:eastAsia="楷体;汉仪楷体KW"/>
                <w:color w:val="000000"/>
                <w:sz w:val="24"/>
              </w:rPr>
              <w:t xml:space="preserve"> </w:t>
            </w:r>
            <w:r>
              <w:rPr>
                <w:rFonts w:ascii="楷体;汉仪楷体KW" w:hAnsi="楷体;汉仪楷体KW" w:eastAsia="楷体;汉仪楷体KW"/>
                <w:color w:val="000000"/>
                <w:sz w:val="24"/>
              </w:rPr>
              <w:t>项</w:t>
            </w:r>
            <w:r>
              <w:rPr>
                <w:rFonts w:ascii="楷体;汉仪楷体KW" w:hAnsi="楷体;汉仪楷体KW" w:eastAsia="楷体;汉仪楷体KW"/>
                <w:color w:val="000000"/>
                <w:sz w:val="24"/>
              </w:rPr>
              <w:t xml:space="preserve"> </w:t>
            </w:r>
            <w:r>
              <w:rPr>
                <w:rFonts w:ascii="楷体;汉仪楷体KW" w:hAnsi="楷体;汉仪楷体KW" w:eastAsia="楷体;汉仪楷体KW"/>
                <w:color w:val="000000"/>
                <w:sz w:val="24"/>
              </w:rPr>
              <w:t>目</w:t>
            </w:r>
          </w:p>
        </w:tc>
        <w:tc>
          <w:tcPr>
            <w:tcW w:w="2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;汉仪楷体KW" w:hAnsi="楷体;汉仪楷体KW" w:eastAsia="楷体;汉仪楷体KW"/>
                <w:color w:val="000000"/>
                <w:sz w:val="24"/>
              </w:rPr>
            </w:pPr>
            <w:r>
              <w:rPr>
                <w:rFonts w:ascii="楷体;汉仪楷体KW" w:hAnsi="楷体;汉仪楷体KW" w:eastAsia="楷体;汉仪楷体KW"/>
                <w:color w:val="000000"/>
                <w:sz w:val="24"/>
              </w:rPr>
              <w:t>执</w:t>
            </w:r>
            <w:r>
              <w:rPr>
                <w:rFonts w:ascii="楷体;汉仪楷体KW" w:hAnsi="楷体;汉仪楷体KW" w:eastAsia="楷体;汉仪楷体KW"/>
                <w:color w:val="000000"/>
                <w:sz w:val="24"/>
              </w:rPr>
              <w:t xml:space="preserve">  </w:t>
            </w:r>
            <w:r>
              <w:rPr>
                <w:rFonts w:ascii="楷体;汉仪楷体KW" w:hAnsi="楷体;汉仪楷体KW" w:eastAsia="楷体;汉仪楷体KW"/>
                <w:color w:val="000000"/>
                <w:sz w:val="24"/>
              </w:rPr>
              <w:t>行</w:t>
            </w:r>
            <w:r>
              <w:rPr>
                <w:rFonts w:ascii="楷体;汉仪楷体KW" w:hAnsi="楷体;汉仪楷体KW" w:eastAsia="楷体;汉仪楷体KW"/>
                <w:color w:val="000000"/>
                <w:sz w:val="24"/>
              </w:rPr>
              <w:t xml:space="preserve">  </w:t>
            </w:r>
            <w:r>
              <w:rPr>
                <w:rFonts w:ascii="楷体;汉仪楷体KW" w:hAnsi="楷体;汉仪楷体KW" w:eastAsia="楷体;汉仪楷体KW"/>
                <w:color w:val="000000"/>
                <w:sz w:val="24"/>
              </w:rPr>
              <w:t>者</w:t>
            </w:r>
          </w:p>
        </w:tc>
        <w:tc>
          <w:tcPr>
            <w:tcW w:w="22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;汉仪楷体KW" w:hAnsi="楷体;汉仪楷体KW" w:eastAsia="楷体;汉仪楷体KW"/>
                <w:color w:val="000000"/>
                <w:sz w:val="24"/>
              </w:rPr>
            </w:pPr>
            <w:r>
              <w:rPr>
                <w:rFonts w:ascii="楷体;汉仪楷体KW" w:hAnsi="楷体;汉仪楷体KW" w:eastAsia="楷体;汉仪楷体KW"/>
                <w:color w:val="000000"/>
                <w:sz w:val="24"/>
              </w:rPr>
              <w:t>执</w:t>
            </w:r>
            <w:r>
              <w:rPr>
                <w:rFonts w:ascii="楷体;汉仪楷体KW" w:hAnsi="楷体;汉仪楷体KW" w:eastAsia="楷体;汉仪楷体KW"/>
                <w:color w:val="000000"/>
                <w:sz w:val="24"/>
              </w:rPr>
              <w:t xml:space="preserve"> </w:t>
            </w:r>
            <w:r>
              <w:rPr>
                <w:rFonts w:ascii="楷体;汉仪楷体KW" w:hAnsi="楷体;汉仪楷体KW" w:eastAsia="楷体;汉仪楷体KW"/>
                <w:color w:val="000000"/>
                <w:sz w:val="24"/>
              </w:rPr>
              <w:t>行</w:t>
            </w:r>
            <w:r>
              <w:rPr>
                <w:rFonts w:ascii="楷体;汉仪楷体KW" w:hAnsi="楷体;汉仪楷体KW" w:eastAsia="楷体;汉仪楷体KW"/>
                <w:color w:val="000000"/>
                <w:sz w:val="24"/>
              </w:rPr>
              <w:t xml:space="preserve"> </w:t>
            </w:r>
            <w:r>
              <w:rPr>
                <w:rFonts w:ascii="楷体;汉仪楷体KW" w:hAnsi="楷体;汉仪楷体KW" w:eastAsia="楷体;汉仪楷体KW"/>
                <w:color w:val="000000"/>
                <w:sz w:val="24"/>
              </w:rPr>
              <w:t>时</w:t>
            </w:r>
            <w:r>
              <w:rPr>
                <w:rFonts w:ascii="楷体;汉仪楷体KW" w:hAnsi="楷体;汉仪楷体KW" w:eastAsia="楷体;汉仪楷体KW"/>
                <w:color w:val="000000"/>
                <w:sz w:val="24"/>
              </w:rPr>
              <w:t xml:space="preserve"> </w:t>
            </w:r>
            <w:r>
              <w:rPr>
                <w:rFonts w:ascii="楷体;汉仪楷体KW" w:hAnsi="楷体;汉仪楷体KW" w:eastAsia="楷体;汉仪楷体KW"/>
                <w:color w:val="000000"/>
                <w:sz w:val="24"/>
              </w:rPr>
              <w:t>间</w:t>
            </w:r>
          </w:p>
        </w:tc>
      </w:tr>
      <w:tr>
        <w:trPr>
          <w:trHeight w:val="780" w:hRule="atLeast"/>
        </w:trPr>
        <w:tc>
          <w:tcPr>
            <w:tcW w:w="4620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0" w:leader="none"/>
                <w:tab w:val="left" w:pos="400" w:leader="none"/>
              </w:tabs>
              <w:spacing w:lineRule="auto" w:line="360"/>
              <w:ind w:start="0" w:hanging="19"/>
              <w:rPr>
                <w:rFonts w:ascii="楷体;汉仪楷体KW" w:hAnsi="楷体;汉仪楷体KW" w:eastAsia="楷体;汉仪楷体KW"/>
                <w:color w:val="000000"/>
                <w:sz w:val="24"/>
              </w:rPr>
            </w:pPr>
            <w:r>
              <w:rPr>
                <w:rFonts w:ascii="楷体;汉仪楷体KW" w:hAnsi="楷体;汉仪楷体KW" w:eastAsia="楷体;汉仪楷体KW"/>
                <w:color w:val="000000"/>
                <w:sz w:val="24"/>
              </w:rPr>
              <w:t>请教他的方法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0" w:leader="none"/>
                <w:tab w:val="left" w:pos="400" w:leader="none"/>
              </w:tabs>
              <w:spacing w:lineRule="auto" w:line="360"/>
              <w:ind w:start="0" w:hanging="19"/>
              <w:rPr>
                <w:rFonts w:ascii="楷体;汉仪楷体KW" w:hAnsi="楷体;汉仪楷体KW" w:eastAsia="楷体;汉仪楷体KW"/>
                <w:color w:val="000000"/>
                <w:sz w:val="24"/>
              </w:rPr>
            </w:pPr>
            <w:r>
              <w:rPr>
                <w:rFonts w:ascii="楷体;汉仪楷体KW" w:hAnsi="楷体;汉仪楷体KW" w:eastAsia="楷体;汉仪楷体KW"/>
                <w:color w:val="000000"/>
                <w:sz w:val="24"/>
              </w:rPr>
              <w:t>观察带领训练新进员工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0" w:leader="none"/>
                <w:tab w:val="left" w:pos="400" w:leader="none"/>
              </w:tabs>
              <w:spacing w:lineRule="auto" w:line="360"/>
              <w:ind w:start="0" w:hanging="19"/>
              <w:rPr>
                <w:rFonts w:ascii="楷体;汉仪楷体KW" w:hAnsi="楷体;汉仪楷体KW" w:eastAsia="楷体;汉仪楷体KW"/>
                <w:color w:val="000000"/>
                <w:sz w:val="24"/>
              </w:rPr>
            </w:pPr>
            <w:r>
              <w:rPr>
                <w:rFonts w:ascii="楷体;汉仪楷体KW" w:hAnsi="楷体;汉仪楷体KW" w:eastAsia="楷体;汉仪楷体KW"/>
                <w:color w:val="000000"/>
                <w:sz w:val="24"/>
              </w:rPr>
              <w:t>参加人事部门举办的新进员工座谈会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0" w:leader="none"/>
                <w:tab w:val="left" w:pos="400" w:leader="none"/>
              </w:tabs>
              <w:spacing w:lineRule="auto" w:line="360"/>
              <w:ind w:start="0" w:hanging="19"/>
              <w:rPr>
                <w:rFonts w:ascii="楷体;汉仪楷体KW" w:hAnsi="楷体;汉仪楷体KW" w:eastAsia="楷体;汉仪楷体KW"/>
                <w:color w:val="000000"/>
                <w:sz w:val="24"/>
              </w:rPr>
            </w:pPr>
            <w:r>
              <w:rPr>
                <w:rFonts w:ascii="楷体;汉仪楷体KW" w:hAnsi="楷体;汉仪楷体KW" w:eastAsia="楷体;汉仪楷体KW"/>
                <w:color w:val="000000"/>
                <w:sz w:val="24"/>
              </w:rPr>
              <w:t>决定新进员工报到的适当时间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0" w:leader="none"/>
                <w:tab w:val="left" w:pos="400" w:leader="none"/>
              </w:tabs>
              <w:spacing w:lineRule="auto" w:line="360"/>
              <w:ind w:start="0" w:hanging="19"/>
              <w:rPr>
                <w:rFonts w:ascii="楷体;汉仪楷体KW" w:hAnsi="楷体;汉仪楷体KW" w:eastAsia="楷体;汉仪楷体KW"/>
                <w:color w:val="000000"/>
                <w:sz w:val="24"/>
              </w:rPr>
            </w:pPr>
            <w:r>
              <w:rPr>
                <w:rFonts w:ascii="楷体;汉仪楷体KW" w:hAnsi="楷体;汉仪楷体KW" w:eastAsia="楷体;汉仪楷体KW"/>
                <w:color w:val="000000"/>
                <w:sz w:val="24"/>
              </w:rPr>
              <w:t>参加“如何训练新进人员”研讨会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0" w:leader="none"/>
                <w:tab w:val="left" w:pos="400" w:leader="none"/>
              </w:tabs>
              <w:spacing w:lineRule="auto" w:line="360"/>
              <w:ind w:start="0" w:hanging="19"/>
              <w:rPr>
                <w:rFonts w:ascii="楷体;汉仪楷体KW" w:hAnsi="楷体;汉仪楷体KW" w:eastAsia="楷体;汉仪楷体KW"/>
                <w:color w:val="000000"/>
                <w:sz w:val="24"/>
              </w:rPr>
            </w:pPr>
            <w:r>
              <w:rPr>
                <w:rFonts w:ascii="楷体;汉仪楷体KW" w:hAnsi="楷体;汉仪楷体KW" w:eastAsia="楷体;汉仪楷体KW"/>
                <w:color w:val="000000"/>
                <w:sz w:val="24"/>
              </w:rPr>
              <w:t>读下列书籍</w:t>
            </w:r>
          </w:p>
          <w:p>
            <w:pPr>
              <w:pStyle w:val="Normal"/>
              <w:tabs>
                <w:tab w:val="clear" w:pos="420"/>
                <w:tab w:val="left" w:pos="0" w:leader="none"/>
                <w:tab w:val="left" w:pos="264" w:leader="none"/>
              </w:tabs>
              <w:spacing w:lineRule="auto" w:line="360"/>
              <w:ind w:hanging="19"/>
              <w:rPr>
                <w:rFonts w:ascii="楷体;汉仪楷体KW" w:hAnsi="楷体;汉仪楷体KW" w:eastAsia="楷体;汉仪楷体KW"/>
                <w:color w:val="000000"/>
                <w:sz w:val="24"/>
              </w:rPr>
            </w:pPr>
            <w:r>
              <w:rPr>
                <w:rFonts w:ascii="楷体;汉仪楷体KW" w:hAnsi="楷体;汉仪楷体KW" w:eastAsia="楷体;汉仪楷体KW"/>
                <w:color w:val="000000"/>
                <w:sz w:val="24"/>
              </w:rPr>
              <w:t>（</w:t>
            </w:r>
            <w:r>
              <w:rPr>
                <w:rFonts w:eastAsia="楷体;汉仪楷体KW" w:ascii="楷体;汉仪楷体KW" w:hAnsi="楷体;汉仪楷体KW"/>
                <w:color w:val="000000"/>
                <w:sz w:val="24"/>
              </w:rPr>
              <w:t>1</w:t>
            </w:r>
            <w:r>
              <w:rPr>
                <w:rFonts w:ascii="楷体;汉仪楷体KW" w:hAnsi="楷体;汉仪楷体KW" w:eastAsia="楷体;汉仪楷体KW"/>
                <w:color w:val="000000"/>
                <w:sz w:val="24"/>
              </w:rPr>
              <w:t>）干部与经理的自我发展</w:t>
            </w:r>
          </w:p>
          <w:p>
            <w:pPr>
              <w:pStyle w:val="Normal"/>
              <w:tabs>
                <w:tab w:val="clear" w:pos="420"/>
                <w:tab w:val="left" w:pos="0" w:leader="none"/>
                <w:tab w:val="left" w:pos="264" w:leader="none"/>
              </w:tabs>
              <w:spacing w:lineRule="auto" w:line="360"/>
              <w:ind w:hanging="19"/>
              <w:rPr>
                <w:rFonts w:ascii="楷体;汉仪楷体KW" w:hAnsi="楷体;汉仪楷体KW" w:eastAsia="楷体;汉仪楷体KW"/>
                <w:color w:val="000000"/>
                <w:sz w:val="24"/>
              </w:rPr>
            </w:pPr>
            <w:r>
              <w:rPr>
                <w:rFonts w:ascii="楷体;汉仪楷体KW" w:hAnsi="楷体;汉仪楷体KW" w:eastAsia="楷体;汉仪楷体KW"/>
                <w:color w:val="000000"/>
                <w:sz w:val="24"/>
              </w:rPr>
              <w:t>（</w:t>
            </w:r>
            <w:r>
              <w:rPr>
                <w:rFonts w:eastAsia="楷体;汉仪楷体KW" w:ascii="楷体;汉仪楷体KW" w:hAnsi="楷体;汉仪楷体KW"/>
                <w:color w:val="000000"/>
                <w:sz w:val="24"/>
              </w:rPr>
              <w:t>2</w:t>
            </w:r>
            <w:r>
              <w:rPr>
                <w:rFonts w:ascii="楷体;汉仪楷体KW" w:hAnsi="楷体;汉仪楷体KW" w:eastAsia="楷体;汉仪楷体KW"/>
                <w:color w:val="000000"/>
                <w:sz w:val="24"/>
              </w:rPr>
              <w:t>）有效的沟通</w:t>
            </w:r>
          </w:p>
          <w:p>
            <w:pPr>
              <w:pStyle w:val="Normal"/>
              <w:tabs>
                <w:tab w:val="clear" w:pos="420"/>
                <w:tab w:val="left" w:pos="0" w:leader="none"/>
                <w:tab w:val="left" w:pos="264" w:leader="none"/>
              </w:tabs>
              <w:spacing w:lineRule="auto" w:line="360"/>
              <w:ind w:hanging="19"/>
              <w:rPr>
                <w:rFonts w:ascii="楷体;汉仪楷体KW" w:hAnsi="楷体;汉仪楷体KW" w:eastAsia="楷体;汉仪楷体KW"/>
                <w:color w:val="000000"/>
                <w:sz w:val="24"/>
              </w:rPr>
            </w:pPr>
            <w:r>
              <w:rPr>
                <w:rFonts w:ascii="楷体;汉仪楷体KW" w:hAnsi="楷体;汉仪楷体KW" w:eastAsia="楷体;汉仪楷体KW"/>
                <w:color w:val="000000"/>
                <w:sz w:val="24"/>
              </w:rPr>
              <w:t>（</w:t>
            </w:r>
            <w:r>
              <w:rPr>
                <w:rFonts w:eastAsia="楷体;汉仪楷体KW" w:ascii="楷体;汉仪楷体KW" w:hAnsi="楷体;汉仪楷体KW"/>
                <w:color w:val="000000"/>
                <w:sz w:val="24"/>
              </w:rPr>
              <w:t>3</w:t>
            </w:r>
            <w:r>
              <w:rPr>
                <w:rFonts w:ascii="楷体;汉仪楷体KW" w:hAnsi="楷体;汉仪楷体KW" w:eastAsia="楷体;汉仪楷体KW"/>
                <w:color w:val="000000"/>
                <w:sz w:val="24"/>
              </w:rPr>
              <w:t>）干部与在职训练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0" w:leader="none"/>
                <w:tab w:val="left" w:pos="264" w:leader="none"/>
              </w:tabs>
              <w:spacing w:lineRule="auto" w:line="360"/>
              <w:ind w:start="0" w:hanging="19"/>
              <w:rPr>
                <w:rFonts w:ascii="楷体;汉仪楷体KW" w:hAnsi="楷体;汉仪楷体KW" w:eastAsia="楷体;汉仪楷体KW"/>
                <w:color w:val="000000"/>
                <w:sz w:val="24"/>
              </w:rPr>
            </w:pPr>
            <w:r>
              <w:rPr>
                <w:rFonts w:ascii="楷体;汉仪楷体KW" w:hAnsi="楷体;汉仪楷体KW" w:eastAsia="楷体;汉仪楷体KW"/>
                <w:color w:val="000000"/>
                <w:sz w:val="24"/>
              </w:rPr>
              <w:t>观察主管训练新进员工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0" w:leader="none"/>
                <w:tab w:val="left" w:pos="264" w:leader="none"/>
              </w:tabs>
              <w:spacing w:lineRule="auto" w:line="360"/>
              <w:ind w:start="0" w:hanging="19"/>
              <w:rPr>
                <w:rFonts w:ascii="楷体;汉仪楷体KW" w:hAnsi="楷体;汉仪楷体KW" w:eastAsia="楷体;汉仪楷体KW"/>
                <w:color w:val="000000"/>
                <w:sz w:val="24"/>
              </w:rPr>
            </w:pPr>
            <w:r>
              <w:rPr>
                <w:rFonts w:ascii="楷体;汉仪楷体KW" w:hAnsi="楷体;汉仪楷体KW" w:eastAsia="楷体;汉仪楷体KW"/>
                <w:color w:val="000000"/>
                <w:sz w:val="24"/>
              </w:rPr>
              <w:t>有一名新进人谈话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420"/>
                <w:tab w:val="left" w:pos="0" w:leader="none"/>
                <w:tab w:val="left" w:pos="264" w:leader="none"/>
              </w:tabs>
              <w:spacing w:lineRule="auto" w:line="360"/>
              <w:ind w:start="0" w:hanging="19"/>
              <w:rPr>
                <w:rFonts w:ascii="楷体;汉仪楷体KW" w:hAnsi="楷体;汉仪楷体KW" w:eastAsia="楷体;汉仪楷体KW"/>
                <w:color w:val="000000"/>
                <w:sz w:val="24"/>
              </w:rPr>
            </w:pPr>
            <w:r>
              <w:rPr>
                <w:rFonts w:ascii="楷体;汉仪楷体KW" w:hAnsi="楷体;汉仪楷体KW" w:eastAsia="楷体;汉仪楷体KW"/>
                <w:color w:val="000000"/>
                <w:sz w:val="24"/>
              </w:rPr>
              <w:t>提供一份检查表给理体主管供训练新人之用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pos="0" w:leader="none"/>
                <w:tab w:val="left" w:pos="264" w:leader="none"/>
                <w:tab w:val="left" w:pos="420" w:leader="none"/>
                <w:tab w:val="left" w:pos="547" w:leader="none"/>
              </w:tabs>
              <w:spacing w:lineRule="auto" w:line="360"/>
              <w:ind w:start="0" w:hanging="19"/>
              <w:rPr>
                <w:rFonts w:ascii="楷体;汉仪楷体KW" w:hAnsi="楷体;汉仪楷体KW" w:eastAsia="楷体;汉仪楷体KW"/>
                <w:color w:val="000000"/>
                <w:sz w:val="24"/>
              </w:rPr>
            </w:pPr>
            <w:r>
              <w:rPr>
                <w:rFonts w:ascii="楷体;汉仪楷体KW" w:hAnsi="楷体;汉仪楷体KW" w:eastAsia="楷体;汉仪楷体KW"/>
                <w:color w:val="000000"/>
                <w:sz w:val="24"/>
              </w:rPr>
              <w:t>安排专用办公室，以便训练新人</w:t>
            </w:r>
          </w:p>
          <w:p>
            <w:pPr>
              <w:pStyle w:val="Normal"/>
              <w:tabs>
                <w:tab w:val="clear" w:pos="420"/>
                <w:tab w:val="left" w:pos="0" w:leader="none"/>
                <w:tab w:val="left" w:pos="264" w:leader="none"/>
              </w:tabs>
              <w:spacing w:lineRule="auto" w:line="360"/>
              <w:ind w:hanging="19"/>
              <w:rPr>
                <w:rFonts w:ascii="楷体;汉仪楷体KW" w:hAnsi="楷体;汉仪楷体KW" w:eastAsia="楷体;汉仪楷体KW"/>
                <w:color w:val="000000"/>
                <w:sz w:val="24"/>
              </w:rPr>
            </w:pPr>
            <w:r>
              <w:rPr>
                <w:rFonts w:eastAsia="楷体;汉仪楷体KW" w:ascii="楷体;汉仪楷体KW" w:hAnsi="楷体;汉仪楷体KW"/>
                <w:color w:val="000000"/>
                <w:sz w:val="24"/>
              </w:rPr>
              <w:t>11</w:t>
            </w:r>
            <w:r>
              <w:rPr>
                <w:rFonts w:ascii="楷体;汉仪楷体KW" w:hAnsi="楷体;汉仪楷体KW" w:eastAsia="楷体;汉仪楷体KW"/>
                <w:color w:val="000000"/>
                <w:sz w:val="24"/>
              </w:rPr>
              <w:t>．安排永久性训练场所</w:t>
            </w:r>
          </w:p>
        </w:tc>
        <w:tc>
          <w:tcPr>
            <w:tcW w:w="2550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楷体;汉仪楷体KW" w:hAnsi="楷体;汉仪楷体KW" w:eastAsia="楷体;汉仪楷体KW"/>
                <w:color w:val="000000"/>
                <w:sz w:val="24"/>
              </w:rPr>
            </w:pPr>
            <w:r>
              <w:rPr>
                <w:rFonts w:eastAsia="楷体;汉仪楷体KW" w:ascii="楷体;汉仪楷体KW" w:hAnsi="楷体;汉仪楷体KW"/>
                <w:color w:val="000000"/>
                <w:sz w:val="24"/>
              </w:rPr>
            </w:r>
          </w:p>
        </w:tc>
        <w:tc>
          <w:tcPr>
            <w:tcW w:w="223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楷体;汉仪楷体KW" w:hAnsi="楷体;汉仪楷体KW" w:eastAsia="楷体;汉仪楷体KW"/>
                <w:color w:val="000000"/>
                <w:sz w:val="24"/>
              </w:rPr>
            </w:pPr>
            <w:r>
              <w:rPr>
                <w:rFonts w:eastAsia="楷体;汉仪楷体KW" w:ascii="楷体;汉仪楷体KW" w:hAnsi="楷体;汉仪楷体KW"/>
                <w:color w:val="000000"/>
                <w:sz w:val="24"/>
              </w:rPr>
            </w:r>
          </w:p>
        </w:tc>
      </w:tr>
    </w:tbl>
    <w:p>
      <w:pPr>
        <w:pStyle w:val="Normal"/>
        <w:spacing w:lineRule="auto" w:line="360"/>
        <w:ind w:firstLine="480"/>
        <w:rPr>
          <w:rFonts w:ascii="楷体;汉仪楷体KW" w:hAnsi="楷体;汉仪楷体KW" w:eastAsia="楷体;汉仪楷体KW"/>
          <w:color w:val="000000"/>
          <w:sz w:val="24"/>
        </w:rPr>
      </w:pPr>
      <w:r>
        <w:rPr>
          <w:rFonts w:eastAsia="楷体;汉仪楷体KW" w:ascii="楷体;汉仪楷体KW" w:hAnsi="楷体;汉仪楷体KW"/>
          <w:color w:val="000000"/>
          <w:sz w:val="24"/>
        </w:rPr>
      </w:r>
    </w:p>
    <w:sectPr>
      <w:type w:val="nextPage"/>
      <w:pgSz w:w="11906" w:h="16838"/>
      <w:pgMar w:left="1474" w:right="1474" w:header="0" w:top="850" w:footer="0" w:bottom="85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楷体">
    <w:altName w:val="汉仪楷体KW"/>
    <w:charset w:val="00" w:characterSet="windows-1252"/>
    <w:family w:val="moder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0"/>
      <w:numFmt w:val="decimal"/>
      <w:lvlText w:val="%1．"/>
      <w:lvlJc w:val="start"/>
      <w:pPr>
        <w:tabs>
          <w:tab w:val="num" w:pos="0"/>
        </w:tabs>
        <w:ind w:start="420" w:hanging="420"/>
      </w:pPr>
      <w:rPr/>
    </w:lvl>
  </w:abstractNum>
  <w:abstractNum w:abstractNumId="2">
    <w:lvl w:ilvl="0">
      <w:start w:val="1"/>
      <w:numFmt w:val="decimal"/>
      <w:lvlText w:val="%1．"/>
      <w:lvlJc w:val="start"/>
      <w:pPr>
        <w:tabs>
          <w:tab w:val="num" w:pos="0"/>
        </w:tabs>
        <w:ind w:start="36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5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;汉仪书宋二KW" w:cs="宋体;汉仪书宋二KW"/>
      <w:color w:val="auto"/>
      <w:kern w:val="2"/>
      <w:sz w:val="21"/>
      <w:szCs w:val="21"/>
      <w:lang w:val="en-US" w:eastAsia="zh-CN" w:bidi="ar-SA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Style14">
    <w:name w:val="默认段落字体"/>
    <w:qFormat/>
    <w:rPr/>
  </w:style>
  <w:style w:type="character" w:styleId="PageNumber">
    <w:name w:val="Page Number"/>
    <w:basedOn w:val="Style14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</w:pPr>
    <w:rPr>
      <w:sz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2019-04-10T17:02:00Z</dcterms:created>
  <dc:creator>Data</dc:creator>
  <dc:description/>
  <dc:language>en-US</dc:language>
  <cp:lastModifiedBy>dae</cp:lastModifiedBy>
  <dcterms:modified xsi:type="dcterms:W3CDTF">2022-03-03T06:01:21Z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2052-3.6.0.5672</vt:lpwstr>
  </property>
</Properties>
</file>