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>
          <w:rFonts w:ascii="宋体;SimSun" w:hAnsi="宋体;SimSun" w:cs="宋体;SimSun"/>
        </w:rPr>
      </w:pPr>
      <w:r>
        <w:rPr>
          <w:rFonts w:ascii="宋体;SimSun" w:hAnsi="宋体;SimSun" w:cs="宋体;SimSun"/>
          <w:b/>
          <w:sz w:val="24"/>
        </w:rPr>
        <w:t>市场部经理考核评分表（月度）</w:t>
      </w:r>
    </w:p>
    <w:p>
      <w:pPr>
        <w:pStyle w:val="Normal"/>
        <w:jc w:val="end"/>
        <w:rPr>
          <w:rFonts w:ascii="宋体;SimSun" w:hAnsi="宋体;SimSun" w:cs="宋体;SimSun"/>
          <w:b/>
          <w:b/>
        </w:rPr>
      </w:pPr>
      <w:r>
        <w:rPr>
          <w:rFonts w:ascii="宋体;SimSun" w:hAnsi="宋体;SimSun" w:cs="宋体;SimSun"/>
          <w:b/>
        </w:rPr>
        <w:t>考核期间：        年   月</w:t>
      </w:r>
    </w:p>
    <w:tbl>
      <w:tblPr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1"/>
        <w:gridCol w:w="528"/>
        <w:gridCol w:w="742"/>
        <w:gridCol w:w="577"/>
        <w:gridCol w:w="540"/>
        <w:gridCol w:w="180"/>
        <w:gridCol w:w="718"/>
        <w:gridCol w:w="643"/>
        <w:gridCol w:w="848"/>
        <w:gridCol w:w="1391"/>
        <w:gridCol w:w="1141"/>
        <w:gridCol w:w="78"/>
        <w:gridCol w:w="371"/>
        <w:gridCol w:w="55"/>
        <w:gridCol w:w="418"/>
        <w:gridCol w:w="26"/>
        <w:gridCol w:w="431"/>
      </w:tblGrid>
      <w:tr>
        <w:trPr>
          <w:trHeight w:val="340" w:hRule="atLeast"/>
          <w:cantSplit w:val="true"/>
        </w:trPr>
        <w:tc>
          <w:tcPr>
            <w:tcW w:w="601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姓名</w:t>
            </w:r>
          </w:p>
        </w:tc>
        <w:tc>
          <w:tcPr>
            <w:tcW w:w="2387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541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岗位</w:t>
            </w:r>
          </w:p>
        </w:tc>
        <w:tc>
          <w:tcPr>
            <w:tcW w:w="4759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绩效</w:t>
            </w:r>
          </w:p>
        </w:tc>
        <w:tc>
          <w:tcPr>
            <w:tcW w:w="528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序号</w:t>
            </w:r>
          </w:p>
        </w:tc>
        <w:tc>
          <w:tcPr>
            <w:tcW w:w="1859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考核项目</w:t>
            </w:r>
          </w:p>
        </w:tc>
        <w:tc>
          <w:tcPr>
            <w:tcW w:w="898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权重</w:t>
            </w:r>
          </w:p>
        </w:tc>
        <w:tc>
          <w:tcPr>
            <w:tcW w:w="1491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指标要求</w:t>
            </w:r>
          </w:p>
        </w:tc>
        <w:tc>
          <w:tcPr>
            <w:tcW w:w="2532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评分等级</w:t>
            </w:r>
          </w:p>
        </w:tc>
        <w:tc>
          <w:tcPr>
            <w:tcW w:w="1379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859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89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491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2532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自评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上级</w:t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市场策划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80%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市场费用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30%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费销比在预算范围内，与同期相比下降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符合两项要求</w:t>
            </w:r>
            <w:r>
              <w:rPr>
                <w:rFonts w:eastAsia="黑体;SimHei" w:cs="黑体;SimHei" w:ascii="黑体;SimHei" w:hAnsi="黑体;SimHei"/>
                <w:szCs w:val="21"/>
              </w:rPr>
              <w:t>30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费销比在预算范围内，但并未下降</w:t>
            </w:r>
            <w:r>
              <w:rPr>
                <w:rFonts w:eastAsia="黑体;SimHei" w:cs="黑体;SimHei" w:ascii="黑体;SimHei" w:hAnsi="黑体;SimHei"/>
                <w:szCs w:val="21"/>
              </w:rPr>
              <w:t>15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费销比超出预算范围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广告投放销售增长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20%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投放后与投放前销售增长额高于投放费用</w:t>
            </w:r>
            <w:r>
              <w:rPr>
                <w:rFonts w:eastAsia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eastAsia="黑体;SimHei"/>
                <w:szCs w:val="21"/>
              </w:rPr>
              <w:t>倍以上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达到要求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销售增长额高于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倍以上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未实现增长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795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品牌美誉度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20%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企业品牌美誉度较同期增长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增长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基本持平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分；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下降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份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675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市场调研报告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5%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每月</w:t>
            </w:r>
            <w:r>
              <w:rPr>
                <w:rFonts w:eastAsia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eastAsia="黑体;SimHei"/>
                <w:szCs w:val="21"/>
              </w:rPr>
              <w:t>日前出外部市场调研报告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在规定时间内按质提交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延时或不予采信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策划分析报告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5%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每月</w:t>
            </w:r>
            <w:r>
              <w:rPr>
                <w:rFonts w:eastAsia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eastAsia="黑体;SimHei"/>
                <w:szCs w:val="21"/>
              </w:rPr>
              <w:t xml:space="preserve">日前提交内部策划分析报告 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在规定时间内按质提交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延时或不予采信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58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6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策划管理</w:t>
            </w:r>
            <w:r>
              <w:rPr>
                <w:rFonts w:eastAsia="黑体;SimHei" w:cs="黑体;SimHei" w:ascii="黑体;SimHei" w:hAnsi="黑体;SimHei"/>
                <w:szCs w:val="21"/>
              </w:rPr>
              <w:t>20%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费用预算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10%</w:t>
            </w:r>
          </w:p>
        </w:tc>
        <w:tc>
          <w:tcPr>
            <w:tcW w:w="149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费用预算与实际花费误差率在</w:t>
            </w:r>
            <w:r>
              <w:rPr>
                <w:rFonts w:eastAsia="黑体;SimHei" w:ascii="黑体;SimHei" w:hAnsi="黑体;SimHei"/>
                <w:szCs w:val="21"/>
              </w:rPr>
              <w:t>3%</w:t>
            </w:r>
            <w:r>
              <w:rPr>
                <w:rFonts w:ascii="黑体;SimHei" w:hAnsi="黑体;SimHei" w:eastAsia="黑体;SimHei"/>
                <w:szCs w:val="21"/>
              </w:rPr>
              <w:t>以内</w:t>
            </w:r>
          </w:p>
        </w:tc>
        <w:tc>
          <w:tcPr>
            <w:tcW w:w="2532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3%</w:t>
            </w:r>
            <w:r>
              <w:rPr>
                <w:rFonts w:ascii="黑体;SimHei" w:hAnsi="黑体;SimHei" w:cs="黑体;SimHei" w:eastAsia="黑体;SimHei"/>
                <w:szCs w:val="21"/>
              </w:rPr>
              <w:t>以内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5%</w:t>
            </w:r>
            <w:r>
              <w:rPr>
                <w:rFonts w:ascii="黑体;SimHei" w:hAnsi="黑体;SimHei" w:cs="黑体;SimHei" w:eastAsia="黑体;SimHei"/>
                <w:szCs w:val="21"/>
              </w:rPr>
              <w:t>以内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超过</w:t>
            </w:r>
            <w:r>
              <w:rPr>
                <w:rFonts w:eastAsia="黑体;SimHei" w:cs="黑体;SimHei" w:ascii="黑体;SimHei" w:hAnsi="黑体;SimHei"/>
                <w:szCs w:val="21"/>
              </w:rPr>
              <w:t>5%0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7</w:t>
            </w:r>
          </w:p>
        </w:tc>
        <w:tc>
          <w:tcPr>
            <w:tcW w:w="74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合作机构管理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rPr>
                <w:rFonts w:ascii="黑体;SimHei" w:hAnsi="黑体;SimHei" w:eastAsia="黑体;SimHei"/>
                <w:szCs w:val="21"/>
              </w:rPr>
            </w:pPr>
            <w:r>
              <w:rPr>
                <w:rFonts w:eastAsia="黑体;SimHei" w:ascii="黑体;SimHei" w:hAnsi="黑体;SimHei"/>
                <w:szCs w:val="21"/>
              </w:rPr>
              <w:t>10%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rFonts w:ascii="黑体;SimHei" w:hAnsi="黑体;SimHei" w:eastAsia="黑体;SimHei"/>
                <w:szCs w:val="21"/>
              </w:rPr>
            </w:pPr>
            <w:r>
              <w:rPr>
                <w:rFonts w:ascii="黑体;SimHei" w:hAnsi="黑体;SimHei" w:eastAsia="黑体;SimHei"/>
                <w:szCs w:val="21"/>
              </w:rPr>
              <w:t>每月新增</w:t>
            </w:r>
            <w:r>
              <w:rPr>
                <w:rFonts w:eastAsia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eastAsia="黑体;SimHei"/>
                <w:szCs w:val="21"/>
              </w:rPr>
              <w:t>家合作机构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家以上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家以上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无</w:t>
            </w:r>
            <w:r>
              <w:rPr>
                <w:rFonts w:eastAsia="黑体;SimHei" w:cs="黑体;SimHei" w:ascii="黑体;SimHei" w:hAnsi="黑体;SimHei"/>
                <w:szCs w:val="21"/>
              </w:rPr>
              <w:t>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60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2387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ascii="黑体;SimHei" w:hAnsi="黑体;SimHei" w:cs="黑体;SimHei" w:eastAsia="黑体;SimHei"/>
                <w:b/>
                <w:szCs w:val="21"/>
              </w:rPr>
              <w:t>加权合计</w:t>
            </w:r>
          </w:p>
        </w:tc>
        <w:tc>
          <w:tcPr>
            <w:tcW w:w="6300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;SimHei" w:hAnsi="黑体;SimHei" w:eastAsia="黑体;SimHei" w:cs="黑体;SimHei"/>
                <w:bCs w:val="false"/>
                <w:szCs w:val="21"/>
              </w:rPr>
            </w:pPr>
            <w:r>
              <w:rPr>
                <w:rFonts w:eastAsia="黑体;SimHei" w:cs="黑体;SimHei" w:ascii="黑体;SimHei" w:hAnsi="黑体;SimHei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</w:t>
            </w:r>
          </w:p>
        </w:tc>
        <w:tc>
          <w:tcPr>
            <w:tcW w:w="52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考核指标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权重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指标说明</w:t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考核评分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自评</w:t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上级</w:t>
            </w:r>
          </w:p>
        </w:tc>
        <w:tc>
          <w:tcPr>
            <w:tcW w:w="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主动性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;SimHei" w:cs="黑体;SimHei" w:ascii="黑体;SimHei" w:hAnsi="黑体;SimHei"/>
                <w:szCs w:val="21"/>
              </w:rPr>
              <w:t>25%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color w:val="000000"/>
                <w:kern w:val="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级：等候指示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级：询问有何工作可给分配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级：提出建议，然后再作有关行动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级：行动，但例外情况下征求意见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级：单独行动，定时汇报结果</w:t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创新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;SimHei" w:cs="黑体;SimHei" w:ascii="黑体;SimHei" w:hAnsi="黑体;SimHei"/>
                <w:szCs w:val="21"/>
              </w:rPr>
              <w:t>25%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color w:val="000000"/>
                <w:kern w:val="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级：对周围事物的关心和兴趣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级：勤用脑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级：创造力</w:t>
            </w: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=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综合能力</w:t>
            </w: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+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想象力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级：要唤醒心中的创造潜力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级：有小设想，奇想妙想，创新方案设计，小发明，科学小论文</w:t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人际关系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;SimHei" w:cs="黑体;SimHei" w:ascii="黑体;SimHei" w:hAnsi="黑体;SimHei"/>
                <w:szCs w:val="21"/>
              </w:rPr>
              <w:t>25%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color w:val="000000"/>
                <w:kern w:val="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级：接受邀请，维持正常工作关系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级：建立融洽关系讨论非工作事例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级：社会交往普遍发生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级：成为密友并能正当拓展业务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级：亲和力强，感染不同层次社会伙伴成为战略合作</w:t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清财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;SimHei" w:cs="黑体;SimHei" w:ascii="黑体;SimHei" w:hAnsi="黑体;SimHei"/>
                <w:szCs w:val="21"/>
              </w:rPr>
              <w:t>25%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;SimHei" w:hAnsi="黑体;SimHei" w:eastAsia="黑体;SimHei" w:cs="黑体;SimHei"/>
                <w:color w:val="000000"/>
                <w:kern w:val="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级：不违反财务制度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级：没有任何财务问题，并主动接受监督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级：不因自身利益而破坏游戏规则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color w:val="000000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级：主动节省费用，并不影响工作质量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color w:val="000000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color w:val="000000"/>
                <w:szCs w:val="21"/>
              </w:rPr>
              <w:t>级：因为财务明磊，对其它成员产生影响力与威慑力</w:t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1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2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3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15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4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20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>5</w:t>
            </w:r>
            <w:r>
              <w:rPr>
                <w:rFonts w:ascii="黑体;SimHei" w:hAnsi="黑体;SimHei" w:cs="黑体;SimHei" w:eastAsia="黑体;SimHei"/>
                <w:szCs w:val="21"/>
              </w:rPr>
              <w:t>级</w:t>
            </w:r>
            <w:r>
              <w:rPr>
                <w:rFonts w:eastAsia="黑体;SimHei" w:cs="黑体;SimHei" w:ascii="黑体;SimHei" w:hAnsi="黑体;SimHei"/>
                <w:szCs w:val="21"/>
              </w:rPr>
              <w:t>25</w:t>
            </w:r>
            <w:r>
              <w:rPr>
                <w:rFonts w:ascii="黑体;SimHei" w:hAnsi="黑体;SimHei" w:cs="黑体;SimHei" w:eastAsia="黑体;SimHei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4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  <w:tc>
          <w:tcPr>
            <w:tcW w:w="23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b/>
                <w:szCs w:val="21"/>
              </w:rPr>
              <w:t>加权合计</w:t>
            </w:r>
          </w:p>
        </w:tc>
        <w:tc>
          <w:tcPr>
            <w:tcW w:w="6300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总分</w:t>
            </w:r>
          </w:p>
        </w:tc>
        <w:tc>
          <w:tcPr>
            <w:tcW w:w="8687" w:type="dxa"/>
            <w:gridSpan w:val="1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总分</w:t>
            </w:r>
            <w:r>
              <w:rPr>
                <w:rFonts w:eastAsia="黑体;SimHei" w:cs="黑体;SimHei" w:ascii="黑体;SimHei" w:hAnsi="黑体;SimHei"/>
                <w:szCs w:val="21"/>
              </w:rPr>
              <w:t>=</w:t>
            </w:r>
            <w:r>
              <w:rPr>
                <w:rFonts w:ascii="黑体;SimHei" w:hAnsi="黑体;SimHei" w:cs="黑体;SimHei" w:eastAsia="黑体;SimHei"/>
                <w:szCs w:val="21"/>
              </w:rPr>
              <w:t>业绩考核得分</w:t>
            </w:r>
            <w:r>
              <w:rPr>
                <w:rFonts w:eastAsia="黑体;SimHei" w:cs="黑体;SimHei" w:ascii="黑体;SimHei" w:hAnsi="黑体;SimHei"/>
                <w:szCs w:val="21"/>
              </w:rPr>
              <w:t>×80%+</w:t>
            </w:r>
            <w:r>
              <w:rPr>
                <w:rFonts w:ascii="黑体;SimHei" w:hAnsi="黑体;SimHei" w:cs="黑体;SimHei" w:eastAsia="黑体;SimHei"/>
                <w:szCs w:val="21"/>
              </w:rPr>
              <w:t>行为考核得分</w:t>
            </w:r>
            <w:r>
              <w:rPr>
                <w:rFonts w:eastAsia="黑体;SimHei" w:cs="黑体;SimHei" w:ascii="黑体;SimHei" w:hAnsi="黑体;SimHei"/>
                <w:szCs w:val="21"/>
              </w:rPr>
              <w:t>×20%=</w:t>
            </w:r>
          </w:p>
        </w:tc>
      </w:tr>
      <w:tr>
        <w:trPr>
          <w:trHeight w:val="340" w:hRule="atLeast"/>
          <w:cantSplit w:val="true"/>
        </w:trPr>
        <w:tc>
          <w:tcPr>
            <w:tcW w:w="60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考核人</w:t>
            </w:r>
          </w:p>
        </w:tc>
        <w:tc>
          <w:tcPr>
            <w:tcW w:w="8687" w:type="dxa"/>
            <w:gridSpan w:val="16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eastAsia="黑体;SimHei" w:cs="黑体;SimHei" w:ascii="黑体;SimHei" w:hAnsi="黑体;SimHei"/>
                <w:szCs w:val="21"/>
              </w:rPr>
              <w:t xml:space="preserve">    </w:t>
            </w:r>
            <w:r>
              <w:rPr>
                <w:rFonts w:ascii="黑体;SimHei" w:hAnsi="黑体;SimHei" w:cs="黑体;SimHei" w:eastAsia="黑体;SimHei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;SimHei" w:hAnsi="黑体;SimHei" w:eastAsia="黑体;SimHei" w:cs="黑体;SimHei"/>
                <w:szCs w:val="21"/>
              </w:rPr>
            </w:pPr>
            <w:r>
              <w:rPr>
                <w:rFonts w:ascii="黑体;SimHei" w:hAnsi="黑体;SimHei" w:cs="黑体;SimHei" w:eastAsia="黑体;SimHei"/>
                <w:szCs w:val="21"/>
              </w:rPr>
              <w:t>年    月    日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/>
        <w:outlineLvl w:val="0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宋体;SimSun" w:hAnsi="宋体;SimSun"/>
          <w:b/>
          <w:sz w:val="24"/>
        </w:rPr>
      </w:r>
    </w:p>
    <w:p>
      <w:pPr>
        <w:pStyle w:val="Normal"/>
        <w:rPr>
          <w:rFonts w:ascii="宋体;SimSun" w:hAnsi="宋体;SimSun" w:cs="宋体;SimSun"/>
          <w:b/>
          <w:b/>
          <w:sz w:val="24"/>
        </w:rPr>
      </w:pPr>
      <w:r>
        <w:rPr>
          <w:rFonts w:cs="宋体;SimSun" w:ascii="宋体;SimSun" w:hAnsi="宋体;SimSun"/>
          <w:b/>
          <w:sz w:val="24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/>
    </w:pPr>
    <w:r>
      <w:rPr>
        <w:rFonts w:eastAsia="Times New Roman"/>
      </w:rPr>
      <w:t xml:space="preserve">                                        </w:t>
    </w:r>
    <w:r>
      <w:rPr>
        <w:rFonts w:ascii="黑体;SimHei" w:hAnsi="黑体;SimHei" w:eastAsia="黑体;SimHei"/>
        <w:sz w:val="21"/>
        <w:szCs w:val="21"/>
      </w:rPr>
      <w:t>强大的企业一定是用系统在赚钱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日期"/>
    <w:basedOn w:val="Normal"/>
    <w:next w:val="Normal"/>
    <w:qFormat/>
    <w:pPr/>
    <w:rPr>
      <w:rFonts w:ascii="宋体;SimSun" w:hAnsi="宋体;SimSun" w:cs="宋体;SimSun"/>
      <w:bCs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2009-12-25T02:42:00Z</dcterms:created>
  <dc:creator>User</dc:creator>
  <dc:description/>
  <cp:keywords> </cp:keywords>
  <dc:language>en-US</dc:language>
  <cp:lastModifiedBy>朱 权鑫</cp:lastModifiedBy>
  <dcterms:modified xsi:type="dcterms:W3CDTF">2020-04-16T22:36:00Z</dcterms:modified>
  <cp:revision>51</cp:revision>
  <dc:subject/>
  <dc:title>采购经理考核评分表（月度）</dc:title>
</cp:coreProperties>
</file>