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0" w:hRule="auto" w:wrap="auto" w:vAnchor="margin" w:hAnchor="text" w:yAlign="inline"/>
        <w:spacing w:line="440" w:lineRule="exact"/>
        <w:rPr>
          <w:rFonts w:ascii="微软雅黑" w:hAnsi="微软雅黑" w:eastAsia="微软雅黑" w:cs="微软雅黑"/>
          <w:sz w:val="24"/>
          <w:szCs w:val="24"/>
        </w:rPr>
      </w:pPr>
      <w:bookmarkStart w:id="0" w:name="_GoBack"/>
      <w:bookmarkEnd w:id="0"/>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360" w:lineRule="auto"/>
        <w:jc w:val="center"/>
        <w:rPr>
          <w:rFonts w:ascii="微软雅黑" w:hAnsi="微软雅黑" w:eastAsia="微软雅黑" w:cs="微软雅黑"/>
          <w:b/>
          <w:bCs/>
          <w:sz w:val="52"/>
          <w:szCs w:val="52"/>
        </w:rPr>
      </w:pPr>
      <w:r>
        <w:rPr>
          <w:rFonts w:ascii="微软雅黑" w:hAnsi="微软雅黑" w:eastAsia="微软雅黑" w:cs="微软雅黑"/>
          <w:b/>
          <w:bCs/>
          <w:sz w:val="52"/>
          <w:szCs w:val="52"/>
          <w:u w:val="single"/>
          <w:rtl w:val="0"/>
          <w:lang w:val="en-US"/>
        </w:rPr>
        <w:t xml:space="preserve">  </w:t>
      </w:r>
      <w:r>
        <w:rPr>
          <w:rFonts w:ascii="微软雅黑" w:hAnsi="微软雅黑" w:eastAsia="微软雅黑" w:cs="微软雅黑"/>
          <w:b/>
          <w:bCs/>
          <w:sz w:val="52"/>
          <w:szCs w:val="52"/>
          <w:u w:val="single"/>
          <w:rtl w:val="0"/>
          <w:lang w:val="zh-CN" w:eastAsia="zh-CN"/>
        </w:rPr>
        <w:t>某某</w:t>
      </w:r>
      <w:r>
        <w:rPr>
          <w:rFonts w:ascii="微软雅黑" w:hAnsi="微软雅黑" w:eastAsia="微软雅黑" w:cs="微软雅黑"/>
          <w:b/>
          <w:bCs/>
          <w:sz w:val="52"/>
          <w:szCs w:val="52"/>
          <w:u w:val="single"/>
          <w:rtl w:val="0"/>
          <w:lang w:val="en-US"/>
        </w:rPr>
        <w:t xml:space="preserve"> </w:t>
      </w:r>
      <w:r>
        <w:rPr>
          <w:rFonts w:ascii="微软雅黑" w:hAnsi="微软雅黑" w:eastAsia="微软雅黑" w:cs="微软雅黑"/>
          <w:b/>
          <w:bCs/>
          <w:sz w:val="52"/>
          <w:szCs w:val="52"/>
          <w:rtl w:val="0"/>
          <w:lang w:val="zh-TW" w:eastAsia="zh-TW"/>
        </w:rPr>
        <w:t>公司</w:t>
      </w:r>
    </w:p>
    <w:p>
      <w:pPr>
        <w:framePr w:w="0" w:hRule="auto" w:wrap="auto" w:vAnchor="margin" w:hAnchor="text" w:yAlign="inline"/>
        <w:spacing w:line="360" w:lineRule="auto"/>
        <w:jc w:val="center"/>
        <w:rPr>
          <w:rFonts w:ascii="微软雅黑" w:hAnsi="微软雅黑" w:eastAsia="微软雅黑" w:cs="微软雅黑"/>
          <w:b/>
          <w:bCs/>
          <w:sz w:val="52"/>
          <w:szCs w:val="52"/>
        </w:rPr>
      </w:pPr>
      <w:r>
        <w:rPr>
          <w:rFonts w:ascii="微软雅黑" w:hAnsi="微软雅黑" w:eastAsia="微软雅黑" w:cs="微软雅黑"/>
          <w:b/>
          <w:bCs/>
          <w:sz w:val="52"/>
          <w:szCs w:val="52"/>
          <w:u w:val="single"/>
          <w:rtl w:val="0"/>
          <w:lang w:val="en-US"/>
        </w:rPr>
        <w:t xml:space="preserve">  201</w:t>
      </w:r>
      <w:r>
        <w:rPr>
          <w:rFonts w:ascii="微软雅黑" w:hAnsi="微软雅黑" w:eastAsia="微软雅黑" w:cs="微软雅黑"/>
          <w:b/>
          <w:bCs/>
          <w:sz w:val="52"/>
          <w:szCs w:val="52"/>
          <w:u w:val="single"/>
          <w:rtl w:val="0"/>
          <w:lang w:val="zh-CN" w:eastAsia="zh-CN"/>
        </w:rPr>
        <w:t>7</w:t>
      </w:r>
      <w:r>
        <w:rPr>
          <w:rFonts w:ascii="微软雅黑" w:hAnsi="微软雅黑" w:eastAsia="微软雅黑" w:cs="微软雅黑"/>
          <w:b/>
          <w:bCs/>
          <w:sz w:val="52"/>
          <w:szCs w:val="52"/>
          <w:u w:val="single"/>
          <w:rtl w:val="0"/>
          <w:lang w:val="en-US"/>
        </w:rPr>
        <w:t xml:space="preserve">  </w:t>
      </w:r>
      <w:r>
        <w:rPr>
          <w:rFonts w:ascii="微软雅黑" w:hAnsi="微软雅黑" w:eastAsia="微软雅黑" w:cs="微软雅黑"/>
          <w:b/>
          <w:bCs/>
          <w:sz w:val="52"/>
          <w:szCs w:val="52"/>
          <w:rtl w:val="0"/>
          <w:lang w:val="zh-TW" w:eastAsia="zh-TW"/>
        </w:rPr>
        <w:t>年度</w:t>
      </w:r>
      <w:r>
        <w:rPr>
          <w:rFonts w:ascii="微软雅黑" w:hAnsi="微软雅黑" w:eastAsia="微软雅黑" w:cs="微软雅黑"/>
          <w:rtl w:val="0"/>
          <w:lang w:val="en-US"/>
        </w:rPr>
        <w:t xml:space="preserve"> </w:t>
      </w:r>
      <w:r>
        <w:rPr>
          <w:rFonts w:ascii="微软雅黑" w:hAnsi="微软雅黑" w:eastAsia="微软雅黑" w:cs="微软雅黑"/>
          <w:b/>
          <w:bCs/>
          <w:sz w:val="52"/>
          <w:szCs w:val="52"/>
          <w:u w:val="single"/>
          <w:rtl w:val="0"/>
          <w:lang w:val="en-US"/>
        </w:rPr>
        <w:t xml:space="preserve"> </w:t>
      </w:r>
      <w:r>
        <w:rPr>
          <w:rFonts w:ascii="微软雅黑" w:hAnsi="微软雅黑" w:eastAsia="微软雅黑" w:cs="微软雅黑"/>
          <w:b/>
          <w:bCs/>
          <w:sz w:val="52"/>
          <w:szCs w:val="52"/>
          <w:u w:val="single"/>
          <w:rtl w:val="0"/>
          <w:lang w:val="zh-TW" w:eastAsia="zh-TW"/>
        </w:rPr>
        <w:t>员工晋升</w:t>
      </w:r>
      <w:r>
        <w:rPr>
          <w:rFonts w:ascii="微软雅黑" w:hAnsi="微软雅黑" w:eastAsia="微软雅黑" w:cs="微软雅黑"/>
          <w:b/>
          <w:bCs/>
          <w:sz w:val="52"/>
          <w:szCs w:val="52"/>
          <w:rtl w:val="0"/>
          <w:lang w:val="zh-TW" w:eastAsia="zh-TW"/>
        </w:rPr>
        <w:t>手册</w:t>
      </w: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编制机构：</w:t>
      </w:r>
      <w:r>
        <w:rPr>
          <w:rFonts w:ascii="微软雅黑" w:hAnsi="微软雅黑" w:eastAsia="微软雅黑" w:cs="微软雅黑"/>
          <w:sz w:val="24"/>
          <w:szCs w:val="24"/>
          <w:u w:val="single"/>
          <w:rtl w:val="0"/>
          <w:lang w:val="en-US"/>
        </w:rPr>
        <w:t xml:space="preserve"> </w:t>
      </w:r>
      <w:r>
        <w:rPr>
          <w:rFonts w:ascii="微软雅黑" w:hAnsi="微软雅黑" w:eastAsia="微软雅黑" w:cs="微软雅黑"/>
          <w:sz w:val="24"/>
          <w:szCs w:val="24"/>
          <w:u w:val="single"/>
          <w:rtl w:val="0"/>
          <w:lang w:val="zh-TW" w:eastAsia="zh-TW"/>
        </w:rPr>
        <w:t>人力资源部</w:t>
      </w:r>
    </w:p>
    <w:p>
      <w:pPr>
        <w:framePr w:w="0" w:hRule="auto" w:wrap="auto" w:vAnchor="margin" w:hAnchor="text" w:yAlign="inline"/>
        <w:spacing w:line="440" w:lineRule="exact"/>
        <w:rPr>
          <w:rFonts w:ascii="微软雅黑" w:hAnsi="微软雅黑" w:eastAsia="微软雅黑" w:cs="微软雅黑"/>
          <w:sz w:val="24"/>
          <w:szCs w:val="24"/>
        </w:rPr>
      </w:pP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编制时间：</w:t>
      </w:r>
      <w:r>
        <w:rPr>
          <w:rFonts w:ascii="微软雅黑" w:hAnsi="微软雅黑" w:eastAsia="微软雅黑" w:cs="微软雅黑"/>
          <w:sz w:val="24"/>
          <w:szCs w:val="24"/>
          <w:u w:val="single"/>
          <w:rtl w:val="0"/>
          <w:lang w:val="en-US"/>
        </w:rPr>
        <w:t xml:space="preserve"> 201</w:t>
      </w:r>
      <w:r>
        <w:rPr>
          <w:rFonts w:ascii="微软雅黑" w:hAnsi="微软雅黑" w:eastAsia="微软雅黑" w:cs="微软雅黑"/>
          <w:sz w:val="24"/>
          <w:szCs w:val="24"/>
          <w:u w:val="single"/>
          <w:rtl w:val="0"/>
          <w:lang w:val="zh-CN" w:eastAsia="zh-CN"/>
        </w:rPr>
        <w:t>7</w:t>
      </w:r>
      <w:r>
        <w:rPr>
          <w:rFonts w:ascii="微软雅黑" w:hAnsi="微软雅黑" w:eastAsia="微软雅黑" w:cs="微软雅黑"/>
          <w:sz w:val="24"/>
          <w:szCs w:val="24"/>
          <w:u w:val="single"/>
          <w:rtl w:val="0"/>
          <w:lang w:val="zh-TW" w:eastAsia="zh-TW"/>
        </w:rPr>
        <w:t>年</w:t>
      </w:r>
      <w:r>
        <w:rPr>
          <w:rFonts w:ascii="微软雅黑" w:hAnsi="微软雅黑" w:eastAsia="微软雅黑" w:cs="微软雅黑"/>
          <w:sz w:val="24"/>
          <w:szCs w:val="24"/>
          <w:u w:val="single"/>
          <w:rtl w:val="0"/>
          <w:lang w:val="en-US"/>
        </w:rPr>
        <w:t>4</w:t>
      </w:r>
      <w:r>
        <w:rPr>
          <w:rFonts w:ascii="微软雅黑" w:hAnsi="微软雅黑" w:eastAsia="微软雅黑" w:cs="微软雅黑"/>
          <w:sz w:val="24"/>
          <w:szCs w:val="24"/>
          <w:u w:val="single"/>
          <w:rtl w:val="0"/>
          <w:lang w:val="zh-TW" w:eastAsia="zh-TW"/>
        </w:rPr>
        <w:t>月</w:t>
      </w: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jc w:val="center"/>
        <w:rPr>
          <w:rFonts w:ascii="微软雅黑" w:hAnsi="微软雅黑" w:eastAsia="微软雅黑" w:cs="微软雅黑"/>
          <w:sz w:val="24"/>
          <w:szCs w:val="24"/>
        </w:rPr>
      </w:pPr>
    </w:p>
    <w:p>
      <w:pPr>
        <w:framePr w:w="0" w:hRule="auto" w:wrap="auto" w:vAnchor="margin" w:hAnchor="text" w:yAlign="inline"/>
        <w:spacing w:line="440" w:lineRule="exact"/>
        <w:jc w:val="center"/>
        <w:rPr>
          <w:rFonts w:ascii="微软雅黑" w:hAnsi="微软雅黑" w:eastAsia="微软雅黑" w:cs="微软雅黑"/>
          <w:b/>
          <w:bCs/>
          <w:sz w:val="24"/>
          <w:szCs w:val="24"/>
        </w:rPr>
      </w:pPr>
      <w:r>
        <w:rPr>
          <w:rFonts w:ascii="微软雅黑" w:hAnsi="微软雅黑" w:eastAsia="微软雅黑" w:cs="微软雅黑"/>
          <w:b/>
          <w:bCs/>
          <w:sz w:val="50"/>
          <w:szCs w:val="50"/>
          <w:rtl w:val="0"/>
          <w:lang w:val="zh-TW" w:eastAsia="zh-TW"/>
        </w:rPr>
        <w:t>前</w:t>
      </w:r>
      <w:r>
        <w:rPr>
          <w:rFonts w:ascii="微软雅黑" w:hAnsi="微软雅黑" w:eastAsia="微软雅黑" w:cs="微软雅黑"/>
          <w:b/>
          <w:bCs/>
          <w:sz w:val="50"/>
          <w:szCs w:val="50"/>
          <w:rtl w:val="0"/>
          <w:lang w:val="en-US"/>
        </w:rPr>
        <w:t xml:space="preserve">  </w:t>
      </w:r>
      <w:r>
        <w:rPr>
          <w:rFonts w:ascii="微软雅黑" w:hAnsi="微软雅黑" w:eastAsia="微软雅黑" w:cs="微软雅黑"/>
          <w:b/>
          <w:bCs/>
          <w:sz w:val="50"/>
          <w:szCs w:val="50"/>
          <w:rtl w:val="0"/>
          <w:lang w:val="zh-TW" w:eastAsia="zh-TW"/>
        </w:rPr>
        <w:t>言</w:t>
      </w:r>
    </w:p>
    <w:p>
      <w:pPr>
        <w:framePr w:w="0" w:hRule="auto" w:wrap="auto" w:vAnchor="margin" w:hAnchor="text" w:yAlign="inline"/>
        <w:spacing w:line="440" w:lineRule="exact"/>
        <w:jc w:val="center"/>
        <w:rPr>
          <w:rFonts w:ascii="微软雅黑" w:hAnsi="微软雅黑" w:eastAsia="微软雅黑" w:cs="微软雅黑"/>
          <w:b/>
          <w:bCs/>
          <w:sz w:val="24"/>
          <w:szCs w:val="24"/>
          <w:lang w:val="zh-TW" w:eastAsia="zh-TW"/>
        </w:rPr>
      </w:pPr>
    </w:p>
    <w:p>
      <w:pPr>
        <w:framePr w:w="0" w:hRule="auto" w:wrap="auto" w:vAnchor="margin" w:hAnchor="text" w:yAlign="inline"/>
        <w:spacing w:line="440" w:lineRule="exact"/>
        <w:jc w:val="center"/>
        <w:rPr>
          <w:rFonts w:ascii="微软雅黑" w:hAnsi="微软雅黑" w:eastAsia="微软雅黑" w:cs="微软雅黑"/>
          <w:b/>
          <w:bCs/>
          <w:sz w:val="24"/>
          <w:szCs w:val="24"/>
        </w:rPr>
      </w:pPr>
    </w:p>
    <w:p>
      <w:pPr>
        <w:framePr w:w="0" w:hRule="auto" w:wrap="auto" w:vAnchor="margin" w:hAnchor="text" w:yAlign="inline"/>
        <w:spacing w:line="440" w:lineRule="exact"/>
        <w:rPr>
          <w:rFonts w:ascii="微软雅黑" w:hAnsi="微软雅黑" w:eastAsia="微软雅黑" w:cs="微软雅黑"/>
          <w:b/>
          <w:bCs/>
          <w:sz w:val="24"/>
          <w:szCs w:val="24"/>
        </w:rPr>
      </w:pPr>
      <w:r>
        <w:rPr>
          <w:rFonts w:ascii="微软雅黑" w:hAnsi="微软雅黑" w:eastAsia="微软雅黑" w:cs="微软雅黑"/>
          <w:b/>
          <w:bCs/>
          <w:sz w:val="24"/>
          <w:szCs w:val="24"/>
          <w:rtl w:val="0"/>
          <w:lang w:val="zh-TW" w:eastAsia="zh-TW"/>
        </w:rPr>
        <w:t xml:space="preserve">         我公司的用人理念是：数据用人   标准用人    </w:t>
      </w: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 xml:space="preserve">         我公司的用人标准是： 执行力强，勇于承担责任  </w:t>
      </w: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 xml:space="preserve">                                             结果导向，数据为主</w:t>
      </w: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 xml:space="preserve">                                             优秀的专业水准</w:t>
      </w: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 xml:space="preserve">                                             学习力强，勇于突破自己</w:t>
      </w: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 xml:space="preserve">      </w:t>
      </w:r>
    </w:p>
    <w:p>
      <w:pPr>
        <w:pStyle w:val="3"/>
        <w:framePr w:w="0" w:hRule="auto" w:wrap="auto" w:vAnchor="margin" w:hAnchor="text" w:yAlign="inline"/>
        <w:shd w:val="clear" w:color="auto" w:fill="FFFFFF"/>
        <w:spacing w:before="0" w:after="0" w:line="500" w:lineRule="atLeast"/>
        <w:ind w:firstLine="420"/>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r>
        <w:rPr>
          <w:rFonts w:ascii="微软雅黑" w:hAnsi="微软雅黑" w:eastAsia="微软雅黑" w:cs="微软雅黑"/>
          <w:rtl w:val="0"/>
          <w:lang w:val="en-US"/>
        </w:rPr>
        <w:t xml:space="preserve">        </w:t>
      </w: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jc w:val="center"/>
        <w:rPr>
          <w:rFonts w:ascii="微软雅黑" w:hAnsi="微软雅黑" w:eastAsia="微软雅黑" w:cs="微软雅黑"/>
          <w:sz w:val="50"/>
          <w:szCs w:val="50"/>
          <w:lang w:val="zh-TW" w:eastAsia="zh-TW"/>
        </w:rPr>
      </w:pPr>
      <w:r>
        <w:rPr>
          <w:rFonts w:ascii="微软雅黑" w:hAnsi="微软雅黑" w:eastAsia="微软雅黑" w:cs="微软雅黑"/>
          <w:sz w:val="50"/>
          <w:szCs w:val="50"/>
          <w:rtl w:val="0"/>
          <w:lang w:val="zh-TW" w:eastAsia="zh-TW"/>
        </w:rPr>
        <w:t>目  录</w:t>
      </w: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r>
        <w:rPr>
          <w:rFonts w:ascii="微软雅黑" w:hAnsi="微软雅黑" w:eastAsia="微软雅黑" w:cs="微软雅黑"/>
          <w:sz w:val="24"/>
          <w:szCs w:val="24"/>
          <w:rtl w:val="0"/>
          <w:lang w:val="zh-TW" w:eastAsia="zh-TW"/>
        </w:rPr>
        <w:t>一、员工晋升管理制度</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二、具体方案</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 xml:space="preserve">        1、营销职系及晋升标准</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 xml:space="preserve">        2、生产职系及晋升标准</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 xml:space="preserve">        3、技术职系及晋升标准</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 xml:space="preserve">        4、管理职系及晋升标准</w:t>
      </w: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jc w:val="center"/>
        <w:rPr>
          <w:rFonts w:ascii="微软雅黑" w:hAnsi="微软雅黑" w:eastAsia="微软雅黑" w:cs="微软雅黑"/>
          <w:sz w:val="36"/>
          <w:szCs w:val="36"/>
          <w:lang w:val="zh-TW" w:eastAsia="zh-TW"/>
        </w:rPr>
      </w:pPr>
      <w:r>
        <w:rPr>
          <w:rFonts w:ascii="微软雅黑" w:hAnsi="微软雅黑" w:eastAsia="微软雅黑" w:cs="微软雅黑"/>
          <w:sz w:val="36"/>
          <w:szCs w:val="36"/>
          <w:rtl w:val="0"/>
          <w:lang w:val="zh-TW" w:eastAsia="zh-TW"/>
        </w:rPr>
        <w:t>员工晋升管理制度</w:t>
      </w:r>
    </w:p>
    <w:p>
      <w:pPr>
        <w:framePr w:w="0" w:hRule="auto" w:wrap="auto" w:vAnchor="margin" w:hAnchor="text" w:yAlign="inline"/>
        <w:tabs>
          <w:tab w:val="left" w:pos="6180"/>
        </w:tabs>
        <w:spacing w:line="440" w:lineRule="exact"/>
        <w:jc w:val="center"/>
        <w:rPr>
          <w:rFonts w:ascii="微软雅黑" w:hAnsi="微软雅黑" w:eastAsia="微软雅黑" w:cs="微软雅黑"/>
          <w:sz w:val="24"/>
          <w:szCs w:val="24"/>
        </w:rPr>
      </w:pPr>
    </w:p>
    <w:p>
      <w:pPr>
        <w:framePr w:w="0" w:hRule="auto" w:wrap="auto" w:vAnchor="margin" w:hAnchor="text" w:yAlign="inline"/>
        <w:tabs>
          <w:tab w:val="left" w:pos="1440"/>
          <w:tab w:val="left" w:pos="1470"/>
        </w:tabs>
        <w:spacing w:line="440" w:lineRule="exact"/>
        <w:rPr>
          <w:rFonts w:ascii="微软雅黑" w:hAnsi="微软雅黑" w:eastAsia="微软雅黑" w:cs="微软雅黑"/>
          <w:sz w:val="24"/>
          <w:szCs w:val="24"/>
        </w:rPr>
      </w:pPr>
      <w:r>
        <w:rPr>
          <w:rFonts w:ascii="微软雅黑" w:hAnsi="微软雅黑" w:eastAsia="微软雅黑" w:cs="微软雅黑"/>
          <w:b/>
          <w:bCs/>
          <w:sz w:val="24"/>
          <w:szCs w:val="24"/>
          <w:rtl w:val="0"/>
          <w:lang w:val="zh-TW" w:eastAsia="zh-TW"/>
        </w:rPr>
        <w:t>第一条</w:t>
      </w: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适用范围</w:t>
      </w:r>
    </w:p>
    <w:p>
      <w:pPr>
        <w:framePr w:w="0" w:hRule="auto" w:wrap="auto" w:vAnchor="margin" w:hAnchor="text" w:yAlign="inline"/>
        <w:spacing w:line="440" w:lineRule="exact"/>
        <w:rPr>
          <w:rFonts w:ascii="微软雅黑" w:hAnsi="微软雅黑" w:eastAsia="微软雅黑" w:cs="微软雅黑"/>
          <w:sz w:val="24"/>
          <w:szCs w:val="24"/>
        </w:rPr>
      </w:pPr>
      <w:r>
        <w:rPr>
          <w:rFonts w:ascii="微软雅黑" w:hAnsi="微软雅黑" w:eastAsia="微软雅黑" w:cs="微软雅黑"/>
          <w:sz w:val="24"/>
          <w:szCs w:val="24"/>
          <w:rtl w:val="0"/>
          <w:lang w:val="zh-TW" w:eastAsia="zh-TW"/>
        </w:rPr>
        <w:t>本管理办法适用于</w:t>
      </w:r>
      <w:r>
        <w:rPr>
          <w:rFonts w:ascii="微软雅黑" w:hAnsi="微软雅黑" w:eastAsia="微软雅黑" w:cs="微软雅黑"/>
          <w:sz w:val="24"/>
          <w:szCs w:val="24"/>
          <w:rtl w:val="0"/>
          <w:lang w:val="en-US"/>
        </w:rPr>
        <w:t>××××</w:t>
      </w:r>
      <w:r>
        <w:rPr>
          <w:rFonts w:ascii="微软雅黑" w:hAnsi="微软雅黑" w:eastAsia="微软雅黑" w:cs="微软雅黑"/>
          <w:sz w:val="24"/>
          <w:szCs w:val="24"/>
          <w:rtl w:val="0"/>
          <w:lang w:val="zh-TW" w:eastAsia="zh-TW"/>
        </w:rPr>
        <w:t>公司全体员工（不含总经理）。</w:t>
      </w:r>
    </w:p>
    <w:p>
      <w:pPr>
        <w:framePr w:w="0" w:hRule="auto" w:wrap="auto" w:vAnchor="margin" w:hAnchor="text" w:yAlign="inline"/>
        <w:spacing w:line="440" w:lineRule="exact"/>
        <w:rPr>
          <w:rFonts w:ascii="微软雅黑" w:hAnsi="微软雅黑" w:eastAsia="微软雅黑" w:cs="微软雅黑"/>
          <w:sz w:val="24"/>
          <w:szCs w:val="24"/>
        </w:rPr>
      </w:pPr>
      <w:r>
        <w:rPr>
          <w:rFonts w:ascii="微软雅黑" w:hAnsi="微软雅黑" w:eastAsia="微软雅黑" w:cs="微软雅黑"/>
          <w:b/>
          <w:bCs/>
          <w:sz w:val="24"/>
          <w:szCs w:val="24"/>
          <w:rtl w:val="0"/>
          <w:lang w:val="zh-TW" w:eastAsia="zh-TW"/>
        </w:rPr>
        <w:t>第二条</w:t>
      </w: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目的</w:t>
      </w:r>
    </w:p>
    <w:p>
      <w:pPr>
        <w:framePr w:w="0" w:hRule="auto" w:wrap="auto" w:vAnchor="margin" w:hAnchor="text" w:yAlign="inline"/>
        <w:tabs>
          <w:tab w:val="left" w:pos="1470"/>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（一）充分、合理、有效地利用公司内部的人力资源，实现公司人力资源需求和员工个人职业生涯需求之间的平衡。</w:t>
      </w:r>
    </w:p>
    <w:p>
      <w:pPr>
        <w:framePr w:w="0" w:hRule="auto" w:wrap="auto" w:vAnchor="margin" w:hAnchor="text" w:yAlign="inline"/>
        <w:tabs>
          <w:tab w:val="left" w:pos="1470"/>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（二）对人力资源的开发与管理进行深化与发展，最大限度地开发本公司的人才。</w:t>
      </w:r>
    </w:p>
    <w:p>
      <w:pPr>
        <w:framePr w:w="0" w:hRule="auto" w:wrap="auto" w:vAnchor="margin" w:hAnchor="text" w:yAlign="inline"/>
        <w:tabs>
          <w:tab w:val="left" w:pos="1470"/>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（三）规划公司员工的职业生涯发展，促进员工与公司共同进步。</w:t>
      </w:r>
    </w:p>
    <w:p>
      <w:pPr>
        <w:framePr w:w="0" w:hRule="auto" w:wrap="auto" w:vAnchor="margin" w:hAnchor="text" w:yAlign="inline"/>
        <w:tabs>
          <w:tab w:val="left" w:pos="1470"/>
        </w:tabs>
        <w:spacing w:line="440" w:lineRule="exact"/>
        <w:rPr>
          <w:rFonts w:ascii="微软雅黑" w:hAnsi="微软雅黑" w:eastAsia="微软雅黑" w:cs="微软雅黑"/>
          <w:sz w:val="24"/>
          <w:szCs w:val="24"/>
        </w:rPr>
      </w:pPr>
      <w:r>
        <w:rPr>
          <w:rFonts w:ascii="微软雅黑" w:hAnsi="微软雅黑" w:eastAsia="微软雅黑" w:cs="微软雅黑"/>
          <w:b/>
          <w:bCs/>
          <w:sz w:val="24"/>
          <w:szCs w:val="24"/>
          <w:rtl w:val="0"/>
          <w:lang w:val="zh-TW" w:eastAsia="zh-TW"/>
        </w:rPr>
        <w:t>第三条</w:t>
      </w: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原则</w:t>
      </w:r>
    </w:p>
    <w:p>
      <w:pPr>
        <w:framePr w:w="0" w:hRule="auto" w:wrap="auto" w:vAnchor="margin" w:hAnchor="text" w:yAlign="inline"/>
        <w:tabs>
          <w:tab w:val="left" w:pos="1218"/>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（一）遵循人才成长规律，依据客观公正的考评结果，让最有责任心的人员担任重要的责任。</w:t>
      </w:r>
    </w:p>
    <w:p>
      <w:pPr>
        <w:framePr w:w="0" w:hRule="auto" w:wrap="auto" w:vAnchor="margin" w:hAnchor="text" w:yAlign="inline"/>
        <w:tabs>
          <w:tab w:val="left" w:pos="1218"/>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（二）将晋升作为一种激励手段与员工进行沟通，让他们充分认识到公司对人才的重视及为他们提供的发展道路。</w:t>
      </w:r>
    </w:p>
    <w:p>
      <w:pPr>
        <w:framePr w:w="0" w:hRule="auto" w:wrap="auto" w:vAnchor="margin" w:hAnchor="text" w:yAlign="inline"/>
        <w:tabs>
          <w:tab w:val="left" w:pos="1218"/>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（三）人才晋升方面不拘泥于资历与级别，而是按照公司目标与事业机会的要求，依据制度及甄别程序进行晋升。</w:t>
      </w:r>
    </w:p>
    <w:p>
      <w:pPr>
        <w:framePr w:w="0" w:hRule="auto" w:wrap="auto" w:vAnchor="margin" w:hAnchor="text" w:yAlign="inline"/>
        <w:tabs>
          <w:tab w:val="left" w:pos="1218"/>
          <w:tab w:val="left" w:pos="1620"/>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（四）保留职务上的公平竞争机制，坚决推行能上能下的职务管理制度。</w:t>
      </w:r>
    </w:p>
    <w:p>
      <w:pPr>
        <w:framePr w:w="0" w:hRule="auto" w:wrap="auto" w:vAnchor="margin" w:hAnchor="text" w:yAlign="inline"/>
        <w:tabs>
          <w:tab w:val="left" w:pos="1218"/>
        </w:tabs>
        <w:spacing w:line="440" w:lineRule="exact"/>
        <w:rPr>
          <w:rFonts w:ascii="微软雅黑" w:hAnsi="微软雅黑" w:eastAsia="微软雅黑" w:cs="微软雅黑"/>
          <w:kern w:val="44"/>
          <w:sz w:val="24"/>
          <w:szCs w:val="24"/>
        </w:rPr>
      </w:pPr>
      <w:r>
        <w:rPr>
          <w:rFonts w:ascii="微软雅黑" w:hAnsi="微软雅黑" w:eastAsia="微软雅黑" w:cs="微软雅黑"/>
          <w:b/>
          <w:bCs/>
          <w:sz w:val="24"/>
          <w:szCs w:val="24"/>
          <w:rtl w:val="0"/>
          <w:lang w:val="zh-TW" w:eastAsia="zh-TW"/>
        </w:rPr>
        <w:t>第四条</w:t>
      </w:r>
      <w:r>
        <w:rPr>
          <w:rFonts w:ascii="微软雅黑" w:hAnsi="微软雅黑" w:eastAsia="微软雅黑" w:cs="微软雅黑"/>
          <w:sz w:val="24"/>
          <w:szCs w:val="24"/>
          <w:rtl w:val="0"/>
          <w:lang w:val="en-US"/>
        </w:rPr>
        <w:t xml:space="preserve">  </w:t>
      </w:r>
      <w:r>
        <w:rPr>
          <w:rFonts w:ascii="微软雅黑" w:hAnsi="微软雅黑" w:eastAsia="微软雅黑" w:cs="微软雅黑"/>
          <w:kern w:val="44"/>
          <w:sz w:val="24"/>
          <w:szCs w:val="24"/>
          <w:rtl w:val="0"/>
          <w:lang w:val="zh-TW" w:eastAsia="zh-TW"/>
        </w:rPr>
        <w:t>公司协助员工进行生涯规划管理。员工晋升的主要要素为：业绩考核、能力及素质考核、职系晋升标准表。</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b/>
          <w:bCs/>
          <w:sz w:val="24"/>
          <w:szCs w:val="24"/>
          <w:rtl w:val="0"/>
          <w:lang w:val="zh-TW" w:eastAsia="zh-TW"/>
        </w:rPr>
        <w:t xml:space="preserve">第五条  </w:t>
      </w:r>
      <w:r>
        <w:rPr>
          <w:rFonts w:ascii="微软雅黑" w:hAnsi="微软雅黑" w:eastAsia="微软雅黑" w:cs="微软雅黑"/>
          <w:sz w:val="24"/>
          <w:szCs w:val="24"/>
          <w:rtl w:val="0"/>
          <w:lang w:val="zh-TW" w:eastAsia="zh-TW"/>
        </w:rPr>
        <w:t>根据公司各岗位工作性质的不同，设立四个职系。即：营销职系、专业技术职系、生产职系、管理职系，使从事不同岗位工作的员工均有可持续发展的职业生涯路径。</w:t>
      </w:r>
    </w:p>
    <w:p>
      <w:pPr>
        <w:framePr w:w="0" w:hRule="auto" w:wrap="auto" w:vAnchor="margin" w:hAnchor="text" w:yAlign="inline"/>
        <w:spacing w:line="440" w:lineRule="exact"/>
        <w:ind w:left="141" w:firstLine="0"/>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（一）营销职系：适用于营销类人员，包括销售员、销售主管、销售经理、营销总监及其它相关营销系统人员，含营销部、招商部、渠道部等。</w:t>
      </w:r>
    </w:p>
    <w:p>
      <w:pPr>
        <w:framePr w:w="0" w:hRule="auto" w:wrap="auto" w:vAnchor="margin" w:hAnchor="text" w:yAlign="inline"/>
        <w:spacing w:line="440" w:lineRule="exact"/>
        <w:ind w:left="141" w:firstLine="0"/>
        <w:rPr>
          <w:rFonts w:ascii="微软雅黑" w:hAnsi="微软雅黑" w:eastAsia="微软雅黑" w:cs="微软雅黑"/>
          <w:sz w:val="24"/>
          <w:szCs w:val="24"/>
        </w:rPr>
      </w:pPr>
      <w:r>
        <w:rPr>
          <w:rFonts w:ascii="微软雅黑" w:hAnsi="微软雅黑" w:eastAsia="微软雅黑" w:cs="微软雅黑"/>
          <w:sz w:val="24"/>
          <w:szCs w:val="24"/>
          <w:rtl w:val="0"/>
          <w:lang w:val="zh-TW" w:eastAsia="zh-TW"/>
        </w:rPr>
        <w:t>（二）专业技术职系：适用于技术研发、技术管理、产品设计等各类专业技术人员，包括技术部、研发部、财务部、质检部、</w:t>
      </w:r>
      <w:r>
        <w:rPr>
          <w:rFonts w:ascii="微软雅黑" w:hAnsi="微软雅黑" w:eastAsia="微软雅黑" w:cs="微软雅黑"/>
          <w:sz w:val="24"/>
          <w:szCs w:val="24"/>
          <w:rtl w:val="0"/>
          <w:lang w:val="en-US"/>
        </w:rPr>
        <w:t>IT</w:t>
      </w:r>
      <w:r>
        <w:rPr>
          <w:rFonts w:ascii="微软雅黑" w:hAnsi="微软雅黑" w:eastAsia="微软雅黑" w:cs="微软雅黑"/>
          <w:sz w:val="24"/>
          <w:szCs w:val="24"/>
          <w:rtl w:val="0"/>
          <w:lang w:val="zh-TW" w:eastAsia="zh-TW"/>
        </w:rPr>
        <w:t>部等部门人员。</w:t>
      </w:r>
    </w:p>
    <w:p>
      <w:pPr>
        <w:framePr w:w="0" w:hRule="auto" w:wrap="auto" w:vAnchor="margin" w:hAnchor="text" w:yAlign="inline"/>
        <w:spacing w:line="440" w:lineRule="exact"/>
        <w:ind w:left="141" w:firstLine="0"/>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（三）生产职系：适用于生产岗位人员、与生产有关的事务人员等。</w:t>
      </w:r>
    </w:p>
    <w:p>
      <w:pPr>
        <w:framePr w:w="0" w:hRule="auto" w:wrap="auto" w:vAnchor="margin" w:hAnchor="text" w:yAlign="inline"/>
        <w:spacing w:line="440" w:lineRule="exact"/>
        <w:ind w:left="141" w:firstLine="0"/>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（四）管理职系：适用于行政事务管理人员，包括行政部、人力资源部、办公室等部门人员。</w:t>
      </w:r>
    </w:p>
    <w:p>
      <w:pPr>
        <w:framePr w:w="0" w:hRule="auto" w:wrap="auto" w:vAnchor="margin" w:hAnchor="text" w:yAlign="inline"/>
        <w:spacing w:line="440" w:lineRule="exact"/>
        <w:ind w:left="141" w:firstLine="0"/>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（五）其它职系：企业根据需要自行增加。</w:t>
      </w:r>
    </w:p>
    <w:p>
      <w:pPr>
        <w:framePr w:w="0" w:hRule="auto" w:wrap="auto" w:vAnchor="margin" w:hAnchor="text" w:yAlign="inline"/>
        <w:spacing w:line="440" w:lineRule="exact"/>
        <w:ind w:left="141" w:firstLine="0"/>
        <w:rPr>
          <w:rFonts w:ascii="微软雅黑" w:hAnsi="微软雅黑" w:eastAsia="微软雅黑" w:cs="微软雅黑"/>
          <w:kern w:val="44"/>
          <w:sz w:val="24"/>
          <w:szCs w:val="24"/>
        </w:rPr>
      </w:pPr>
    </w:p>
    <w:p>
      <w:pPr>
        <w:framePr w:w="0" w:hRule="auto" w:wrap="auto" w:vAnchor="margin" w:hAnchor="text" w:yAlign="inline"/>
        <w:tabs>
          <w:tab w:val="left" w:pos="1440"/>
          <w:tab w:val="left" w:pos="1470"/>
        </w:tabs>
        <w:spacing w:line="440" w:lineRule="exact"/>
        <w:rPr>
          <w:rFonts w:ascii="微软雅黑" w:hAnsi="微软雅黑" w:eastAsia="微软雅黑" w:cs="微软雅黑"/>
          <w:b/>
          <w:bCs/>
          <w:sz w:val="24"/>
          <w:szCs w:val="24"/>
        </w:rPr>
      </w:pPr>
      <w:r>
        <w:rPr>
          <w:rFonts w:ascii="微软雅黑" w:hAnsi="微软雅黑" w:eastAsia="微软雅黑" w:cs="微软雅黑"/>
          <w:b/>
          <w:bCs/>
          <w:sz w:val="24"/>
          <w:szCs w:val="24"/>
          <w:rtl w:val="0"/>
          <w:lang w:val="zh-TW" w:eastAsia="zh-TW"/>
        </w:rPr>
        <w:t>第六条</w:t>
      </w: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员工发展通道确定与转换</w:t>
      </w:r>
    </w:p>
    <w:p>
      <w:pPr>
        <w:framePr w:w="0" w:hRule="auto" w:wrap="auto" w:vAnchor="margin" w:hAnchor="text" w:yAlign="inline"/>
        <w:tabs>
          <w:tab w:val="left" w:pos="1218"/>
        </w:tabs>
        <w:spacing w:line="440" w:lineRule="exact"/>
        <w:ind w:left="142" w:firstLine="0"/>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（一）考虑公司战略需要、员工个人实际情况及职业兴趣，员工在不同通道之间享有转换机会，但必须符合相应职务的任职条件，经过有关负责人员讨论通过后，由人力资源部备案并通知本人。</w:t>
      </w:r>
    </w:p>
    <w:p>
      <w:pPr>
        <w:framePr w:w="0" w:hRule="auto" w:wrap="auto" w:vAnchor="margin" w:hAnchor="text" w:yAlign="inline"/>
        <w:tabs>
          <w:tab w:val="left" w:pos="1218"/>
        </w:tabs>
        <w:spacing w:line="440" w:lineRule="exact"/>
        <w:ind w:left="142" w:firstLine="0"/>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（二）如果员工的岗位发生变动，其级别根据新岗位确定，其工资待遇、工资级别、晋升标准、绩效考核指标、福利保险标准以及培训机会均按新岗位标准执行。</w:t>
      </w:r>
    </w:p>
    <w:p>
      <w:pPr>
        <w:framePr w:w="0" w:hRule="auto" w:wrap="auto" w:vAnchor="margin" w:hAnchor="text" w:yAlign="inline"/>
        <w:tabs>
          <w:tab w:val="left" w:pos="1440"/>
          <w:tab w:val="left" w:pos="1470"/>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 xml:space="preserve">   （三）新入职员工级别</w:t>
      </w:r>
    </w:p>
    <w:p>
      <w:pPr>
        <w:framePr w:w="0" w:hRule="auto" w:wrap="auto" w:vAnchor="margin" w:hAnchor="text" w:yAlign="inline"/>
        <w:spacing w:line="440" w:lineRule="exact"/>
        <w:ind w:firstLine="480"/>
        <w:rPr>
          <w:rFonts w:ascii="微软雅黑" w:hAnsi="微软雅黑" w:eastAsia="微软雅黑" w:cs="微软雅黑"/>
          <w:sz w:val="24"/>
          <w:szCs w:val="24"/>
        </w:rPr>
      </w:pPr>
      <w:r>
        <w:rPr>
          <w:rFonts w:ascii="微软雅黑" w:hAnsi="微软雅黑" w:eastAsia="微软雅黑" w:cs="微软雅黑"/>
          <w:sz w:val="24"/>
          <w:szCs w:val="24"/>
          <w:rtl w:val="0"/>
          <w:lang w:val="zh-TW" w:eastAsia="zh-TW"/>
        </w:rPr>
        <w:t>公司新入职员工，由所在部门负责人根据其岗位性质及个人资历（如学历、国家职称、工作年限等）确定预评职称及预定级别，并报人力资源部审核。试用期满后，直接上级根据其绩效表现提出转正定级意见，经讨论决定后，人力资源部将讨论结果通知本人，新入职员工的工资一般按照五级工资的第四级工资（即</w:t>
      </w:r>
      <w:r>
        <w:rPr>
          <w:rFonts w:ascii="微软雅黑" w:hAnsi="微软雅黑" w:eastAsia="微软雅黑" w:cs="微软雅黑"/>
          <w:sz w:val="24"/>
          <w:szCs w:val="24"/>
          <w:rtl w:val="0"/>
          <w:lang w:val="en-US"/>
        </w:rPr>
        <w:t>“</w:t>
      </w:r>
      <w:r>
        <w:rPr>
          <w:rFonts w:ascii="微软雅黑" w:hAnsi="微软雅黑" w:eastAsia="微软雅黑" w:cs="微软雅黑"/>
          <w:sz w:val="24"/>
          <w:szCs w:val="24"/>
          <w:rtl w:val="0"/>
          <w:lang w:val="zh-TW" w:eastAsia="zh-TW"/>
        </w:rPr>
        <w:t>期望</w:t>
      </w:r>
      <w:r>
        <w:rPr>
          <w:rFonts w:ascii="微软雅黑" w:hAnsi="微软雅黑" w:eastAsia="微软雅黑" w:cs="微软雅黑"/>
          <w:sz w:val="24"/>
          <w:szCs w:val="24"/>
          <w:rtl w:val="0"/>
          <w:lang w:val="en-US"/>
        </w:rPr>
        <w:t>”</w:t>
      </w:r>
      <w:r>
        <w:rPr>
          <w:rFonts w:ascii="微软雅黑" w:hAnsi="微软雅黑" w:eastAsia="微软雅黑" w:cs="微软雅黑"/>
          <w:sz w:val="24"/>
          <w:szCs w:val="24"/>
          <w:rtl w:val="0"/>
          <w:lang w:val="zh-TW" w:eastAsia="zh-TW"/>
        </w:rPr>
        <w:t>档工资），新入职员工的薪酬最低不低于岗位所有薪酬的</w:t>
      </w:r>
      <w:r>
        <w:rPr>
          <w:rFonts w:ascii="微软雅黑" w:hAnsi="微软雅黑" w:eastAsia="微软雅黑" w:cs="微软雅黑"/>
          <w:sz w:val="24"/>
          <w:szCs w:val="24"/>
          <w:rtl w:val="0"/>
          <w:lang w:val="en-US"/>
        </w:rPr>
        <w:t>70%</w:t>
      </w:r>
      <w:r>
        <w:rPr>
          <w:rFonts w:ascii="微软雅黑" w:hAnsi="微软雅黑" w:eastAsia="微软雅黑" w:cs="微软雅黑"/>
          <w:sz w:val="24"/>
          <w:szCs w:val="24"/>
          <w:rtl w:val="0"/>
          <w:lang w:val="zh-TW" w:eastAsia="zh-TW"/>
        </w:rPr>
        <w:t>。新入职员工的转正申请表为主动申请。</w:t>
      </w:r>
    </w:p>
    <w:p>
      <w:pPr>
        <w:framePr w:w="0" w:hRule="auto" w:wrap="auto" w:vAnchor="margin" w:hAnchor="text" w:yAlign="inline"/>
        <w:spacing w:line="440" w:lineRule="exac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 xml:space="preserve">第七条   </w:t>
      </w:r>
      <w:r>
        <w:rPr>
          <w:rFonts w:ascii="微软雅黑" w:hAnsi="微软雅黑" w:eastAsia="微软雅黑" w:cs="微软雅黑"/>
          <w:sz w:val="24"/>
          <w:szCs w:val="24"/>
          <w:rtl w:val="0"/>
          <w:lang w:val="zh-TW" w:eastAsia="zh-TW"/>
        </w:rPr>
        <w:t>晋升标准</w:t>
      </w:r>
    </w:p>
    <w:p>
      <w:pPr>
        <w:framePr w:w="0" w:hRule="auto" w:wrap="auto" w:vAnchor="margin" w:hAnchor="text" w:yAlign="inline"/>
        <w:spacing w:line="440" w:lineRule="exact"/>
        <w:ind w:left="141" w:firstLine="0"/>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（一）由人力资源部负责制定各职系晋升标准表。晋升标准表的内容一般包括：岗位名称、业绩指标、学习成长（培训方面）、培养干部、关键指标以及降级指标。</w:t>
      </w:r>
    </w:p>
    <w:p>
      <w:pPr>
        <w:framePr w:w="0" w:hRule="auto" w:wrap="auto" w:vAnchor="margin" w:hAnchor="text" w:yAlign="inline"/>
        <w:spacing w:line="440" w:lineRule="exact"/>
        <w:ind w:left="141" w:firstLine="0"/>
        <w:rPr>
          <w:rFonts w:ascii="微软雅黑" w:hAnsi="微软雅黑" w:eastAsia="微软雅黑" w:cs="微软雅黑"/>
          <w:b/>
          <w:bCs/>
          <w:sz w:val="24"/>
          <w:szCs w:val="24"/>
          <w:lang w:val="zh-TW" w:eastAsia="zh-TW"/>
        </w:rPr>
      </w:pPr>
      <w:r>
        <w:rPr>
          <w:rFonts w:ascii="微软雅黑" w:hAnsi="微软雅黑" w:eastAsia="微软雅黑" w:cs="微软雅黑"/>
          <w:sz w:val="24"/>
          <w:szCs w:val="24"/>
          <w:rtl w:val="0"/>
          <w:lang w:val="zh-TW" w:eastAsia="zh-TW"/>
        </w:rPr>
        <w:t>（二）员工提交晋升申请表，相关部门依据其岗位晋升标准指标项，向人力资源部提供参考所需数据资料，人力资源部依据数据资料进行审核，审核通过后，提交总经理复审，通过复审后由总经理签发任命通知。</w:t>
      </w:r>
    </w:p>
    <w:p>
      <w:pPr>
        <w:framePr w:w="0" w:hRule="auto" w:wrap="auto" w:vAnchor="margin" w:hAnchor="text" w:yAlign="inline"/>
        <w:tabs>
          <w:tab w:val="left" w:pos="1440"/>
          <w:tab w:val="left" w:pos="1470"/>
        </w:tabs>
        <w:spacing w:line="440" w:lineRule="exact"/>
        <w:rPr>
          <w:rFonts w:ascii="微软雅黑" w:hAnsi="微软雅黑" w:eastAsia="微软雅黑" w:cs="微软雅黑"/>
          <w:sz w:val="24"/>
          <w:szCs w:val="24"/>
        </w:rPr>
      </w:pPr>
      <w:r>
        <w:rPr>
          <w:rFonts w:ascii="微软雅黑" w:hAnsi="微软雅黑" w:eastAsia="微软雅黑" w:cs="微软雅黑"/>
          <w:b/>
          <w:bCs/>
          <w:sz w:val="24"/>
          <w:szCs w:val="24"/>
          <w:rtl w:val="0"/>
          <w:lang w:val="zh-TW" w:eastAsia="zh-TW"/>
        </w:rPr>
        <w:t>第八条</w:t>
      </w: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员工生涯规划与晋升的流程</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一）谈话沟通。新员工入公司后三个月内，由主管领导负责与新员工谈话，主题是帮助新员工根据自己的情况如职业兴趣、资质、技能、个人背景分析考虑个人发展方向，大致明确职业发展意向，将反馈人力资源部备案。人力资源部应跟踪督促新员工谈话制度执行情况。</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二）评估测试。根据员工知识、技能、资质及职业兴趣情况等内容，制定符合公司发展战略的生涯规划方案。人力资源部指导新员工书写员工职业发展规划，包括员工知识、技能、资质及职业兴趣情况等内容，以备以后对照检查，不断完善。</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（三）收集员工需求信息。人力资源部负责收集员工对于自己希望发展的通道信息。</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（四）员工发展建议。人力资源部每年对照员工能力开发需求和员工职业发展规划进行检查并评估员工个人一年的考核及晋升情况，并提出员工下阶段发展建议。特殊情况应同部门领导讨论。</w:t>
      </w:r>
    </w:p>
    <w:p>
      <w:pPr>
        <w:framePr w:w="0" w:hRule="auto" w:wrap="auto" w:vAnchor="margin" w:hAnchor="text" w:yAlign="inline"/>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（五）上级主管评估。上级主管在每个工作年度结束完成检查评估后，与员工就个人工作表现与未来发展谈话，根据检查评估的实际情况，调整、确定下一步目标与方向或者提出改善能力开发过程的建议。</w:t>
      </w:r>
    </w:p>
    <w:p>
      <w:pPr>
        <w:framePr w:w="0" w:hRule="auto" w:wrap="auto" w:vAnchor="margin" w:hAnchor="text" w:yAlign="inline"/>
        <w:tabs>
          <w:tab w:val="left" w:pos="1260"/>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sz w:val="24"/>
          <w:szCs w:val="24"/>
          <w:rtl w:val="0"/>
          <w:lang w:val="zh-TW" w:eastAsia="zh-TW"/>
        </w:rPr>
        <w:t>（六）建立员工职业发展档案</w:t>
      </w:r>
    </w:p>
    <w:p>
      <w:pPr>
        <w:framePr w:w="0" w:hRule="auto" w:wrap="auto" w:vAnchor="margin" w:hAnchor="text" w:yAlign="inline"/>
        <w:tabs>
          <w:tab w:val="left" w:pos="1218"/>
        </w:tabs>
        <w:spacing w:line="440" w:lineRule="exact"/>
        <w:rPr>
          <w:rFonts w:ascii="微软雅黑" w:hAnsi="微软雅黑" w:eastAsia="微软雅黑" w:cs="微软雅黑"/>
          <w:sz w:val="24"/>
          <w:szCs w:val="24"/>
        </w:rPr>
      </w:pP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人力资源部建立员工职业发展档案并负责保管与及时更新。</w:t>
      </w:r>
    </w:p>
    <w:p>
      <w:pPr>
        <w:framePr w:w="0" w:hRule="auto" w:wrap="auto" w:vAnchor="margin" w:hAnchor="text" w:yAlign="inline"/>
        <w:tabs>
          <w:tab w:val="left" w:pos="1638"/>
        </w:tabs>
        <w:spacing w:line="440" w:lineRule="exact"/>
        <w:rPr>
          <w:rFonts w:ascii="微软雅黑" w:hAnsi="微软雅黑" w:eastAsia="微软雅黑" w:cs="微软雅黑"/>
          <w:sz w:val="24"/>
          <w:szCs w:val="24"/>
        </w:rPr>
      </w:pPr>
      <w:r>
        <w:rPr>
          <w:rFonts w:ascii="微软雅黑" w:hAnsi="微软雅黑" w:eastAsia="微软雅黑" w:cs="微软雅黑"/>
          <w:b/>
          <w:bCs/>
          <w:sz w:val="24"/>
          <w:szCs w:val="24"/>
          <w:rtl w:val="0"/>
          <w:lang w:val="zh-TW" w:eastAsia="zh-TW"/>
        </w:rPr>
        <w:t>第九条</w:t>
      </w: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人力资源部负责组织员工级别升降，并由各部门相关人员协助。人力资源部年底将年度综合考核结果汇集整理，列出满足晋升条件的员工，报总经理通过后，确定员工职级，通知本人，并予以公布。</w:t>
      </w:r>
    </w:p>
    <w:p>
      <w:pPr>
        <w:framePr w:w="0" w:hRule="auto" w:wrap="auto" w:vAnchor="margin" w:hAnchor="text" w:yAlign="inline"/>
        <w:tabs>
          <w:tab w:val="left" w:pos="1260"/>
        </w:tabs>
        <w:spacing w:line="440" w:lineRule="exac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 xml:space="preserve">第十条   </w:t>
      </w:r>
      <w:r>
        <w:rPr>
          <w:rFonts w:ascii="微软雅黑" w:hAnsi="微软雅黑" w:eastAsia="微软雅黑" w:cs="微软雅黑"/>
          <w:sz w:val="24"/>
          <w:szCs w:val="24"/>
          <w:rtl w:val="0"/>
          <w:lang w:val="zh-TW" w:eastAsia="zh-TW"/>
        </w:rPr>
        <w:t>绩效考核委员会对晋级进行综合评审，并出具审核结果。</w:t>
      </w:r>
    </w:p>
    <w:p>
      <w:pPr>
        <w:framePr w:w="0" w:hRule="auto" w:wrap="auto" w:vAnchor="margin" w:hAnchor="text" w:yAlign="inline"/>
        <w:tabs>
          <w:tab w:val="left" w:pos="1260"/>
        </w:tabs>
        <w:spacing w:line="440" w:lineRule="exact"/>
        <w:rPr>
          <w:rFonts w:ascii="微软雅黑" w:hAnsi="微软雅黑" w:eastAsia="微软雅黑" w:cs="微软雅黑"/>
          <w:b/>
          <w:bCs/>
          <w:sz w:val="24"/>
          <w:szCs w:val="24"/>
        </w:rPr>
      </w:pPr>
      <w:r>
        <w:rPr>
          <w:rFonts w:ascii="微软雅黑" w:hAnsi="微软雅黑" w:eastAsia="微软雅黑" w:cs="微软雅黑"/>
          <w:sz w:val="24"/>
          <w:szCs w:val="24"/>
          <w:rtl w:val="0"/>
          <w:lang w:val="zh-TW" w:eastAsia="zh-TW"/>
        </w:rPr>
        <w:t>（一）人力资源管理部门应于评审结束</w:t>
      </w:r>
      <w:r>
        <w:rPr>
          <w:rFonts w:ascii="微软雅黑" w:hAnsi="微软雅黑" w:eastAsia="微软雅黑" w:cs="微软雅黑"/>
          <w:sz w:val="24"/>
          <w:szCs w:val="24"/>
          <w:rtl w:val="0"/>
          <w:lang w:val="en-US"/>
        </w:rPr>
        <w:t>3</w:t>
      </w:r>
      <w:r>
        <w:rPr>
          <w:rFonts w:ascii="微软雅黑" w:hAnsi="微软雅黑" w:eastAsia="微软雅黑" w:cs="微软雅黑"/>
          <w:sz w:val="24"/>
          <w:szCs w:val="24"/>
          <w:rtl w:val="0"/>
          <w:lang w:val="zh-TW" w:eastAsia="zh-TW"/>
        </w:rPr>
        <w:t>天内公布评审结果。</w:t>
      </w:r>
    </w:p>
    <w:p>
      <w:pPr>
        <w:framePr w:w="0" w:hRule="auto" w:wrap="auto" w:vAnchor="margin" w:hAnchor="text" w:yAlign="inline"/>
        <w:tabs>
          <w:tab w:val="left" w:pos="1260"/>
        </w:tabs>
        <w:spacing w:line="440" w:lineRule="exact"/>
        <w:rPr>
          <w:rFonts w:ascii="微软雅黑" w:hAnsi="微软雅黑" w:eastAsia="微软雅黑" w:cs="微软雅黑"/>
          <w:sz w:val="24"/>
          <w:szCs w:val="24"/>
        </w:rPr>
      </w:pPr>
      <w:r>
        <w:rPr>
          <w:rFonts w:ascii="微软雅黑" w:hAnsi="微软雅黑" w:eastAsia="微软雅黑" w:cs="微软雅黑"/>
          <w:sz w:val="24"/>
          <w:szCs w:val="24"/>
          <w:rtl w:val="0"/>
          <w:lang w:val="zh-TW" w:eastAsia="zh-TW"/>
        </w:rPr>
        <w:t>（二）因人力资源缺乏及公司发展需要，员工晋升到相应岗位，但其并不具备以上能力素质，起点工资可以从五级工资制的第五级（即</w:t>
      </w:r>
      <w:r>
        <w:rPr>
          <w:rFonts w:ascii="微软雅黑" w:hAnsi="微软雅黑" w:eastAsia="微软雅黑" w:cs="微软雅黑"/>
          <w:sz w:val="24"/>
          <w:szCs w:val="24"/>
          <w:rtl w:val="0"/>
          <w:lang w:val="en-US"/>
        </w:rPr>
        <w:t>“</w:t>
      </w:r>
      <w:r>
        <w:rPr>
          <w:rFonts w:ascii="微软雅黑" w:hAnsi="微软雅黑" w:eastAsia="微软雅黑" w:cs="微软雅黑"/>
          <w:sz w:val="24"/>
          <w:szCs w:val="24"/>
          <w:rtl w:val="0"/>
          <w:lang w:val="zh-TW" w:eastAsia="zh-TW"/>
        </w:rPr>
        <w:t>欠资格上岗</w:t>
      </w:r>
      <w:r>
        <w:rPr>
          <w:rFonts w:ascii="微软雅黑" w:hAnsi="微软雅黑" w:eastAsia="微软雅黑" w:cs="微软雅黑"/>
          <w:sz w:val="24"/>
          <w:szCs w:val="24"/>
          <w:rtl w:val="0"/>
          <w:lang w:val="en-US"/>
        </w:rPr>
        <w:t>”</w:t>
      </w:r>
      <w:r>
        <w:rPr>
          <w:rFonts w:ascii="微软雅黑" w:hAnsi="微软雅黑" w:eastAsia="微软雅黑" w:cs="微软雅黑"/>
          <w:sz w:val="24"/>
          <w:szCs w:val="24"/>
          <w:rtl w:val="0"/>
          <w:lang w:val="zh-TW" w:eastAsia="zh-TW"/>
        </w:rPr>
        <w:t>档）开始。</w:t>
      </w:r>
    </w:p>
    <w:p>
      <w:pPr>
        <w:framePr w:w="0" w:hRule="auto" w:wrap="auto" w:vAnchor="margin" w:hAnchor="text" w:yAlign="inline"/>
        <w:tabs>
          <w:tab w:val="left" w:pos="1260"/>
        </w:tabs>
        <w:spacing w:line="440" w:lineRule="exact"/>
        <w:rPr>
          <w:rFonts w:ascii="微软雅黑" w:hAnsi="微软雅黑" w:eastAsia="微软雅黑" w:cs="微软雅黑"/>
          <w:b/>
          <w:bCs/>
          <w:lang w:val="zh-TW" w:eastAsia="zh-TW"/>
        </w:rPr>
      </w:pPr>
      <w:r>
        <w:rPr>
          <w:rFonts w:ascii="微软雅黑" w:hAnsi="微软雅黑" w:eastAsia="微软雅黑" w:cs="微软雅黑"/>
          <w:sz w:val="24"/>
          <w:szCs w:val="24"/>
          <w:rtl w:val="0"/>
          <w:lang w:val="zh-TW" w:eastAsia="zh-TW"/>
        </w:rPr>
        <w:t>（三）财务人员的晋升，需由财务部负责人与董事会成员综合评审后，予以晋升并报人力资源部备案。</w:t>
      </w:r>
    </w:p>
    <w:p>
      <w:pPr>
        <w:framePr w:w="0" w:hRule="auto" w:wrap="auto" w:vAnchor="margin" w:hAnchor="text" w:yAlign="inline"/>
        <w:spacing w:line="440" w:lineRule="exact"/>
        <w:rPr>
          <w:rFonts w:ascii="微软雅黑" w:hAnsi="微软雅黑" w:eastAsia="微软雅黑" w:cs="微软雅黑"/>
          <w:sz w:val="24"/>
          <w:szCs w:val="24"/>
        </w:rPr>
      </w:pPr>
      <w:r>
        <w:rPr>
          <w:rFonts w:ascii="微软雅黑" w:hAnsi="微软雅黑" w:eastAsia="微软雅黑" w:cs="微软雅黑"/>
          <w:b/>
          <w:bCs/>
          <w:sz w:val="24"/>
          <w:szCs w:val="24"/>
          <w:rtl w:val="0"/>
          <w:lang w:val="zh-TW" w:eastAsia="zh-TW"/>
        </w:rPr>
        <w:t>第十一条</w:t>
      </w:r>
      <w:r>
        <w:rPr>
          <w:rFonts w:ascii="微软雅黑" w:hAnsi="微软雅黑" w:eastAsia="微软雅黑" w:cs="微软雅黑"/>
          <w:sz w:val="24"/>
          <w:szCs w:val="24"/>
          <w:rtl w:val="0"/>
          <w:lang w:val="en-US"/>
        </w:rPr>
        <w:t xml:space="preserve">   </w:t>
      </w:r>
      <w:r>
        <w:rPr>
          <w:rFonts w:ascii="微软雅黑" w:hAnsi="微软雅黑" w:eastAsia="微软雅黑" w:cs="微软雅黑"/>
          <w:sz w:val="24"/>
          <w:szCs w:val="24"/>
          <w:rtl w:val="0"/>
          <w:lang w:val="zh-TW" w:eastAsia="zh-TW"/>
        </w:rPr>
        <w:t>本管理办法的拟定和修改由公司人力资源部负责，报总经理批准执行。本管理办法自公布之日起开始执行，执行负责人为</w:t>
      </w:r>
      <w:r>
        <w:rPr>
          <w:rFonts w:ascii="微软雅黑" w:hAnsi="微软雅黑" w:eastAsia="微软雅黑" w:cs="微软雅黑"/>
          <w:sz w:val="24"/>
          <w:szCs w:val="24"/>
          <w:u w:val="single"/>
          <w:rtl w:val="0"/>
          <w:lang w:val="zh-TW" w:eastAsia="zh-TW"/>
        </w:rPr>
        <w:t xml:space="preserve">          </w:t>
      </w:r>
      <w:r>
        <w:rPr>
          <w:rFonts w:ascii="微软雅黑" w:hAnsi="微软雅黑" w:eastAsia="微软雅黑" w:cs="微软雅黑"/>
          <w:sz w:val="24"/>
          <w:szCs w:val="24"/>
          <w:rtl w:val="0"/>
          <w:lang w:val="zh-TW" w:eastAsia="zh-TW"/>
        </w:rPr>
        <w:t>，由人力资源部负责解释。</w:t>
      </w: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lang w:val="zh-TW" w:eastAsia="zh-TW"/>
        </w:rPr>
      </w:pPr>
      <w:r>
        <w:rPr>
          <w:rFonts w:ascii="微软雅黑" w:hAnsi="微软雅黑" w:eastAsia="微软雅黑" w:cs="微软雅黑"/>
          <w:b/>
          <w:bCs/>
          <w:sz w:val="40"/>
          <w:szCs w:val="40"/>
          <w:rtl w:val="0"/>
          <w:lang w:val="zh-TW" w:eastAsia="zh-TW"/>
        </w:rPr>
        <w:t>企业员工晋升通道图</w:t>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r>
        <w:rPr>
          <w:rFonts w:ascii="微软雅黑" w:hAnsi="微软雅黑" w:eastAsia="微软雅黑" w:cs="微软雅黑"/>
          <w:sz w:val="24"/>
          <w:szCs w:val="24"/>
        </w:rPr>
        <w:drawing>
          <wp:anchor distT="152400" distB="152400" distL="152400" distR="152400" simplePos="0" relativeHeight="251663360" behindDoc="0" locked="0" layoutInCell="1" allowOverlap="1">
            <wp:simplePos x="0" y="0"/>
            <wp:positionH relativeFrom="page">
              <wp:posOffset>1285875</wp:posOffset>
            </wp:positionH>
            <wp:positionV relativeFrom="line">
              <wp:posOffset>176530</wp:posOffset>
            </wp:positionV>
            <wp:extent cx="5372100" cy="4752975"/>
            <wp:effectExtent l="0" t="0" r="0" b="0"/>
            <wp:wrapThrough wrapText="bothSides">
              <wp:wrapPolygon>
                <wp:start x="0" y="0"/>
                <wp:lineTo x="21600" y="0"/>
                <wp:lineTo x="21600" y="21618"/>
                <wp:lineTo x="0" y="21618"/>
                <wp:lineTo x="0" y="0"/>
              </wp:wrapPolygon>
            </wp:wrapThrough>
            <wp:docPr id="1073741825" name="officeArt object" descr="屏幕快照 2015-04-09 18.1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屏幕快照 2015-04-09 18.15.26.png"/>
                    <pic:cNvPicPr>
                      <a:picLocks noChangeAspect="1"/>
                    </pic:cNvPicPr>
                  </pic:nvPicPr>
                  <pic:blipFill>
                    <a:blip r:embed="rId6"/>
                    <a:stretch>
                      <a:fillRect/>
                    </a:stretch>
                  </pic:blipFill>
                  <pic:spPr>
                    <a:xfrm>
                      <a:off x="0" y="0"/>
                      <a:ext cx="5372100" cy="4752975"/>
                    </a:xfrm>
                    <a:prstGeom prst="rect">
                      <a:avLst/>
                    </a:prstGeom>
                    <a:ln w="12700" cap="flat">
                      <a:noFill/>
                      <a:miter lim="400000"/>
                      <a:headEnd/>
                      <a:tailEnd/>
                    </a:ln>
                    <a:effectLst/>
                  </pic:spPr>
                </pic:pic>
              </a:graphicData>
            </a:graphic>
          </wp:anchor>
        </w:drawing>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b/>
          <w:bCs/>
          <w:sz w:val="24"/>
          <w:szCs w:val="24"/>
        </w:rPr>
      </w:pPr>
      <w:r>
        <w:rPr>
          <w:rFonts w:ascii="微软雅黑" w:hAnsi="微软雅黑" w:eastAsia="微软雅黑" w:cs="微软雅黑"/>
          <w:b/>
          <w:bCs/>
          <w:sz w:val="24"/>
          <w:szCs w:val="24"/>
          <w:rtl w:val="0"/>
          <w:lang w:val="en-US"/>
        </w:rPr>
        <w:t>1</w:t>
      </w:r>
      <w:r>
        <w:rPr>
          <w:rFonts w:ascii="微软雅黑" w:hAnsi="微软雅黑" w:eastAsia="微软雅黑" w:cs="微软雅黑"/>
          <w:b/>
          <w:bCs/>
          <w:sz w:val="24"/>
          <w:szCs w:val="24"/>
          <w:rtl w:val="0"/>
          <w:lang w:val="zh-TW" w:eastAsia="zh-TW"/>
        </w:rPr>
        <w:t>、营销职系晋升通道及晋升标准</w:t>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r>
        <w:rPr>
          <w:rFonts w:ascii="微软雅黑" w:hAnsi="微软雅黑" w:eastAsia="微软雅黑" w:cs="微软雅黑"/>
          <w:sz w:val="24"/>
          <w:szCs w:val="24"/>
        </w:rPr>
        <w:drawing>
          <wp:anchor distT="152400" distB="152400" distL="152400" distR="152400" simplePos="0" relativeHeight="251659264" behindDoc="0" locked="0" layoutInCell="1" allowOverlap="1">
            <wp:simplePos x="0" y="0"/>
            <wp:positionH relativeFrom="page">
              <wp:posOffset>679450</wp:posOffset>
            </wp:positionH>
            <wp:positionV relativeFrom="line">
              <wp:posOffset>381000</wp:posOffset>
            </wp:positionV>
            <wp:extent cx="6184900" cy="3164840"/>
            <wp:effectExtent l="0" t="0" r="0" b="0"/>
            <wp:wrapThrough wrapText="bothSides">
              <wp:wrapPolygon>
                <wp:start x="0" y="0"/>
                <wp:lineTo x="21600" y="0"/>
                <wp:lineTo x="21600" y="21641"/>
                <wp:lineTo x="0" y="21641"/>
                <wp:lineTo x="0" y="0"/>
              </wp:wrapPolygon>
            </wp:wrapThrough>
            <wp:docPr id="1073741826" name="officeArt object" descr="屏幕快照 2015-04-09 18.2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descr="屏幕快照 2015-04-09 18.27.25.png"/>
                    <pic:cNvPicPr>
                      <a:picLocks noChangeAspect="1"/>
                    </pic:cNvPicPr>
                  </pic:nvPicPr>
                  <pic:blipFill>
                    <a:blip r:embed="rId7"/>
                    <a:stretch>
                      <a:fillRect/>
                    </a:stretch>
                  </pic:blipFill>
                  <pic:spPr>
                    <a:xfrm>
                      <a:off x="0" y="0"/>
                      <a:ext cx="6184900" cy="3165001"/>
                    </a:xfrm>
                    <a:prstGeom prst="rect">
                      <a:avLst/>
                    </a:prstGeom>
                    <a:ln w="12700" cap="flat">
                      <a:noFill/>
                      <a:miter lim="400000"/>
                      <a:headEnd/>
                      <a:tailEnd/>
                    </a:ln>
                    <a:effectLst/>
                  </pic:spPr>
                </pic:pic>
              </a:graphicData>
            </a:graphic>
          </wp:anchor>
        </w:drawing>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营销团队晋升标准表：</w:t>
      </w:r>
    </w:p>
    <w:tbl>
      <w:tblPr>
        <w:tblStyle w:val="6"/>
        <w:tblW w:w="9781"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
      <w:tblGrid>
        <w:gridCol w:w="1134"/>
        <w:gridCol w:w="1560"/>
        <w:gridCol w:w="1984"/>
        <w:gridCol w:w="1418"/>
        <w:gridCol w:w="1559"/>
        <w:gridCol w:w="212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Ex>
        <w:trPr>
          <w:trHeight w:val="325" w:hRule="atLeast"/>
        </w:trPr>
        <w:tc>
          <w:tcPr>
            <w:tcW w:w="1134" w:type="dxa"/>
            <w:tcBorders>
              <w:top w:val="single" w:color="000000" w:sz="12" w:space="0"/>
              <w:left w:val="single" w:color="000000" w:sz="12" w:space="0"/>
              <w:bottom w:val="single" w:color="000000" w:sz="6" w:space="0"/>
              <w:right w:val="single" w:color="000000" w:sz="6" w:space="0"/>
            </w:tcBorders>
            <w:shd w:val="clear" w:color="auto" w:fill="DDD9C3"/>
            <w:tcMar>
              <w:top w:w="80" w:type="dxa"/>
              <w:left w:w="80" w:type="dxa"/>
              <w:bottom w:w="80" w:type="dxa"/>
              <w:right w:w="80" w:type="dxa"/>
            </w:tcMar>
            <w:vAlign w:val="top"/>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岗</w:t>
            </w: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en-US"/>
              </w:rPr>
              <w:t xml:space="preserve">  </w:t>
            </w: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位</w:t>
            </w:r>
          </w:p>
        </w:tc>
        <w:tc>
          <w:tcPr>
            <w:tcW w:w="1560" w:type="dxa"/>
            <w:tcBorders>
              <w:top w:val="single" w:color="000000" w:sz="12" w:space="0"/>
              <w:left w:val="single" w:color="000000" w:sz="6" w:space="0"/>
              <w:bottom w:val="single" w:color="000000" w:sz="6" w:space="0"/>
              <w:right w:val="single" w:color="000000" w:sz="6" w:space="0"/>
            </w:tcBorders>
            <w:shd w:val="clear" w:color="auto" w:fill="DDD9C3"/>
            <w:tcMar>
              <w:top w:w="80" w:type="dxa"/>
              <w:left w:w="80" w:type="dxa"/>
              <w:bottom w:w="80" w:type="dxa"/>
              <w:right w:w="80" w:type="dxa"/>
            </w:tcMar>
            <w:vAlign w:val="top"/>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业绩指标</w:t>
            </w:r>
          </w:p>
        </w:tc>
        <w:tc>
          <w:tcPr>
            <w:tcW w:w="1984" w:type="dxa"/>
            <w:tcBorders>
              <w:top w:val="single" w:color="000000" w:sz="12" w:space="0"/>
              <w:left w:val="single" w:color="000000" w:sz="6" w:space="0"/>
              <w:bottom w:val="single" w:color="000000" w:sz="6" w:space="0"/>
              <w:right w:val="single" w:color="000000" w:sz="6" w:space="0"/>
            </w:tcBorders>
            <w:shd w:val="clear" w:color="auto" w:fill="DDD9C3"/>
            <w:tcMar>
              <w:top w:w="80" w:type="dxa"/>
              <w:left w:w="80" w:type="dxa"/>
              <w:bottom w:w="80" w:type="dxa"/>
              <w:right w:w="80" w:type="dxa"/>
            </w:tcMar>
            <w:vAlign w:val="top"/>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学习成长</w:t>
            </w:r>
          </w:p>
        </w:tc>
        <w:tc>
          <w:tcPr>
            <w:tcW w:w="1418" w:type="dxa"/>
            <w:tcBorders>
              <w:top w:val="single" w:color="000000" w:sz="12" w:space="0"/>
              <w:left w:val="single" w:color="000000" w:sz="6" w:space="0"/>
              <w:bottom w:val="single" w:color="000000" w:sz="6" w:space="0"/>
              <w:right w:val="single" w:color="000000" w:sz="6" w:space="0"/>
            </w:tcBorders>
            <w:shd w:val="clear" w:color="auto" w:fill="DDD9C3"/>
            <w:tcMar>
              <w:top w:w="80" w:type="dxa"/>
              <w:left w:w="80" w:type="dxa"/>
              <w:bottom w:w="80" w:type="dxa"/>
              <w:right w:w="80" w:type="dxa"/>
            </w:tcMar>
            <w:vAlign w:val="top"/>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培养干部</w:t>
            </w:r>
          </w:p>
        </w:tc>
        <w:tc>
          <w:tcPr>
            <w:tcW w:w="1559" w:type="dxa"/>
            <w:tcBorders>
              <w:top w:val="single" w:color="000000" w:sz="12" w:space="0"/>
              <w:left w:val="single" w:color="000000" w:sz="6" w:space="0"/>
              <w:bottom w:val="single" w:color="000000" w:sz="6" w:space="0"/>
              <w:right w:val="single" w:color="000000" w:sz="6" w:space="0"/>
            </w:tcBorders>
            <w:shd w:val="clear" w:color="auto" w:fill="DDD9C3"/>
            <w:tcMar>
              <w:top w:w="80" w:type="dxa"/>
              <w:left w:w="80" w:type="dxa"/>
              <w:bottom w:w="80" w:type="dxa"/>
              <w:right w:w="80" w:type="dxa"/>
            </w:tcMar>
            <w:vAlign w:val="top"/>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关键指标</w:t>
            </w:r>
          </w:p>
        </w:tc>
        <w:tc>
          <w:tcPr>
            <w:tcW w:w="2126" w:type="dxa"/>
            <w:tcBorders>
              <w:top w:val="single" w:color="000000" w:sz="12" w:space="0"/>
              <w:left w:val="single" w:color="000000" w:sz="6" w:space="0"/>
              <w:bottom w:val="single" w:color="000000" w:sz="6" w:space="0"/>
              <w:right w:val="single" w:color="000000" w:sz="12" w:space="0"/>
            </w:tcBorders>
            <w:shd w:val="clear" w:color="auto" w:fill="FF0000"/>
            <w:tcMar>
              <w:top w:w="80" w:type="dxa"/>
              <w:left w:w="80" w:type="dxa"/>
              <w:bottom w:w="80" w:type="dxa"/>
              <w:right w:w="80" w:type="dxa"/>
            </w:tcMar>
            <w:vAlign w:val="top"/>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FFFFFF"/>
                <w:spacing w:val="0"/>
                <w:kern w:val="2"/>
                <w:position w:val="0"/>
                <w:sz w:val="21"/>
                <w:szCs w:val="21"/>
                <w:u w:val="none" w:color="FFFFFF"/>
                <w:vertAlign w:val="baseline"/>
                <w:rtl w:val="0"/>
                <w:lang w:val="zh-TW" w:eastAsia="zh-TW"/>
              </w:rPr>
              <w:t>降级指标</w:t>
            </w:r>
            <w:r>
              <w:rPr>
                <w:rFonts w:ascii="微软雅黑" w:hAnsi="微软雅黑" w:eastAsia="微软雅黑" w:cs="微软雅黑"/>
                <w:b/>
                <w:bCs/>
                <w:caps w:val="0"/>
                <w:smallCaps w:val="0"/>
                <w:strike w:val="0"/>
                <w:dstrike w:val="0"/>
                <w:outline w:val="0"/>
                <w:color w:val="FFFFFF"/>
                <w:spacing w:val="0"/>
                <w:kern w:val="2"/>
                <w:position w:val="0"/>
                <w:sz w:val="21"/>
                <w:szCs w:val="21"/>
                <w:u w:val="none" w:color="FFFFFF"/>
                <w:vertAlign w:val="baseline"/>
                <w:rtl w:val="0"/>
                <w:lang w:val="en-US"/>
              </w:rPr>
              <w:t xml:space="preserve">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7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实习业务员</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个人业绩月度达到</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万以上</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新员工培训通关，业务流程合格</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 xml:space="preserve">-- </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5</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个新客户</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前端产品销售</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个月不能满足上述要求即淘汰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59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业务员</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人业绩</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7</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万以上</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参加预备主管培训并通关</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增员</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累计</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个客户</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连续</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个月无业绩</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7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高级业务员</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个人业绩</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万以上</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参加预备经理培训并通关</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增员</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累计</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名客户，其中新客户</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人以上</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连续</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个月业绩在</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万以下或无新客户</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5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代经理</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 xml:space="preserve">团队 </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40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万，其中个人业绩</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万以上</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参加储备干部培训并通关，并具备培训业务流程的能力</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招聘并组建团队，培养</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名高级业务员</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客户重复消费率超过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20%</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团队业绩连续</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个月团队业绩在</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万以下或个人业绩在</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7</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万以下</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7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经理</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团队业绩</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万或连续</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PK</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前</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参加储备干部培训并通关</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培养代经理</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名，并编制达标</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客户重复消费率超过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20%</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团队业绩连续</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万或</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PK</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倒数第一</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7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高级经理</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团队业绩</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万或</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PK</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冠军</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参加储备干部培训并通关</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培养</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名经理或代经理</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管理满意度达到</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60%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PK</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名、业绩低于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55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总监</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所属区域业绩</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500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万以上</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参加储备总经理培训并通关，具备销售管理、组织管理、财务管理能力</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培养经理</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名以上，复制团队</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支</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管道里满意度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85%</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）连续</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个月业绩低于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270</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）人才流失率超过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50%</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50%</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4</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）目标完成率低于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50%</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符合一项降一级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270" w:hRule="atLeast"/>
        </w:trPr>
        <w:tc>
          <w:tcPr>
            <w:tcW w:w="1134"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副总经理</w:t>
            </w:r>
          </w:p>
        </w:tc>
        <w:tc>
          <w:tcPr>
            <w:tcW w:w="15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所辖区域保持盈利，月度业绩</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600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万以上</w:t>
            </w:r>
          </w:p>
        </w:tc>
        <w:tc>
          <w:tcPr>
            <w:tcW w:w="198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参加总经理培训并通关，有组织、营销、财务系统能力</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培养经理</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4</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名，或总监</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w:t>
            </w:r>
          </w:p>
        </w:tc>
        <w:tc>
          <w:tcPr>
            <w:tcW w:w="155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85%</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以上，大客户单超过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，重复消费率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tc>
        <w:tc>
          <w:tcPr>
            <w:tcW w:w="212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个月业绩低于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270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万，降级但不得高于经理，</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个月业绩低于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350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万，降级但不得高于高级经理，</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个月业绩低于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400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万，降级但不得高于总监，可以主持工作</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78" w:hRule="atLeast"/>
        </w:trPr>
        <w:tc>
          <w:tcPr>
            <w:tcW w:w="1134" w:type="dxa"/>
            <w:tcBorders>
              <w:top w:val="single" w:color="000000" w:sz="6" w:space="0"/>
              <w:left w:val="single" w:color="000000" w:sz="12" w:space="0"/>
              <w:bottom w:val="single" w:color="000000" w:sz="12"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经理</w:t>
            </w:r>
          </w:p>
        </w:tc>
        <w:tc>
          <w:tcPr>
            <w:tcW w:w="1560" w:type="dxa"/>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完成公司目标</w:t>
            </w:r>
          </w:p>
        </w:tc>
        <w:tc>
          <w:tcPr>
            <w:tcW w:w="1984" w:type="dxa"/>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参加集团核心干部训练并通关，认同公司文化与机制</w:t>
            </w:r>
          </w:p>
        </w:tc>
        <w:tc>
          <w:tcPr>
            <w:tcW w:w="1418" w:type="dxa"/>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培养总监</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名以上或副总</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w:t>
            </w:r>
          </w:p>
        </w:tc>
        <w:tc>
          <w:tcPr>
            <w:tcW w:w="1559" w:type="dxa"/>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管理满意度超过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85%</w:t>
            </w:r>
          </w:p>
        </w:tc>
        <w:tc>
          <w:tcPr>
            <w:tcW w:w="2126" w:type="dxa"/>
            <w:tcBorders>
              <w:top w:val="single" w:color="000000" w:sz="6" w:space="0"/>
              <w:left w:val="single" w:color="000000" w:sz="6" w:space="0"/>
              <w:bottom w:val="single" w:color="000000" w:sz="12" w:space="0"/>
              <w:right w:val="single" w:color="00000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方式同副总经理，数据有所调整</w:t>
            </w:r>
          </w:p>
        </w:tc>
      </w:tr>
    </w:tbl>
    <w:p>
      <w:pPr>
        <w:framePr w:w="0" w:hRule="auto" w:wrap="auto" w:vAnchor="margin" w:hAnchor="text" w:yAlign="inline"/>
        <w:ind w:left="108" w:hanging="108"/>
        <w:jc w:val="left"/>
        <w:rPr>
          <w:rFonts w:ascii="微软雅黑" w:hAnsi="微软雅黑" w:eastAsia="微软雅黑" w:cs="微软雅黑"/>
          <w:b/>
          <w:bCs/>
          <w:sz w:val="24"/>
          <w:szCs w:val="24"/>
          <w:lang w:val="zh-TW" w:eastAsia="zh-TW"/>
        </w:rPr>
      </w:pPr>
    </w:p>
    <w:p>
      <w:pPr>
        <w:framePr w:w="0" w:hRule="auto" w:wrap="auto" w:vAnchor="margin" w:hAnchor="text" w:yAlign="inline"/>
        <w:jc w:val="lef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b/>
          <w:bCs/>
          <w:sz w:val="24"/>
          <w:szCs w:val="24"/>
        </w:rPr>
      </w:pPr>
      <w:r>
        <w:rPr>
          <w:rFonts w:ascii="微软雅黑" w:hAnsi="微软雅黑" w:eastAsia="微软雅黑" w:cs="微软雅黑"/>
          <w:b/>
          <w:bCs/>
          <w:sz w:val="24"/>
          <w:szCs w:val="24"/>
          <w:rtl w:val="0"/>
          <w:lang w:val="en-US"/>
        </w:rPr>
        <w:t>2</w:t>
      </w:r>
      <w:r>
        <w:rPr>
          <w:rFonts w:ascii="微软雅黑" w:hAnsi="微软雅黑" w:eastAsia="微软雅黑" w:cs="微软雅黑"/>
          <w:b/>
          <w:bCs/>
          <w:sz w:val="24"/>
          <w:szCs w:val="24"/>
          <w:rtl w:val="0"/>
          <w:lang w:val="zh-TW" w:eastAsia="zh-TW"/>
        </w:rPr>
        <w:t>、技术职系晋升通道及晋升标准</w:t>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r>
        <w:rPr>
          <w:rFonts w:ascii="微软雅黑" w:hAnsi="微软雅黑" w:eastAsia="微软雅黑" w:cs="微软雅黑"/>
          <w:sz w:val="24"/>
          <w:szCs w:val="24"/>
        </w:rPr>
        <w:drawing>
          <wp:anchor distT="152400" distB="152400" distL="152400" distR="152400" simplePos="0" relativeHeight="251660288" behindDoc="0" locked="0" layoutInCell="1" allowOverlap="1">
            <wp:simplePos x="0" y="0"/>
            <wp:positionH relativeFrom="page">
              <wp:posOffset>450850</wp:posOffset>
            </wp:positionH>
            <wp:positionV relativeFrom="line">
              <wp:posOffset>419100</wp:posOffset>
            </wp:positionV>
            <wp:extent cx="6184900" cy="2992120"/>
            <wp:effectExtent l="0" t="0" r="0" b="0"/>
            <wp:wrapThrough wrapText="bothSides">
              <wp:wrapPolygon>
                <wp:start x="0" y="0"/>
                <wp:lineTo x="21600" y="0"/>
                <wp:lineTo x="21600" y="21627"/>
                <wp:lineTo x="0" y="21627"/>
                <wp:lineTo x="0" y="0"/>
              </wp:wrapPolygon>
            </wp:wrapThrough>
            <wp:docPr id="1073741827" name="officeArt object" descr="屏幕快照 2015-04-09 18.3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officeArt object" descr="屏幕快照 2015-04-09 18.32.31.png"/>
                    <pic:cNvPicPr>
                      <a:picLocks noChangeAspect="1"/>
                    </pic:cNvPicPr>
                  </pic:nvPicPr>
                  <pic:blipFill>
                    <a:blip r:embed="rId8"/>
                    <a:stretch>
                      <a:fillRect/>
                    </a:stretch>
                  </pic:blipFill>
                  <pic:spPr>
                    <a:xfrm>
                      <a:off x="0" y="0"/>
                      <a:ext cx="6184900" cy="2992078"/>
                    </a:xfrm>
                    <a:prstGeom prst="rect">
                      <a:avLst/>
                    </a:prstGeom>
                    <a:ln w="12700" cap="flat">
                      <a:noFill/>
                      <a:miter lim="400000"/>
                      <a:headEnd/>
                      <a:tailEnd/>
                    </a:ln>
                    <a:effectLst/>
                  </pic:spPr>
                </pic:pic>
              </a:graphicData>
            </a:graphic>
          </wp:anchor>
        </w:drawing>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技术团队晋升标准表：</w:t>
      </w:r>
    </w:p>
    <w:p>
      <w:pPr>
        <w:framePr w:w="0" w:hRule="auto" w:wrap="auto" w:vAnchor="margin" w:hAnchor="text" w:yAlign="inline"/>
        <w:jc w:val="left"/>
        <w:rPr>
          <w:rFonts w:ascii="微软雅黑" w:hAnsi="微软雅黑" w:eastAsia="微软雅黑" w:cs="微软雅黑"/>
          <w:b/>
          <w:bCs/>
          <w:sz w:val="24"/>
          <w:szCs w:val="24"/>
        </w:rPr>
      </w:pPr>
    </w:p>
    <w:tbl>
      <w:tblPr>
        <w:tblStyle w:val="6"/>
        <w:tblW w:w="9740"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
      <w:tblGrid>
        <w:gridCol w:w="1343"/>
        <w:gridCol w:w="2065"/>
        <w:gridCol w:w="1789"/>
        <w:gridCol w:w="1652"/>
        <w:gridCol w:w="1514"/>
        <w:gridCol w:w="1377"/>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Ex>
        <w:trPr>
          <w:trHeight w:val="325" w:hRule="atLeast"/>
        </w:trPr>
        <w:tc>
          <w:tcPr>
            <w:tcW w:w="1343" w:type="dxa"/>
            <w:tcBorders>
              <w:top w:val="single" w:color="404040" w:sz="12" w:space="0"/>
              <w:left w:val="single" w:color="404040" w:sz="12"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岗位</w:t>
            </w:r>
          </w:p>
        </w:tc>
        <w:tc>
          <w:tcPr>
            <w:tcW w:w="2065"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业绩</w:t>
            </w:r>
          </w:p>
        </w:tc>
        <w:tc>
          <w:tcPr>
            <w:tcW w:w="1789"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技能</w:t>
            </w:r>
          </w:p>
        </w:tc>
        <w:tc>
          <w:tcPr>
            <w:tcW w:w="1652"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培养干部</w:t>
            </w:r>
          </w:p>
        </w:tc>
        <w:tc>
          <w:tcPr>
            <w:tcW w:w="1514"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关键指标</w:t>
            </w:r>
          </w:p>
        </w:tc>
        <w:tc>
          <w:tcPr>
            <w:tcW w:w="1377" w:type="dxa"/>
            <w:tcBorders>
              <w:top w:val="single" w:color="404040" w:sz="12" w:space="0"/>
              <w:left w:val="single" w:color="404040" w:sz="6" w:space="0"/>
              <w:bottom w:val="single" w:color="404040" w:sz="6" w:space="0"/>
              <w:right w:val="single" w:color="404040" w:sz="12" w:space="0"/>
            </w:tcBorders>
            <w:shd w:val="clear" w:color="auto" w:fill="FF0000"/>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FFFFFF"/>
                <w:spacing w:val="0"/>
                <w:kern w:val="2"/>
                <w:position w:val="0"/>
                <w:sz w:val="21"/>
                <w:szCs w:val="21"/>
                <w:u w:val="none" w:color="FFFFFF"/>
                <w:vertAlign w:val="baseline"/>
                <w:rtl w:val="0"/>
                <w:lang w:val="zh-TW" w:eastAsia="zh-TW"/>
              </w:rPr>
              <w:t>降级指标</w:t>
            </w:r>
            <w:r>
              <w:rPr>
                <w:rFonts w:ascii="微软雅黑" w:hAnsi="微软雅黑" w:eastAsia="微软雅黑" w:cs="微软雅黑"/>
                <w:b/>
                <w:bCs/>
                <w:caps w:val="0"/>
                <w:smallCaps w:val="0"/>
                <w:strike w:val="0"/>
                <w:dstrike w:val="0"/>
                <w:outline w:val="0"/>
                <w:color w:val="FFFFFF"/>
                <w:spacing w:val="0"/>
                <w:kern w:val="2"/>
                <w:position w:val="0"/>
                <w:sz w:val="21"/>
                <w:szCs w:val="21"/>
                <w:u w:val="none" w:color="FFFFFF"/>
                <w:vertAlign w:val="baseline"/>
                <w:rtl w:val="0"/>
                <w:lang w:val="en-US"/>
              </w:rPr>
              <w:t xml:space="preserve">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50" w:hRule="atLeast"/>
        </w:trPr>
        <w:tc>
          <w:tcPr>
            <w:tcW w:w="134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实习技术员</w:t>
            </w:r>
          </w:p>
        </w:tc>
        <w:tc>
          <w:tcPr>
            <w:tcW w:w="206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完成环节工作，完成项目工作</w:t>
            </w:r>
          </w:p>
        </w:tc>
        <w:tc>
          <w:tcPr>
            <w:tcW w:w="1789"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基本知识学习通关，差错率为</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p>
        </w:tc>
        <w:tc>
          <w:tcPr>
            <w:tcW w:w="1652"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w:t>
            </w:r>
          </w:p>
        </w:tc>
        <w:tc>
          <w:tcPr>
            <w:tcW w:w="151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岗位的核心胜任力（工作分析表为准）</w:t>
            </w:r>
          </w:p>
        </w:tc>
        <w:tc>
          <w:tcPr>
            <w:tcW w:w="1377"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差错率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次以上，环节交付不及时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90" w:hRule="atLeast"/>
        </w:trPr>
        <w:tc>
          <w:tcPr>
            <w:tcW w:w="134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技术员</w:t>
            </w:r>
          </w:p>
        </w:tc>
        <w:tc>
          <w:tcPr>
            <w:tcW w:w="206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具有一个环节的完成能力，日常无差错，月度任务交付</w:t>
            </w:r>
          </w:p>
        </w:tc>
        <w:tc>
          <w:tcPr>
            <w:tcW w:w="1789"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pStyle w:val="2"/>
              <w:framePr w:w="0" w:hRule="auto" w:wrap="auto" w:vAnchor="margin" w:hAnchor="text" w:yAlign="inline"/>
              <w:numPr>
                <w:ilvl w:val="0"/>
                <w:numId w:val="1"/>
              </w:numPr>
              <w:spacing w:line="280" w:lineRule="exact"/>
              <w:jc w:val="both"/>
              <w:rPr>
                <w:rFonts w:hint="eastAsia" w:eastAsia="Helvetica"/>
                <w:sz w:val="21"/>
                <w:szCs w:val="21"/>
                <w:lang w:val="zh-TW" w:eastAsia="zh-TW"/>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胜任模块技术</w:t>
            </w:r>
          </w:p>
          <w:p>
            <w:pPr>
              <w:pStyle w:val="2"/>
              <w:framePr w:w="0" w:hRule="auto" w:wrap="auto" w:vAnchor="margin" w:hAnchor="text" w:yAlign="inline"/>
              <w:numPr>
                <w:ilvl w:val="0"/>
                <w:numId w:val="1"/>
              </w:numPr>
              <w:bidi w:val="0"/>
              <w:spacing w:line="280" w:lineRule="exact"/>
              <w:ind w:right="0"/>
              <w:jc w:val="both"/>
              <w:rPr>
                <w:rFonts w:hint="eastAsia" w:eastAsia="Helvetica"/>
                <w:sz w:val="21"/>
                <w:szCs w:val="21"/>
                <w:rtl w:val="0"/>
                <w:lang w:val="zh-TW" w:eastAsia="zh-TW"/>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前后模块技术体系</w:t>
            </w:r>
          </w:p>
          <w:p>
            <w:pPr>
              <w:pStyle w:val="2"/>
              <w:framePr w:w="0" w:hRule="auto" w:wrap="auto" w:vAnchor="margin" w:hAnchor="text" w:yAlign="inline"/>
              <w:numPr>
                <w:ilvl w:val="0"/>
                <w:numId w:val="1"/>
              </w:numPr>
              <w:bidi w:val="0"/>
              <w:spacing w:line="280" w:lineRule="exact"/>
              <w:ind w:right="0"/>
              <w:jc w:val="both"/>
              <w:rPr>
                <w:rFonts w:hint="eastAsia" w:eastAsia="Helvetica"/>
                <w:sz w:val="21"/>
                <w:szCs w:val="21"/>
                <w:rtl w:val="0"/>
                <w:lang w:val="zh-TW" w:eastAsia="zh-TW"/>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参加助理咨询师培训并通关</w:t>
            </w:r>
          </w:p>
        </w:tc>
        <w:tc>
          <w:tcPr>
            <w:tcW w:w="1652"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w:t>
            </w:r>
          </w:p>
        </w:tc>
        <w:tc>
          <w:tcPr>
            <w:tcW w:w="151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掌握行业优秀的工作环节或一个环节的信息库</w:t>
            </w:r>
          </w:p>
        </w:tc>
        <w:tc>
          <w:tcPr>
            <w:tcW w:w="1377"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差错率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次以上，环节交付不及时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50" w:hRule="atLeast"/>
        </w:trPr>
        <w:tc>
          <w:tcPr>
            <w:tcW w:w="134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助理工程师</w:t>
            </w:r>
          </w:p>
        </w:tc>
        <w:tc>
          <w:tcPr>
            <w:tcW w:w="206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协助工程师完成项目，达到目标，完成指派的工作项目</w:t>
            </w:r>
          </w:p>
        </w:tc>
        <w:tc>
          <w:tcPr>
            <w:tcW w:w="1789"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）项目理论体系</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）带领项目完成</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）参加工程师培训，并通关</w:t>
            </w:r>
          </w:p>
        </w:tc>
        <w:tc>
          <w:tcPr>
            <w:tcW w:w="1652"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实习技术员或技术员</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w:t>
            </w:r>
          </w:p>
        </w:tc>
        <w:tc>
          <w:tcPr>
            <w:tcW w:w="151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确保技术保障工作</w:t>
            </w:r>
          </w:p>
        </w:tc>
        <w:tc>
          <w:tcPr>
            <w:tcW w:w="1377"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项目交付率不及时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430" w:hRule="atLeast"/>
        </w:trPr>
        <w:tc>
          <w:tcPr>
            <w:tcW w:w="134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工程师</w:t>
            </w:r>
          </w:p>
        </w:tc>
        <w:tc>
          <w:tcPr>
            <w:tcW w:w="206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完成独立项目，实现项目目标，研发产品并产生销售额，日常交付产品</w:t>
            </w:r>
          </w:p>
        </w:tc>
        <w:tc>
          <w:tcPr>
            <w:tcW w:w="1789"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）项目交付能力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）项目理论能力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）参加高级工程师，储备干部培训并通关</w:t>
            </w:r>
          </w:p>
        </w:tc>
        <w:tc>
          <w:tcPr>
            <w:tcW w:w="1652"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技术员</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w:t>
            </w:r>
          </w:p>
        </w:tc>
        <w:tc>
          <w:tcPr>
            <w:tcW w:w="151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377"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产品不正常交付次数 高于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次以上（不含委托交付）</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50" w:hRule="atLeast"/>
        </w:trPr>
        <w:tc>
          <w:tcPr>
            <w:tcW w:w="134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高级工程师</w:t>
            </w:r>
          </w:p>
        </w:tc>
        <w:tc>
          <w:tcPr>
            <w:tcW w:w="206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具有行业先进产品研发实例</w:t>
            </w:r>
          </w:p>
        </w:tc>
        <w:tc>
          <w:tcPr>
            <w:tcW w:w="1789"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）国内领先技术</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）行业领先技术</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CTO</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培训并通关</w:t>
            </w:r>
          </w:p>
        </w:tc>
        <w:tc>
          <w:tcPr>
            <w:tcW w:w="1652"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工程师、助理工程师</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w:t>
            </w:r>
          </w:p>
        </w:tc>
        <w:tc>
          <w:tcPr>
            <w:tcW w:w="151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377"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研发产品交付次数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50" w:hRule="atLeast"/>
        </w:trPr>
        <w:tc>
          <w:tcPr>
            <w:tcW w:w="134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CTO</w:t>
            </w:r>
          </w:p>
        </w:tc>
        <w:tc>
          <w:tcPr>
            <w:tcW w:w="206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完成季度利润目标</w:t>
            </w:r>
          </w:p>
        </w:tc>
        <w:tc>
          <w:tcPr>
            <w:tcW w:w="1789"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）技术信息库</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）技术培训师</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）事业部总经理培训，并通关</w:t>
            </w:r>
          </w:p>
        </w:tc>
        <w:tc>
          <w:tcPr>
            <w:tcW w:w="1652"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工程师、高级工程师</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w:t>
            </w:r>
          </w:p>
        </w:tc>
        <w:tc>
          <w:tcPr>
            <w:tcW w:w="151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产品成为公司支柱产品</w:t>
            </w:r>
          </w:p>
        </w:tc>
        <w:tc>
          <w:tcPr>
            <w:tcW w:w="1377"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销销比超过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30%</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电网指标达到要求</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78" w:hRule="atLeast"/>
        </w:trPr>
        <w:tc>
          <w:tcPr>
            <w:tcW w:w="1343" w:type="dxa"/>
            <w:tcBorders>
              <w:top w:val="single" w:color="404040" w:sz="6" w:space="0"/>
              <w:left w:val="single" w:color="404040" w:sz="12"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股东专家</w:t>
            </w:r>
          </w:p>
        </w:tc>
        <w:tc>
          <w:tcPr>
            <w:tcW w:w="2065"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产品符合国内外权威项目交付，有产权</w:t>
            </w:r>
          </w:p>
        </w:tc>
        <w:tc>
          <w:tcPr>
            <w:tcW w:w="1789"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具有权威项目技术能力</w:t>
            </w:r>
          </w:p>
        </w:tc>
        <w:tc>
          <w:tcPr>
            <w:tcW w:w="1652"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整合技术人才、技术营销，实现编制</w:t>
            </w:r>
          </w:p>
        </w:tc>
        <w:tc>
          <w:tcPr>
            <w:tcW w:w="1514"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事业部战略目标</w:t>
            </w:r>
          </w:p>
        </w:tc>
        <w:tc>
          <w:tcPr>
            <w:tcW w:w="1377" w:type="dxa"/>
            <w:tcBorders>
              <w:top w:val="single" w:color="404040" w:sz="6" w:space="0"/>
              <w:left w:val="single" w:color="404040" w:sz="6" w:space="0"/>
              <w:bottom w:val="single" w:color="404040" w:sz="12"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公司电网指标，合约履约指标</w:t>
            </w:r>
          </w:p>
        </w:tc>
      </w:tr>
    </w:tbl>
    <w:p>
      <w:pPr>
        <w:framePr w:w="0" w:hRule="auto" w:wrap="auto" w:vAnchor="margin" w:hAnchor="text" w:yAlign="inline"/>
        <w:ind w:left="108" w:hanging="108"/>
        <w:jc w:val="left"/>
        <w:rPr>
          <w:rFonts w:ascii="微软雅黑" w:hAnsi="微软雅黑" w:eastAsia="微软雅黑" w:cs="微软雅黑"/>
          <w:b/>
          <w:bCs/>
          <w:sz w:val="24"/>
          <w:szCs w:val="24"/>
        </w:rPr>
      </w:pPr>
    </w:p>
    <w:p>
      <w:pPr>
        <w:framePr w:w="0" w:hRule="auto" w:wrap="auto" w:vAnchor="margin" w:hAnchor="text" w:yAlign="inline"/>
        <w:jc w:val="left"/>
        <w:rPr>
          <w:rFonts w:ascii="微软雅黑" w:hAnsi="微软雅黑" w:eastAsia="微软雅黑" w:cs="微软雅黑"/>
          <w:b/>
          <w:bCs/>
          <w:sz w:val="24"/>
          <w:szCs w:val="24"/>
        </w:rPr>
      </w:pPr>
    </w:p>
    <w:p>
      <w:pPr>
        <w:framePr w:w="0" w:hRule="auto" w:wrap="auto" w:vAnchor="margin" w:hAnchor="text" w:yAlign="inline"/>
        <w:jc w:val="lef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b/>
          <w:bCs/>
          <w:sz w:val="24"/>
          <w:szCs w:val="24"/>
        </w:rPr>
      </w:pPr>
      <w:r>
        <w:rPr>
          <w:rFonts w:ascii="微软雅黑" w:hAnsi="微软雅黑" w:eastAsia="微软雅黑" w:cs="微软雅黑"/>
          <w:b/>
          <w:bCs/>
          <w:sz w:val="24"/>
          <w:szCs w:val="24"/>
          <w:rtl w:val="0"/>
          <w:lang w:val="en-US"/>
        </w:rPr>
        <w:t>3</w:t>
      </w:r>
      <w:r>
        <w:rPr>
          <w:rFonts w:ascii="微软雅黑" w:hAnsi="微软雅黑" w:eastAsia="微软雅黑" w:cs="微软雅黑"/>
          <w:b/>
          <w:bCs/>
          <w:sz w:val="24"/>
          <w:szCs w:val="24"/>
          <w:rtl w:val="0"/>
          <w:lang w:val="zh-TW" w:eastAsia="zh-TW"/>
        </w:rPr>
        <w:t>、生产职系晋升通道及晋升标准</w:t>
      </w:r>
    </w:p>
    <w:p>
      <w:pPr>
        <w:framePr w:w="0" w:hRule="auto" w:wrap="auto" w:vAnchor="margin" w:hAnchor="text" w:yAlign="inline"/>
        <w:spacing w:line="440" w:lineRule="exact"/>
        <w:rPr>
          <w:rFonts w:ascii="微软雅黑" w:hAnsi="微软雅黑" w:eastAsia="微软雅黑" w:cs="微软雅黑"/>
          <w:sz w:val="24"/>
          <w:szCs w:val="24"/>
        </w:rPr>
      </w:pPr>
      <w:r>
        <w:rPr>
          <w:rFonts w:ascii="微软雅黑" w:hAnsi="微软雅黑" w:eastAsia="微软雅黑" w:cs="微软雅黑"/>
          <w:sz w:val="24"/>
          <w:szCs w:val="24"/>
        </w:rPr>
        <w:drawing>
          <wp:anchor distT="152400" distB="152400" distL="152400" distR="152400" simplePos="0" relativeHeight="251661312" behindDoc="0" locked="0" layoutInCell="1" allowOverlap="1">
            <wp:simplePos x="0" y="0"/>
            <wp:positionH relativeFrom="page">
              <wp:posOffset>309245</wp:posOffset>
            </wp:positionH>
            <wp:positionV relativeFrom="line">
              <wp:posOffset>321945</wp:posOffset>
            </wp:positionV>
            <wp:extent cx="6924040" cy="3444875"/>
            <wp:effectExtent l="0" t="0" r="0" b="0"/>
            <wp:wrapThrough wrapText="bothSides">
              <wp:wrapPolygon>
                <wp:start x="0" y="0"/>
                <wp:lineTo x="21600" y="0"/>
                <wp:lineTo x="21600" y="21623"/>
                <wp:lineTo x="0" y="21623"/>
                <wp:lineTo x="0" y="0"/>
              </wp:wrapPolygon>
            </wp:wrapThrough>
            <wp:docPr id="1073741828" name="officeArt object" descr="屏幕快照 2015-04-09 18.3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officeArt object" descr="屏幕快照 2015-04-09 18.37.10.png"/>
                    <pic:cNvPicPr>
                      <a:picLocks noChangeAspect="1"/>
                    </pic:cNvPicPr>
                  </pic:nvPicPr>
                  <pic:blipFill>
                    <a:blip r:embed="rId9"/>
                    <a:stretch>
                      <a:fillRect/>
                    </a:stretch>
                  </pic:blipFill>
                  <pic:spPr>
                    <a:xfrm>
                      <a:off x="0" y="0"/>
                      <a:ext cx="6924131" cy="3444841"/>
                    </a:xfrm>
                    <a:prstGeom prst="rect">
                      <a:avLst/>
                    </a:prstGeom>
                    <a:ln w="12700" cap="flat">
                      <a:noFill/>
                      <a:miter lim="400000"/>
                      <a:headEnd/>
                      <a:tailEnd/>
                    </a:ln>
                    <a:effectLst/>
                  </pic:spPr>
                </pic:pic>
              </a:graphicData>
            </a:graphic>
          </wp:anchor>
        </w:drawing>
      </w: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40" w:lineRule="exact"/>
        <w:rPr>
          <w:rFonts w:ascii="微软雅黑" w:hAnsi="微软雅黑" w:eastAsia="微软雅黑" w:cs="微软雅黑"/>
          <w:sz w:val="24"/>
          <w:szCs w:val="24"/>
        </w:rPr>
      </w:pPr>
    </w:p>
    <w:p>
      <w:pPr>
        <w:framePr w:w="0" w:hRule="auto" w:wrap="auto" w:vAnchor="margin" w:hAnchor="text" w:yAlign="inline"/>
        <w:spacing w:line="400" w:lineRule="exact"/>
        <w:jc w:val="left"/>
        <w:rPr>
          <w:rFonts w:ascii="微软雅黑" w:hAnsi="微软雅黑" w:eastAsia="微软雅黑" w:cs="微软雅黑"/>
          <w:b/>
          <w:bCs/>
          <w:sz w:val="24"/>
          <w:szCs w:val="24"/>
          <w:lang w:val="zh-TW" w:eastAsia="zh-TW"/>
        </w:rPr>
      </w:pPr>
      <w:r>
        <w:rPr>
          <w:rFonts w:ascii="微软雅黑" w:hAnsi="微软雅黑" w:eastAsia="微软雅黑" w:cs="微软雅黑"/>
          <w:b/>
          <w:bCs/>
          <w:sz w:val="24"/>
          <w:szCs w:val="24"/>
          <w:rtl w:val="0"/>
          <w:lang w:val="zh-TW" w:eastAsia="zh-TW"/>
        </w:rPr>
        <w:t>生产团队晋升标准</w:t>
      </w:r>
    </w:p>
    <w:tbl>
      <w:tblPr>
        <w:tblStyle w:val="6"/>
        <w:tblW w:w="9740"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
      <w:tblGrid>
        <w:gridCol w:w="1323"/>
        <w:gridCol w:w="2070"/>
        <w:gridCol w:w="1794"/>
        <w:gridCol w:w="1655"/>
        <w:gridCol w:w="1518"/>
        <w:gridCol w:w="138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Ex>
        <w:trPr>
          <w:trHeight w:val="325" w:hRule="atLeast"/>
        </w:trPr>
        <w:tc>
          <w:tcPr>
            <w:tcW w:w="1323" w:type="dxa"/>
            <w:tcBorders>
              <w:top w:val="single" w:color="404040" w:sz="12" w:space="0"/>
              <w:left w:val="single" w:color="404040" w:sz="12"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岗位</w:t>
            </w:r>
          </w:p>
        </w:tc>
        <w:tc>
          <w:tcPr>
            <w:tcW w:w="2070"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业绩</w:t>
            </w:r>
          </w:p>
        </w:tc>
        <w:tc>
          <w:tcPr>
            <w:tcW w:w="1794"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技能</w:t>
            </w:r>
          </w:p>
        </w:tc>
        <w:tc>
          <w:tcPr>
            <w:tcW w:w="1655"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培养干部</w:t>
            </w:r>
          </w:p>
        </w:tc>
        <w:tc>
          <w:tcPr>
            <w:tcW w:w="1518" w:type="dxa"/>
            <w:tcBorders>
              <w:top w:val="single" w:color="404040" w:sz="12" w:space="0"/>
              <w:left w:val="single" w:color="404040" w:sz="6" w:space="0"/>
              <w:bottom w:val="single" w:color="404040" w:sz="6" w:space="0"/>
              <w:right w:val="single" w:color="404040"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2"/>
                <w:position w:val="0"/>
                <w:sz w:val="21"/>
                <w:szCs w:val="21"/>
                <w:u w:val="none" w:color="000000"/>
                <w:vertAlign w:val="baseline"/>
                <w:rtl w:val="0"/>
                <w:lang w:val="zh-TW" w:eastAsia="zh-TW"/>
              </w:rPr>
              <w:t>关键指标</w:t>
            </w:r>
          </w:p>
        </w:tc>
        <w:tc>
          <w:tcPr>
            <w:tcW w:w="1380" w:type="dxa"/>
            <w:tcBorders>
              <w:top w:val="single" w:color="404040" w:sz="12" w:space="0"/>
              <w:left w:val="single" w:color="404040" w:sz="6" w:space="0"/>
              <w:bottom w:val="single" w:color="404040" w:sz="6" w:space="0"/>
              <w:right w:val="single" w:color="404040" w:sz="12" w:space="0"/>
            </w:tcBorders>
            <w:shd w:val="clear" w:color="auto" w:fill="FF0000"/>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FFFFFF"/>
                <w:spacing w:val="0"/>
                <w:kern w:val="2"/>
                <w:position w:val="0"/>
                <w:sz w:val="21"/>
                <w:szCs w:val="21"/>
                <w:u w:val="none" w:color="FFFFFF"/>
                <w:vertAlign w:val="baseline"/>
                <w:rtl w:val="0"/>
                <w:lang w:val="zh-TW" w:eastAsia="zh-TW"/>
              </w:rPr>
              <w:t>降级指标</w:t>
            </w:r>
            <w:r>
              <w:rPr>
                <w:rFonts w:ascii="微软雅黑" w:hAnsi="微软雅黑" w:eastAsia="微软雅黑" w:cs="微软雅黑"/>
                <w:b/>
                <w:bCs/>
                <w:caps w:val="0"/>
                <w:smallCaps w:val="0"/>
                <w:strike w:val="0"/>
                <w:dstrike w:val="0"/>
                <w:outline w:val="0"/>
                <w:color w:val="FFFFFF"/>
                <w:spacing w:val="0"/>
                <w:kern w:val="2"/>
                <w:position w:val="0"/>
                <w:sz w:val="21"/>
                <w:szCs w:val="21"/>
                <w:u w:val="none" w:color="FFFFFF"/>
                <w:vertAlign w:val="baseline"/>
                <w:rtl w:val="0"/>
                <w:lang w:val="en-US"/>
              </w:rPr>
              <w:t xml:space="preserve">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50" w:hRule="atLeast"/>
        </w:trPr>
        <w:tc>
          <w:tcPr>
            <w:tcW w:w="132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普工</w:t>
            </w:r>
          </w:p>
        </w:tc>
        <w:tc>
          <w:tcPr>
            <w:tcW w:w="2070"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能够根据工作要求完成工作，无不合格品返工</w:t>
            </w:r>
          </w:p>
        </w:tc>
        <w:tc>
          <w:tcPr>
            <w:tcW w:w="179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掌握</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种以上制作工序</w:t>
            </w:r>
          </w:p>
        </w:tc>
        <w:tc>
          <w:tcPr>
            <w:tcW w:w="165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w:t>
            </w:r>
          </w:p>
        </w:tc>
        <w:tc>
          <w:tcPr>
            <w:tcW w:w="1518"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具备岗位胜任力（工作分析表为准）</w:t>
            </w:r>
          </w:p>
        </w:tc>
        <w:tc>
          <w:tcPr>
            <w:tcW w:w="1380"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差错率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次以上，环节交付不及时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430" w:hRule="atLeast"/>
        </w:trPr>
        <w:tc>
          <w:tcPr>
            <w:tcW w:w="132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中级工程师</w:t>
            </w:r>
          </w:p>
        </w:tc>
        <w:tc>
          <w:tcPr>
            <w:tcW w:w="2070"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能够在额定工作时间内完成工作，无不合格品返工</w:t>
            </w:r>
          </w:p>
        </w:tc>
        <w:tc>
          <w:tcPr>
            <w:tcW w:w="179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）掌握</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5</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种以上制作工序前后模块技术体系</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）参加技术操作培训并通关</w:t>
            </w:r>
          </w:p>
        </w:tc>
        <w:tc>
          <w:tcPr>
            <w:tcW w:w="165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w:t>
            </w:r>
          </w:p>
        </w:tc>
        <w:tc>
          <w:tcPr>
            <w:tcW w:w="1518"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岗位的核心胜任力（工作分析表为准）</w:t>
            </w:r>
          </w:p>
        </w:tc>
        <w:tc>
          <w:tcPr>
            <w:tcW w:w="1380"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差错率</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次以上，环节交付不及时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50" w:hRule="atLeast"/>
        </w:trPr>
        <w:tc>
          <w:tcPr>
            <w:tcW w:w="132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高级工程师</w:t>
            </w:r>
          </w:p>
        </w:tc>
        <w:tc>
          <w:tcPr>
            <w:tcW w:w="2070"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能够优于额定工作时间内完成工作，无不合格品返工</w:t>
            </w:r>
          </w:p>
        </w:tc>
        <w:tc>
          <w:tcPr>
            <w:tcW w:w="179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）掌握全部制作工序</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）参加技术操作培训，并通关</w:t>
            </w:r>
          </w:p>
        </w:tc>
        <w:tc>
          <w:tcPr>
            <w:tcW w:w="165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普工</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名或中级工</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w:t>
            </w:r>
          </w:p>
        </w:tc>
        <w:tc>
          <w:tcPr>
            <w:tcW w:w="1518"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具备较高岗位胜任力，且具备技能培训能力</w:t>
            </w:r>
          </w:p>
        </w:tc>
        <w:tc>
          <w:tcPr>
            <w:tcW w:w="1380"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产品交付率不及时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90" w:hRule="atLeast"/>
        </w:trPr>
        <w:tc>
          <w:tcPr>
            <w:tcW w:w="132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生产主管</w:t>
            </w:r>
          </w:p>
        </w:tc>
        <w:tc>
          <w:tcPr>
            <w:tcW w:w="2070"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达到管理员工满意度合格，生产管理与工艺标准化</w:t>
            </w:r>
          </w:p>
        </w:tc>
        <w:tc>
          <w:tcPr>
            <w:tcW w:w="179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）生产知识的应用能力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）生产工艺改进能力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）参加高级工，储备干部培训并通关</w:t>
            </w:r>
          </w:p>
        </w:tc>
        <w:tc>
          <w:tcPr>
            <w:tcW w:w="165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中级工</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名以上，高级工</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w:t>
            </w:r>
          </w:p>
        </w:tc>
        <w:tc>
          <w:tcPr>
            <w:tcW w:w="1518"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380"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产品不正常交付次数 高于</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710" w:hRule="atLeast"/>
        </w:trPr>
        <w:tc>
          <w:tcPr>
            <w:tcW w:w="132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生产车间主任</w:t>
            </w:r>
          </w:p>
        </w:tc>
        <w:tc>
          <w:tcPr>
            <w:tcW w:w="2070"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在产品生产，员工管理，</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6S</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管理，成本控制方面具备胜任力，达到管理员工满意度合格</w:t>
            </w:r>
          </w:p>
        </w:tc>
        <w:tc>
          <w:tcPr>
            <w:tcW w:w="179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）具有生产管理知识应用能力，能拿出某一工作的方案并有效果</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）参加生产储备干部培训并通关</w:t>
            </w:r>
          </w:p>
        </w:tc>
        <w:tc>
          <w:tcPr>
            <w:tcW w:w="165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中级工</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名以上，高级工</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名，生产主管</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w:t>
            </w:r>
          </w:p>
        </w:tc>
        <w:tc>
          <w:tcPr>
            <w:tcW w:w="1518"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380"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团队产品交付延时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830" w:hRule="atLeast"/>
        </w:trPr>
        <w:tc>
          <w:tcPr>
            <w:tcW w:w="132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生产经理</w:t>
            </w:r>
          </w:p>
        </w:tc>
        <w:tc>
          <w:tcPr>
            <w:tcW w:w="2070"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）完成生产任务目标</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）完成成本控制目标</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）生产现场符合规范要求</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4</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）可设计生产流程，质检检验，生产ＰＫ等规则。并可合理应用于企业</w:t>
            </w:r>
          </w:p>
        </w:tc>
        <w:tc>
          <w:tcPr>
            <w:tcW w:w="179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）具有生产管理知识应用能力，能拿出整套工作的方案并有效果</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）参加生产储备干部培训并通关</w:t>
            </w:r>
          </w:p>
        </w:tc>
        <w:tc>
          <w:tcPr>
            <w:tcW w:w="165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高级工</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名，生产主管</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名，生产车间主任</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名</w:t>
            </w:r>
          </w:p>
        </w:tc>
        <w:tc>
          <w:tcPr>
            <w:tcW w:w="1518"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团队产品交付及时且符合标准要求</w:t>
            </w:r>
          </w:p>
        </w:tc>
        <w:tc>
          <w:tcPr>
            <w:tcW w:w="1380"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团队产品交付延时</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次以上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电网指标达到要求</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550" w:hRule="atLeast"/>
        </w:trPr>
        <w:tc>
          <w:tcPr>
            <w:tcW w:w="1323" w:type="dxa"/>
            <w:tcBorders>
              <w:top w:val="single" w:color="404040" w:sz="6" w:space="0"/>
              <w:left w:val="single" w:color="404040" w:sz="12"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生产代总监</w:t>
            </w:r>
          </w:p>
        </w:tc>
        <w:tc>
          <w:tcPr>
            <w:tcW w:w="2070"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）可制定及完善生产体系流程</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）完成生产体系人才储备任务</w:t>
            </w:r>
          </w:p>
        </w:tc>
        <w:tc>
          <w:tcPr>
            <w:tcW w:w="1794"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）产品设计与生产标准化的主导者</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）生产系统建设与导入落地能力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）生产流程制定与梳理能力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4</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）人才梯队构建能力</w:t>
            </w:r>
          </w:p>
        </w:tc>
        <w:tc>
          <w:tcPr>
            <w:tcW w:w="1655"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生产团队编制实现</w:t>
            </w:r>
          </w:p>
        </w:tc>
        <w:tc>
          <w:tcPr>
            <w:tcW w:w="1518" w:type="dxa"/>
            <w:tcBorders>
              <w:top w:val="single" w:color="404040" w:sz="6" w:space="0"/>
              <w:left w:val="single" w:color="404040" w:sz="6" w:space="0"/>
              <w:bottom w:val="single" w:color="404040" w:sz="6"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生产流程体系建设完善</w:t>
            </w:r>
          </w:p>
        </w:tc>
        <w:tc>
          <w:tcPr>
            <w:tcW w:w="1380" w:type="dxa"/>
            <w:tcBorders>
              <w:top w:val="single" w:color="404040" w:sz="6" w:space="0"/>
              <w:left w:val="single" w:color="404040" w:sz="6" w:space="0"/>
              <w:bottom w:val="single" w:color="404040" w:sz="6"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公司电网指标，合约履约指标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558" w:hRule="atLeast"/>
        </w:trPr>
        <w:tc>
          <w:tcPr>
            <w:tcW w:w="1323" w:type="dxa"/>
            <w:tcBorders>
              <w:top w:val="single" w:color="404040" w:sz="6" w:space="0"/>
              <w:left w:val="single" w:color="404040" w:sz="12"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生产总监</w:t>
            </w:r>
          </w:p>
        </w:tc>
        <w:tc>
          <w:tcPr>
            <w:tcW w:w="2070"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）完成公司生产系统建设及导入落地工作</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）完成生产体系人才储备任务</w:t>
            </w:r>
          </w:p>
        </w:tc>
        <w:tc>
          <w:tcPr>
            <w:tcW w:w="1794"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）全面负责产品设计与生产标准化工作</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）生产系统建设与导入落地能力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3</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）生产流程制定与梳理能力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4</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）人才梯队构建能力</w:t>
            </w:r>
          </w:p>
        </w:tc>
        <w:tc>
          <w:tcPr>
            <w:tcW w:w="1655"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）生产团队编制实现</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）生产人才储备数额达标</w:t>
            </w:r>
          </w:p>
        </w:tc>
        <w:tc>
          <w:tcPr>
            <w:tcW w:w="1518" w:type="dxa"/>
            <w:tcBorders>
              <w:top w:val="single" w:color="404040" w:sz="6" w:space="0"/>
              <w:left w:val="single" w:color="404040" w:sz="6" w:space="0"/>
              <w:bottom w:val="single" w:color="404040" w:sz="12" w:space="0"/>
              <w:right w:val="single" w:color="404040"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生产部战略目标实现</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生产管理制度与生产流程体系完善</w:t>
            </w:r>
          </w:p>
        </w:tc>
        <w:tc>
          <w:tcPr>
            <w:tcW w:w="1380" w:type="dxa"/>
            <w:tcBorders>
              <w:top w:val="single" w:color="404040" w:sz="6" w:space="0"/>
              <w:left w:val="single" w:color="404040" w:sz="6" w:space="0"/>
              <w:bottom w:val="single" w:color="404040" w:sz="12" w:space="0"/>
              <w:right w:val="single" w:color="404040"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公司电网指标，合约履约指标</w:t>
            </w:r>
          </w:p>
        </w:tc>
      </w:tr>
    </w:tbl>
    <w:p>
      <w:pPr>
        <w:framePr w:w="0" w:hRule="auto" w:wrap="auto" w:vAnchor="margin" w:hAnchor="text" w:yAlign="inline"/>
        <w:ind w:left="108" w:hanging="108"/>
        <w:jc w:val="left"/>
        <w:rPr>
          <w:rFonts w:ascii="微软雅黑" w:hAnsi="微软雅黑" w:eastAsia="微软雅黑" w:cs="微软雅黑"/>
          <w:b/>
          <w:bCs/>
          <w:sz w:val="24"/>
          <w:szCs w:val="24"/>
          <w:lang w:val="zh-TW" w:eastAsia="zh-TW"/>
        </w:rPr>
      </w:pPr>
    </w:p>
    <w:p>
      <w:pPr>
        <w:framePr w:w="0" w:hRule="auto" w:wrap="auto" w:vAnchor="margin" w:hAnchor="text" w:yAlign="inline"/>
        <w:jc w:val="left"/>
        <w:rPr>
          <w:rFonts w:ascii="微软雅黑" w:hAnsi="微软雅黑" w:eastAsia="微软雅黑" w:cs="微软雅黑"/>
          <w:b/>
          <w:bCs/>
          <w:sz w:val="24"/>
          <w:szCs w:val="24"/>
        </w:rPr>
      </w:pPr>
    </w:p>
    <w:p>
      <w:pPr>
        <w:framePr w:w="0" w:hRule="auto" w:wrap="auto" w:vAnchor="margin" w:hAnchor="text" w:yAlign="inline"/>
        <w:widowControl/>
        <w:spacing w:line="400" w:lineRule="exact"/>
        <w:jc w:val="left"/>
        <w:rPr>
          <w:rFonts w:ascii="微软雅黑" w:hAnsi="微软雅黑" w:eastAsia="微软雅黑" w:cs="微软雅黑"/>
          <w:b/>
          <w:bCs/>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jc w:val="left"/>
        <w:rPr>
          <w:rFonts w:ascii="微软雅黑" w:hAnsi="微软雅黑" w:eastAsia="微软雅黑" w:cs="微软雅黑"/>
          <w:sz w:val="24"/>
          <w:szCs w:val="24"/>
        </w:rPr>
      </w:pPr>
      <w:r>
        <w:rPr>
          <w:rFonts w:ascii="微软雅黑" w:hAnsi="微软雅黑" w:eastAsia="微软雅黑" w:cs="微软雅黑"/>
          <w:sz w:val="24"/>
          <w:szCs w:val="24"/>
          <w:rtl w:val="0"/>
          <w:lang w:val="en-US"/>
        </w:rPr>
        <w:t>4</w:t>
      </w:r>
      <w:r>
        <w:rPr>
          <w:rFonts w:ascii="微软雅黑" w:hAnsi="微软雅黑" w:eastAsia="微软雅黑" w:cs="微软雅黑"/>
          <w:sz w:val="24"/>
          <w:szCs w:val="24"/>
          <w:rtl w:val="0"/>
          <w:lang w:val="zh-TW" w:eastAsia="zh-TW"/>
        </w:rPr>
        <w:t>、</w:t>
      </w:r>
      <w:r>
        <w:rPr>
          <w:rFonts w:ascii="微软雅黑" w:hAnsi="微软雅黑" w:eastAsia="微软雅黑" w:cs="微软雅黑"/>
          <w:b/>
          <w:bCs/>
          <w:sz w:val="24"/>
          <w:szCs w:val="24"/>
          <w:rtl w:val="0"/>
          <w:lang w:val="zh-TW" w:eastAsia="zh-TW"/>
        </w:rPr>
        <w:t>管理职系晋升通道及晋升标准</w:t>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r>
        <w:rPr>
          <w:rFonts w:ascii="微软雅黑" w:hAnsi="微软雅黑" w:eastAsia="微软雅黑" w:cs="微软雅黑"/>
          <w:sz w:val="24"/>
          <w:szCs w:val="24"/>
        </w:rPr>
        <w:drawing>
          <wp:anchor distT="152400" distB="152400" distL="152400" distR="152400" simplePos="0" relativeHeight="251662336" behindDoc="0" locked="0" layoutInCell="1" allowOverlap="1">
            <wp:simplePos x="0" y="0"/>
            <wp:positionH relativeFrom="page">
              <wp:posOffset>562610</wp:posOffset>
            </wp:positionH>
            <wp:positionV relativeFrom="line">
              <wp:posOffset>296545</wp:posOffset>
            </wp:positionV>
            <wp:extent cx="6418580" cy="3298190"/>
            <wp:effectExtent l="0" t="0" r="0" b="0"/>
            <wp:wrapThrough wrapText="bothSides">
              <wp:wrapPolygon>
                <wp:start x="0" y="0"/>
                <wp:lineTo x="21621" y="0"/>
                <wp:lineTo x="21621" y="21634"/>
                <wp:lineTo x="0" y="21634"/>
                <wp:lineTo x="0" y="0"/>
              </wp:wrapPolygon>
            </wp:wrapThrough>
            <wp:docPr id="1073741829" name="officeArt object" descr="屏幕快照 2015-04-09 18.4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9" name="officeArt object" descr="屏幕快照 2015-04-09 18.42.29.png"/>
                    <pic:cNvPicPr>
                      <a:picLocks noChangeAspect="1"/>
                    </pic:cNvPicPr>
                  </pic:nvPicPr>
                  <pic:blipFill>
                    <a:blip r:embed="rId10"/>
                    <a:stretch>
                      <a:fillRect/>
                    </a:stretch>
                  </pic:blipFill>
                  <pic:spPr>
                    <a:xfrm>
                      <a:off x="0" y="0"/>
                      <a:ext cx="6418279" cy="3298008"/>
                    </a:xfrm>
                    <a:prstGeom prst="rect">
                      <a:avLst/>
                    </a:prstGeom>
                    <a:ln w="12700" cap="flat">
                      <a:noFill/>
                      <a:miter lim="400000"/>
                      <a:headEnd/>
                      <a:tailEnd/>
                    </a:ln>
                    <a:effectLst/>
                  </pic:spPr>
                </pic:pic>
              </a:graphicData>
            </a:graphic>
          </wp:anchor>
        </w:drawing>
      </w: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tabs>
          <w:tab w:val="left" w:pos="6180"/>
        </w:tabs>
        <w:spacing w:line="440" w:lineRule="exac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sz w:val="24"/>
          <w:szCs w:val="24"/>
        </w:rPr>
      </w:pPr>
    </w:p>
    <w:p>
      <w:pPr>
        <w:framePr w:w="0" w:hRule="auto" w:wrap="auto" w:vAnchor="margin" w:hAnchor="text" w:yAlign="inline"/>
        <w:spacing w:line="440" w:lineRule="exact"/>
        <w:jc w:val="left"/>
        <w:rPr>
          <w:rFonts w:ascii="微软雅黑" w:hAnsi="微软雅黑" w:eastAsia="微软雅黑" w:cs="微软雅黑"/>
          <w:b/>
          <w:bCs/>
          <w:kern w:val="0"/>
          <w:sz w:val="24"/>
          <w:szCs w:val="24"/>
          <w:lang w:val="zh-TW" w:eastAsia="zh-TW"/>
        </w:rPr>
      </w:pPr>
      <w:r>
        <w:rPr>
          <w:rFonts w:ascii="微软雅黑" w:hAnsi="微软雅黑" w:eastAsia="微软雅黑" w:cs="微软雅黑"/>
          <w:b/>
          <w:bCs/>
          <w:kern w:val="0"/>
          <w:sz w:val="24"/>
          <w:szCs w:val="24"/>
          <w:rtl w:val="0"/>
          <w:lang w:val="zh-TW" w:eastAsia="zh-TW"/>
        </w:rPr>
        <w:t>人力资源团队晋升标准</w:t>
      </w:r>
    </w:p>
    <w:tbl>
      <w:tblPr>
        <w:tblStyle w:val="6"/>
        <w:tblW w:w="10065"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
      <w:tblGrid>
        <w:gridCol w:w="1277"/>
        <w:gridCol w:w="1985"/>
        <w:gridCol w:w="1843"/>
        <w:gridCol w:w="1842"/>
        <w:gridCol w:w="1559"/>
        <w:gridCol w:w="1559"/>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Ex>
        <w:trPr>
          <w:trHeight w:val="305" w:hRule="atLeast"/>
        </w:trPr>
        <w:tc>
          <w:tcPr>
            <w:tcW w:w="1277" w:type="dxa"/>
            <w:tcBorders>
              <w:top w:val="single" w:color="000000" w:sz="4" w:space="0"/>
              <w:left w:val="single" w:color="000000" w:sz="4" w:space="0"/>
              <w:bottom w:val="single" w:color="000000" w:sz="4" w:space="0"/>
              <w:right w:val="single" w:color="000000" w:sz="4" w:space="0"/>
            </w:tcBorders>
            <w:shd w:val="clear" w:color="auto" w:fill="DDD9C3"/>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职位</w:t>
            </w:r>
          </w:p>
        </w:tc>
        <w:tc>
          <w:tcPr>
            <w:tcW w:w="1985" w:type="dxa"/>
            <w:tcBorders>
              <w:top w:val="single" w:color="000000" w:sz="4" w:space="0"/>
              <w:left w:val="single" w:color="000000" w:sz="4" w:space="0"/>
              <w:bottom w:val="single" w:color="000000" w:sz="4" w:space="0"/>
              <w:right w:val="single" w:color="000000" w:sz="4" w:space="0"/>
            </w:tcBorders>
            <w:shd w:val="clear" w:color="auto" w:fill="DDD9C3"/>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业绩</w:t>
            </w:r>
          </w:p>
        </w:tc>
        <w:tc>
          <w:tcPr>
            <w:tcW w:w="1843" w:type="dxa"/>
            <w:tcBorders>
              <w:top w:val="single" w:color="000000" w:sz="4" w:space="0"/>
              <w:left w:val="single" w:color="000000" w:sz="4" w:space="0"/>
              <w:bottom w:val="single" w:color="000000" w:sz="4" w:space="0"/>
              <w:right w:val="single" w:color="000000" w:sz="4" w:space="0"/>
            </w:tcBorders>
            <w:shd w:val="clear" w:color="auto" w:fill="DDD9C3"/>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技能</w:t>
            </w:r>
          </w:p>
        </w:tc>
        <w:tc>
          <w:tcPr>
            <w:tcW w:w="1842" w:type="dxa"/>
            <w:tcBorders>
              <w:top w:val="single" w:color="000000" w:sz="4" w:space="0"/>
              <w:left w:val="single" w:color="000000" w:sz="4" w:space="0"/>
              <w:bottom w:val="single" w:color="000000" w:sz="4" w:space="0"/>
              <w:right w:val="single" w:color="000000" w:sz="4" w:space="0"/>
            </w:tcBorders>
            <w:shd w:val="clear" w:color="auto" w:fill="DDD9C3"/>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培养人才</w:t>
            </w:r>
          </w:p>
        </w:tc>
        <w:tc>
          <w:tcPr>
            <w:tcW w:w="1559" w:type="dxa"/>
            <w:tcBorders>
              <w:top w:val="single" w:color="000000" w:sz="4" w:space="0"/>
              <w:left w:val="single" w:color="000000" w:sz="4" w:space="0"/>
              <w:bottom w:val="single" w:color="000000" w:sz="4" w:space="0"/>
              <w:right w:val="single" w:color="000000" w:sz="4" w:space="0"/>
            </w:tcBorders>
            <w:shd w:val="clear" w:color="auto" w:fill="DDD9C3"/>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关键指标</w:t>
            </w:r>
          </w:p>
        </w:tc>
        <w:tc>
          <w:tcPr>
            <w:tcW w:w="1559" w:type="dxa"/>
            <w:tcBorders>
              <w:top w:val="single" w:color="000000" w:sz="4" w:space="0"/>
              <w:left w:val="single" w:color="000000" w:sz="4" w:space="0"/>
              <w:bottom w:val="single" w:color="000000" w:sz="4" w:space="0"/>
              <w:right w:val="single" w:color="000000" w:sz="4" w:space="0"/>
            </w:tcBorders>
            <w:shd w:val="clear" w:color="auto" w:fill="FF0000"/>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b/>
                <w:bCs/>
                <w:caps w:val="0"/>
                <w:smallCaps w:val="0"/>
                <w:strike w:val="0"/>
                <w:dstrike w:val="0"/>
                <w:outline w:val="0"/>
                <w:color w:val="FFFFFF"/>
                <w:spacing w:val="0"/>
                <w:kern w:val="0"/>
                <w:position w:val="0"/>
                <w:sz w:val="21"/>
                <w:szCs w:val="21"/>
                <w:u w:val="none" w:color="FFFFFF"/>
                <w:vertAlign w:val="baseline"/>
                <w:rtl w:val="0"/>
                <w:lang w:val="zh-TW" w:eastAsia="zh-TW"/>
              </w:rPr>
              <w:t>保级指标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705" w:hRule="atLeast"/>
        </w:trPr>
        <w:tc>
          <w:tcPr>
            <w:tcW w:w="127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人事专员</w:t>
            </w:r>
            <w:r>
              <w:rPr>
                <w:rFonts w:ascii="微软雅黑" w:hAnsi="微软雅黑" w:eastAsia="微软雅黑" w:cs="微软雅黑"/>
                <w:caps w:val="0"/>
                <w:smallCaps w:val="0"/>
                <w:strike w:val="0"/>
                <w:dstrike w:val="0"/>
                <w:outline w:val="0"/>
                <w:color w:val="FF0000"/>
                <w:spacing w:val="0"/>
                <w:kern w:val="0"/>
                <w:position w:val="0"/>
                <w:sz w:val="21"/>
                <w:szCs w:val="21"/>
                <w:u w:val="none" w:color="FF0000"/>
                <w:vertAlign w:val="baseline"/>
                <w:rtl w:val="0"/>
                <w:lang w:val="zh-TW" w:eastAsia="zh-TW"/>
              </w:rPr>
              <w:t>　</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完成工作要求，达到考核、招聘、薪酬、培训的组织工作、纪律监察合格、业绩考核在优秀以上</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了解劳动法、公司法，掌握考核、招聘、培训、劳动等人力资源知识并应用</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新员工培训考试合格率１００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，培养人事办事员１名</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岗位的核心胜任力（工作分析表为准）</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目标完成度为８０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以上。纪律遵守。差错率月２次以内，服务满意度在中度以上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85" w:hRule="atLeast"/>
        </w:trPr>
        <w:tc>
          <w:tcPr>
            <w:tcW w:w="127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人事主管</w:t>
            </w:r>
            <w:r>
              <w:rPr>
                <w:rFonts w:ascii="微软雅黑" w:hAnsi="微软雅黑" w:eastAsia="微软雅黑" w:cs="微软雅黑"/>
                <w:caps w:val="0"/>
                <w:smallCaps w:val="0"/>
                <w:strike w:val="0"/>
                <w:dstrike w:val="0"/>
                <w:outline w:val="0"/>
                <w:color w:val="FF0000"/>
                <w:spacing w:val="0"/>
                <w:kern w:val="0"/>
                <w:position w:val="0"/>
                <w:sz w:val="21"/>
                <w:szCs w:val="21"/>
                <w:u w:val="none" w:color="FF0000"/>
                <w:vertAlign w:val="baseline"/>
                <w:rtl w:val="0"/>
                <w:lang w:val="zh-TW" w:eastAsia="zh-TW"/>
              </w:rPr>
              <w:t>　</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达到管理员工满意度合格，考核、招聘、薪酬、培训专业工作能力及组织能力强</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精确了解国家相关企业法律，具有应用人力资源管理知识的能力，能拿出某一工作的方案并有效果</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培养人事办事员２名，培养管理人员４名</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岗位的核心胜任力（工作分析表为准）</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目标完成度为８０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以上。纪律遵守。差错率月２次以内，服务满意度在中度以上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85" w:hRule="atLeast"/>
        </w:trPr>
        <w:tc>
          <w:tcPr>
            <w:tcW w:w="127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人事代经理</w:t>
            </w:r>
            <w:r>
              <w:rPr>
                <w:rFonts w:ascii="微软雅黑" w:hAnsi="微软雅黑" w:eastAsia="微软雅黑" w:cs="微软雅黑"/>
                <w:caps w:val="0"/>
                <w:smallCaps w:val="0"/>
                <w:strike w:val="0"/>
                <w:dstrike w:val="0"/>
                <w:outline w:val="0"/>
                <w:color w:val="FF0000"/>
                <w:spacing w:val="0"/>
                <w:kern w:val="0"/>
                <w:position w:val="0"/>
                <w:sz w:val="21"/>
                <w:szCs w:val="21"/>
                <w:u w:val="none" w:color="FF0000"/>
                <w:vertAlign w:val="baseline"/>
                <w:rtl w:val="0"/>
                <w:lang w:val="zh-TW" w:eastAsia="zh-TW"/>
              </w:rPr>
              <w:t>　</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达到管理员工满意度合格，考核、招聘、薪酬、培训专业工作能力及组织能力强，人事工作部门运作支持力度强</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精确了解国家相关企业法律，具有应用人力资源管理知识的能力，能拿出某一工作的方案并有效果</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培养主管２名，培养管理人员５名</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人事管理流程规范无漏洞</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目标完成度为８０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以上。纪律遵守。差错率月１次以内，服务满意度在中度以上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85" w:hRule="atLeast"/>
        </w:trPr>
        <w:tc>
          <w:tcPr>
            <w:tcW w:w="127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人事经理</w:t>
            </w:r>
            <w:r>
              <w:rPr>
                <w:rFonts w:ascii="微软雅黑" w:hAnsi="微软雅黑" w:eastAsia="微软雅黑" w:cs="微软雅黑"/>
                <w:caps w:val="0"/>
                <w:smallCaps w:val="0"/>
                <w:strike w:val="0"/>
                <w:dstrike w:val="0"/>
                <w:outline w:val="0"/>
                <w:color w:val="FF0000"/>
                <w:spacing w:val="0"/>
                <w:kern w:val="0"/>
                <w:position w:val="0"/>
                <w:sz w:val="21"/>
                <w:szCs w:val="21"/>
                <w:u w:val="none" w:color="FF0000"/>
                <w:vertAlign w:val="baseline"/>
                <w:rtl w:val="0"/>
                <w:lang w:val="zh-TW" w:eastAsia="zh-TW"/>
              </w:rPr>
              <w:t>　</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基本制定公司制度，设计招聘、培训、绩效、福利等规则。应用企业合理合适。</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了解国家相关企业法律，具有应用人力资源管理知识的能力，具有报告与方案制订能力，具有制度的规划能力</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培养主管２名，培养管理人员５名</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人事管理流程规范无漏洞</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员工满意度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559"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人才达成率为８０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，人才流失率为年１０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，人力资源工作满意度为优秀，品行良好</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265" w:hRule="atLeast"/>
        </w:trPr>
        <w:tc>
          <w:tcPr>
            <w:tcW w:w="127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人事高级经理</w:t>
            </w:r>
            <w:r>
              <w:rPr>
                <w:rFonts w:ascii="微软雅黑" w:hAnsi="微软雅黑" w:eastAsia="微软雅黑" w:cs="微软雅黑"/>
                <w:caps w:val="0"/>
                <w:smallCaps w:val="0"/>
                <w:strike w:val="0"/>
                <w:dstrike w:val="0"/>
                <w:outline w:val="0"/>
                <w:color w:val="FF0000"/>
                <w:spacing w:val="0"/>
                <w:kern w:val="0"/>
                <w:position w:val="0"/>
                <w:sz w:val="21"/>
                <w:szCs w:val="21"/>
                <w:u w:val="none" w:color="FF0000"/>
                <w:vertAlign w:val="baseline"/>
                <w:rtl w:val="0"/>
                <w:lang w:val="zh-TW" w:eastAsia="zh-TW"/>
              </w:rPr>
              <w:t>　</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基本制定公司制度，设计招聘、培训、绩效、福利等规则。应用企业合理合适。具有培训讲师能力，具有人才测评能力与胜任力考核能力</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精确了解国家相关企业法律，具有应用人力资源管理知识的能力，具有报告与方案制订能力，具有制度的规划能力</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培养主管２名，培养管理人员５名</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人力资源管理体系完善，团队编制达标</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员工满意度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559" w:type="dxa"/>
            <w:vMerge w:val="continue"/>
            <w:tcBorders>
              <w:top w:val="single" w:color="000000" w:sz="4" w:space="0"/>
              <w:left w:val="single" w:color="000000" w:sz="4" w:space="0"/>
              <w:bottom w:val="single" w:color="000000" w:sz="4" w:space="0"/>
              <w:right w:val="single" w:color="000000" w:sz="4" w:space="0"/>
            </w:tcBorders>
            <w:shd w:val="clear" w:color="auto" w:fill="auto"/>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85" w:hRule="atLeast"/>
        </w:trPr>
        <w:tc>
          <w:tcPr>
            <w:tcW w:w="127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hRule="auto" w:wrap="auto" w:vAnchor="margin" w:hAnchor="text" w:yAlign="inline"/>
              <w:widowControl/>
              <w:spacing w:line="280" w:lineRule="exact"/>
              <w:jc w:val="cente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人力资源总监</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公司员工成长正常进行，公司人力资源达成率达到目标，企业人力资源管理及企业文化建设达到预期，制度合格</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具有文化建设及导入的能力，具有培训的能力，具有制度建设的能力</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培养经理２名，培养管理人员７名</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人力资源管理体系完善，团队编制达标</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员工满意度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hRule="auto" w:wrap="auto" w:vAnchor="margin" w:hAnchor="text" w:yAlign="inline"/>
              <w:widowControl/>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目标完成度为９０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以上，人才流失率为１０以内人力资源系统健全人，企业品行良好</w:t>
            </w:r>
          </w:p>
        </w:tc>
      </w:tr>
    </w:tbl>
    <w:p>
      <w:pPr>
        <w:framePr w:w="0" w:hRule="auto" w:wrap="auto" w:vAnchor="margin" w:hAnchor="text" w:yAlign="inline"/>
        <w:ind w:left="108" w:hanging="108"/>
        <w:jc w:val="left"/>
        <w:rPr>
          <w:rFonts w:ascii="微软雅黑" w:hAnsi="微软雅黑" w:eastAsia="微软雅黑" w:cs="微软雅黑"/>
          <w:b/>
          <w:bCs/>
          <w:kern w:val="0"/>
          <w:sz w:val="24"/>
          <w:szCs w:val="24"/>
          <w:lang w:val="zh-TW" w:eastAsia="zh-TW"/>
        </w:rPr>
      </w:pPr>
    </w:p>
    <w:p>
      <w:pPr>
        <w:framePr w:w="0" w:hRule="auto" w:wrap="auto" w:vAnchor="margin" w:hAnchor="text" w:yAlign="inline"/>
        <w:jc w:val="left"/>
        <w:rPr>
          <w:rFonts w:ascii="微软雅黑" w:hAnsi="微软雅黑" w:eastAsia="微软雅黑" w:cs="微软雅黑"/>
          <w:b/>
          <w:bCs/>
          <w:kern w:val="0"/>
          <w:sz w:val="24"/>
          <w:szCs w:val="24"/>
        </w:rPr>
      </w:pPr>
    </w:p>
    <w:p>
      <w:pPr>
        <w:framePr w:w="0" w:hRule="auto" w:wrap="auto" w:vAnchor="margin" w:hAnchor="text" w:yAlign="inline"/>
        <w:jc w:val="left"/>
        <w:rPr>
          <w:rFonts w:ascii="微软雅黑" w:hAnsi="微软雅黑" w:eastAsia="微软雅黑" w:cs="微软雅黑"/>
          <w:b/>
          <w:bCs/>
          <w:kern w:val="0"/>
          <w:sz w:val="24"/>
          <w:szCs w:val="24"/>
        </w:rPr>
      </w:pPr>
    </w:p>
    <w:p>
      <w:pPr>
        <w:framePr w:w="0" w:hRule="auto" w:wrap="auto" w:vAnchor="margin" w:hAnchor="text" w:yAlign="inline"/>
        <w:spacing w:line="440" w:lineRule="exact"/>
        <w:rPr>
          <w:rFonts w:ascii="微软雅黑" w:hAnsi="微软雅黑" w:eastAsia="微软雅黑" w:cs="微软雅黑"/>
          <w:b/>
          <w:bCs/>
          <w:kern w:val="0"/>
          <w:sz w:val="24"/>
          <w:szCs w:val="24"/>
          <w:lang w:val="zh-TW" w:eastAsia="zh-TW"/>
        </w:rPr>
      </w:pPr>
      <w:r>
        <w:rPr>
          <w:rFonts w:ascii="微软雅黑" w:hAnsi="微软雅黑" w:eastAsia="微软雅黑" w:cs="微软雅黑"/>
          <w:b/>
          <w:bCs/>
          <w:kern w:val="0"/>
          <w:sz w:val="24"/>
          <w:szCs w:val="24"/>
          <w:rtl w:val="0"/>
          <w:lang w:val="zh-TW" w:eastAsia="zh-TW"/>
        </w:rPr>
        <w:t>财务团队晋升标准</w:t>
      </w:r>
    </w:p>
    <w:tbl>
      <w:tblPr>
        <w:tblStyle w:val="6"/>
        <w:tblW w:w="10065"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
      <w:tblGrid>
        <w:gridCol w:w="1277"/>
        <w:gridCol w:w="2268"/>
        <w:gridCol w:w="1985"/>
        <w:gridCol w:w="1417"/>
        <w:gridCol w:w="1559"/>
        <w:gridCol w:w="1559"/>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CellMar>
            <w:top w:w="0" w:type="dxa"/>
            <w:left w:w="108" w:type="dxa"/>
            <w:bottom w:w="0" w:type="dxa"/>
            <w:right w:w="108" w:type="dxa"/>
          </w:tblCellMar>
        </w:tblPrEx>
        <w:trPr>
          <w:trHeight w:val="318" w:hRule="atLeast"/>
        </w:trPr>
        <w:tc>
          <w:tcPr>
            <w:tcW w:w="1277" w:type="dxa"/>
            <w:tcBorders>
              <w:top w:val="single" w:color="595959" w:sz="12" w:space="0"/>
              <w:left w:val="single" w:color="595959" w:sz="12" w:space="0"/>
              <w:bottom w:val="single" w:color="595959" w:sz="6" w:space="0"/>
              <w:right w:val="single" w:color="595959"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职位</w:t>
            </w:r>
          </w:p>
        </w:tc>
        <w:tc>
          <w:tcPr>
            <w:tcW w:w="2268" w:type="dxa"/>
            <w:tcBorders>
              <w:top w:val="single" w:color="595959" w:sz="12" w:space="0"/>
              <w:left w:val="single" w:color="595959" w:sz="6" w:space="0"/>
              <w:bottom w:val="single" w:color="595959" w:sz="6" w:space="0"/>
              <w:right w:val="single" w:color="595959"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业绩</w:t>
            </w:r>
          </w:p>
        </w:tc>
        <w:tc>
          <w:tcPr>
            <w:tcW w:w="1985" w:type="dxa"/>
            <w:tcBorders>
              <w:top w:val="single" w:color="595959" w:sz="12" w:space="0"/>
              <w:left w:val="single" w:color="595959" w:sz="6" w:space="0"/>
              <w:bottom w:val="single" w:color="595959" w:sz="6" w:space="0"/>
              <w:right w:val="single" w:color="595959"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技能</w:t>
            </w:r>
          </w:p>
        </w:tc>
        <w:tc>
          <w:tcPr>
            <w:tcW w:w="1417" w:type="dxa"/>
            <w:tcBorders>
              <w:top w:val="single" w:color="595959" w:sz="12" w:space="0"/>
              <w:left w:val="single" w:color="595959" w:sz="6" w:space="0"/>
              <w:bottom w:val="single" w:color="595959" w:sz="6" w:space="0"/>
              <w:right w:val="single" w:color="595959"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培养干部</w:t>
            </w:r>
          </w:p>
        </w:tc>
        <w:tc>
          <w:tcPr>
            <w:tcW w:w="1559" w:type="dxa"/>
            <w:tcBorders>
              <w:top w:val="single" w:color="595959" w:sz="12" w:space="0"/>
              <w:left w:val="single" w:color="595959" w:sz="6" w:space="0"/>
              <w:bottom w:val="single" w:color="595959" w:sz="6" w:space="0"/>
              <w:right w:val="single" w:color="595959" w:sz="6" w:space="0"/>
            </w:tcBorders>
            <w:shd w:val="clear" w:color="auto" w:fill="DDD9C3"/>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000000"/>
                <w:spacing w:val="0"/>
                <w:kern w:val="0"/>
                <w:position w:val="0"/>
                <w:sz w:val="21"/>
                <w:szCs w:val="21"/>
                <w:u w:val="none" w:color="000000"/>
                <w:vertAlign w:val="baseline"/>
                <w:rtl w:val="0"/>
                <w:lang w:val="zh-TW" w:eastAsia="zh-TW"/>
              </w:rPr>
              <w:t>关键指标</w:t>
            </w:r>
          </w:p>
        </w:tc>
        <w:tc>
          <w:tcPr>
            <w:tcW w:w="1559" w:type="dxa"/>
            <w:tcBorders>
              <w:top w:val="single" w:color="595959" w:sz="12" w:space="0"/>
              <w:left w:val="single" w:color="595959" w:sz="6" w:space="0"/>
              <w:bottom w:val="single" w:color="595959" w:sz="6" w:space="0"/>
              <w:right w:val="single" w:color="595959" w:sz="12" w:space="0"/>
            </w:tcBorders>
            <w:shd w:val="clear" w:color="auto" w:fill="FF0000"/>
            <w:tcMar>
              <w:top w:w="80" w:type="dxa"/>
              <w:left w:w="80" w:type="dxa"/>
              <w:bottom w:w="80" w:type="dxa"/>
              <w:right w:w="80" w:type="dxa"/>
            </w:tcMar>
            <w:vAlign w:val="center"/>
          </w:tcPr>
          <w:p>
            <w:pPr>
              <w:framePr w:w="0" w:hRule="auto" w:wrap="auto" w:vAnchor="margin" w:hAnchor="text" w:yAlign="inline"/>
              <w:spacing w:line="280" w:lineRule="exact"/>
              <w:jc w:val="center"/>
            </w:pPr>
            <w:r>
              <w:rPr>
                <w:rFonts w:ascii="微软雅黑" w:hAnsi="微软雅黑" w:eastAsia="微软雅黑" w:cs="微软雅黑"/>
                <w:b/>
                <w:bCs/>
                <w:caps w:val="0"/>
                <w:smallCaps w:val="0"/>
                <w:strike w:val="0"/>
                <w:dstrike w:val="0"/>
                <w:outline w:val="0"/>
                <w:color w:val="FFFFFF"/>
                <w:spacing w:val="0"/>
                <w:kern w:val="0"/>
                <w:position w:val="0"/>
                <w:sz w:val="21"/>
                <w:szCs w:val="21"/>
                <w:u w:val="none" w:color="FFFFFF"/>
                <w:vertAlign w:val="baseline"/>
                <w:rtl w:val="0"/>
                <w:lang w:val="zh-TW" w:eastAsia="zh-TW"/>
              </w:rPr>
              <w:t>保级指标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710" w:hRule="atLeast"/>
        </w:trPr>
        <w:tc>
          <w:tcPr>
            <w:tcW w:w="1277" w:type="dxa"/>
            <w:tcBorders>
              <w:top w:val="single" w:color="595959" w:sz="6" w:space="0"/>
              <w:left w:val="single" w:color="595959" w:sz="12" w:space="0"/>
              <w:bottom w:val="single" w:color="595959" w:sz="6" w:space="0"/>
              <w:right w:val="single" w:color="595959" w:sz="6" w:space="0"/>
            </w:tcBorders>
            <w:shd w:val="clear" w:color="auto" w:fill="auto"/>
            <w:tcMar>
              <w:top w:w="80" w:type="dxa"/>
              <w:left w:w="80" w:type="dxa"/>
              <w:bottom w:w="80" w:type="dxa"/>
              <w:right w:w="80" w:type="dxa"/>
            </w:tcMar>
            <w:vAlign w:val="center"/>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出纳或会计　</w:t>
            </w:r>
          </w:p>
        </w:tc>
        <w:tc>
          <w:tcPr>
            <w:tcW w:w="2268"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完成工作要求，达到报税、现金管理、报表无差错、业绩考核在优秀以上</w:t>
            </w:r>
          </w:p>
        </w:tc>
        <w:tc>
          <w:tcPr>
            <w:tcW w:w="1985"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）了解劳动法、公司法，掌握公司注册、报税、凭证、财务帐务知识并应用</w:t>
            </w:r>
          </w:p>
        </w:tc>
        <w:tc>
          <w:tcPr>
            <w:tcW w:w="1417"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p>
        </w:tc>
        <w:tc>
          <w:tcPr>
            <w:tcW w:w="1559"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岗位的核心胜任力（工作分析表为准）</w:t>
            </w:r>
          </w:p>
        </w:tc>
        <w:tc>
          <w:tcPr>
            <w:tcW w:w="1559" w:type="dxa"/>
            <w:tcBorders>
              <w:top w:val="single" w:color="595959" w:sz="6" w:space="0"/>
              <w:left w:val="single" w:color="595959" w:sz="6" w:space="0"/>
              <w:bottom w:val="single" w:color="595959" w:sz="6" w:space="0"/>
              <w:right w:val="single" w:color="595959"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目标完成度为８０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以上。纪律遵守。差错率月２次以内，服务满意度在中度以上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270" w:hRule="atLeast"/>
        </w:trPr>
        <w:tc>
          <w:tcPr>
            <w:tcW w:w="1277" w:type="dxa"/>
            <w:tcBorders>
              <w:top w:val="single" w:color="595959" w:sz="6" w:space="0"/>
              <w:left w:val="single" w:color="595959" w:sz="12" w:space="0"/>
              <w:bottom w:val="single" w:color="595959" w:sz="6" w:space="0"/>
              <w:right w:val="single" w:color="595959" w:sz="6" w:space="0"/>
            </w:tcBorders>
            <w:shd w:val="clear" w:color="auto" w:fill="auto"/>
            <w:tcMar>
              <w:top w:w="80" w:type="dxa"/>
              <w:left w:w="80" w:type="dxa"/>
              <w:bottom w:w="80" w:type="dxa"/>
              <w:right w:w="80" w:type="dxa"/>
            </w:tcMar>
            <w:vAlign w:val="center"/>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会计主管</w:t>
            </w:r>
          </w:p>
        </w:tc>
        <w:tc>
          <w:tcPr>
            <w:tcW w:w="2268"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）达到管理员工满意度合格</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）固定资产管理合理，并能做到报税、报表分析、成本分析、财务综合管理</w:t>
            </w:r>
          </w:p>
        </w:tc>
        <w:tc>
          <w:tcPr>
            <w:tcW w:w="1985"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）一定的财务分析能力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）精确了解国家相关企业法律，具有应用财务知识的能力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）能拿出某一工作的方案并有效果</w:t>
            </w:r>
          </w:p>
        </w:tc>
        <w:tc>
          <w:tcPr>
            <w:tcW w:w="1417"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培养财务办事员２名，培养管理人员４名</w:t>
            </w:r>
          </w:p>
        </w:tc>
        <w:tc>
          <w:tcPr>
            <w:tcW w:w="1559"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岗位的核心胜任力（工作分析表为准）</w:t>
            </w:r>
          </w:p>
        </w:tc>
        <w:tc>
          <w:tcPr>
            <w:tcW w:w="1559" w:type="dxa"/>
            <w:tcBorders>
              <w:top w:val="single" w:color="595959" w:sz="6" w:space="0"/>
              <w:left w:val="single" w:color="595959" w:sz="6" w:space="0"/>
              <w:bottom w:val="single" w:color="595959" w:sz="6" w:space="0"/>
              <w:right w:val="single" w:color="595959"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目标完成度为８０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以上。纪律遵守。差错率月２次以内，服务满意度在中度以上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90" w:hRule="atLeast"/>
        </w:trPr>
        <w:tc>
          <w:tcPr>
            <w:tcW w:w="1277" w:type="dxa"/>
            <w:tcBorders>
              <w:top w:val="single" w:color="595959" w:sz="6" w:space="0"/>
              <w:left w:val="single" w:color="595959" w:sz="12" w:space="0"/>
              <w:bottom w:val="single" w:color="595959" w:sz="6" w:space="0"/>
              <w:right w:val="single" w:color="595959" w:sz="6" w:space="0"/>
            </w:tcBorders>
            <w:shd w:val="clear" w:color="auto" w:fill="auto"/>
            <w:tcMar>
              <w:top w:w="80" w:type="dxa"/>
              <w:left w:w="80" w:type="dxa"/>
              <w:bottom w:w="80" w:type="dxa"/>
              <w:right w:w="80" w:type="dxa"/>
            </w:tcMar>
            <w:vAlign w:val="center"/>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财务代经理</w:t>
            </w:r>
          </w:p>
        </w:tc>
        <w:tc>
          <w:tcPr>
            <w:tcW w:w="2268"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）达到管理员工满意度合格，</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）财务管理优秀</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3</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）预算工作优秀</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4</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）具有财务分析工作经验，受到其它部门认同</w:t>
            </w:r>
          </w:p>
        </w:tc>
        <w:tc>
          <w:tcPr>
            <w:tcW w:w="1985"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）精确了解国家相关企业法律，具有应用财务的能力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2</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）能拿出某一工作的方案并有效果</w:t>
            </w:r>
          </w:p>
        </w:tc>
        <w:tc>
          <w:tcPr>
            <w:tcW w:w="1417"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培养主管２名</w:t>
            </w:r>
          </w:p>
        </w:tc>
        <w:tc>
          <w:tcPr>
            <w:tcW w:w="1559"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财务流程规范无漏洞</w:t>
            </w:r>
          </w:p>
        </w:tc>
        <w:tc>
          <w:tcPr>
            <w:tcW w:w="1559" w:type="dxa"/>
            <w:tcBorders>
              <w:top w:val="single" w:color="595959" w:sz="6" w:space="0"/>
              <w:left w:val="single" w:color="595959" w:sz="6" w:space="0"/>
              <w:bottom w:val="single" w:color="595959" w:sz="6" w:space="0"/>
              <w:right w:val="single" w:color="595959"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目标完成度为８０</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以上。纪律遵守。差错率月１次以内，服务满意度在中度以上</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270" w:hRule="atLeast"/>
        </w:trPr>
        <w:tc>
          <w:tcPr>
            <w:tcW w:w="1277" w:type="dxa"/>
            <w:tcBorders>
              <w:top w:val="single" w:color="595959" w:sz="6" w:space="0"/>
              <w:left w:val="single" w:color="595959" w:sz="12" w:space="0"/>
              <w:bottom w:val="single" w:color="595959" w:sz="6" w:space="0"/>
              <w:right w:val="single" w:color="595959" w:sz="6" w:space="0"/>
            </w:tcBorders>
            <w:shd w:val="clear" w:color="auto" w:fill="auto"/>
            <w:tcMar>
              <w:top w:w="80" w:type="dxa"/>
              <w:left w:w="80" w:type="dxa"/>
              <w:bottom w:w="80" w:type="dxa"/>
              <w:right w:w="80" w:type="dxa"/>
            </w:tcMar>
            <w:vAlign w:val="center"/>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财务经理</w:t>
            </w:r>
          </w:p>
        </w:tc>
        <w:tc>
          <w:tcPr>
            <w:tcW w:w="2268"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）基本制定公司财务考核制度与财务管理制度规则，并能应用企业合理合适。</w:t>
            </w:r>
          </w:p>
        </w:tc>
        <w:tc>
          <w:tcPr>
            <w:tcW w:w="1985"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）精确了解国家相关企业法律，具有应用财务知识的能力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）具有报告与方案制订能力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）具有制度的规划能力</w:t>
            </w:r>
          </w:p>
        </w:tc>
        <w:tc>
          <w:tcPr>
            <w:tcW w:w="1417"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培养主管２名　</w:t>
            </w:r>
          </w:p>
        </w:tc>
        <w:tc>
          <w:tcPr>
            <w:tcW w:w="1559"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财务流程规范无漏洞</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559" w:type="dxa"/>
            <w:vMerge w:val="restart"/>
            <w:tcBorders>
              <w:top w:val="single" w:color="595959" w:sz="6" w:space="0"/>
              <w:left w:val="single" w:color="595959" w:sz="6" w:space="0"/>
              <w:bottom w:val="single" w:color="595959" w:sz="6" w:space="0"/>
              <w:right w:val="single" w:color="595959"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财务运作良好、无财务现金差错，预算成熟、公司对财务部工作满意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2830" w:hRule="atLeast"/>
        </w:trPr>
        <w:tc>
          <w:tcPr>
            <w:tcW w:w="1277" w:type="dxa"/>
            <w:tcBorders>
              <w:top w:val="single" w:color="595959" w:sz="6" w:space="0"/>
              <w:left w:val="single" w:color="595959" w:sz="12" w:space="0"/>
              <w:bottom w:val="single" w:color="595959" w:sz="6" w:space="0"/>
              <w:right w:val="single" w:color="595959" w:sz="6" w:space="0"/>
            </w:tcBorders>
            <w:shd w:val="clear" w:color="auto" w:fill="auto"/>
            <w:tcMar>
              <w:top w:w="80" w:type="dxa"/>
              <w:left w:w="80" w:type="dxa"/>
              <w:bottom w:w="80" w:type="dxa"/>
              <w:right w:w="80" w:type="dxa"/>
            </w:tcMar>
            <w:vAlign w:val="center"/>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财务高级经理</w:t>
            </w:r>
          </w:p>
        </w:tc>
        <w:tc>
          <w:tcPr>
            <w:tcW w:w="2268"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）基本制定公司制度，设计税务、财务管理、预算及财务分析规则。应用企业合理合适</w:t>
            </w:r>
          </w:p>
        </w:tc>
        <w:tc>
          <w:tcPr>
            <w:tcW w:w="1985"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）具有财务培训讲师能力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）精确了解国家相关企业法律，具有应用财务知识的能力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3</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）具有报告与方案制订能力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4</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）具有制度的规划能力</w:t>
            </w:r>
          </w:p>
        </w:tc>
        <w:tc>
          <w:tcPr>
            <w:tcW w:w="1417"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培养主管２名　</w:t>
            </w:r>
          </w:p>
        </w:tc>
        <w:tc>
          <w:tcPr>
            <w:tcW w:w="1559" w:type="dxa"/>
            <w:tcBorders>
              <w:top w:val="single" w:color="595959" w:sz="6" w:space="0"/>
              <w:left w:val="single" w:color="595959" w:sz="6" w:space="0"/>
              <w:bottom w:val="single" w:color="595959" w:sz="6"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预算体系完善，成本控制达标</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团队满意度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0</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电网次数</w:t>
            </w:r>
          </w:p>
        </w:tc>
        <w:tc>
          <w:tcPr>
            <w:tcW w:w="1559" w:type="dxa"/>
            <w:vMerge w:val="continue"/>
            <w:tcBorders>
              <w:top w:val="single" w:color="595959" w:sz="6" w:space="0"/>
              <w:left w:val="single" w:color="595959" w:sz="6" w:space="0"/>
              <w:bottom w:val="single" w:color="595959" w:sz="6" w:space="0"/>
              <w:right w:val="single" w:color="595959" w:sz="12" w:space="0"/>
            </w:tcBorders>
            <w:shd w:val="clear" w:color="auto" w:fill="auto"/>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998" w:hRule="atLeast"/>
        </w:trPr>
        <w:tc>
          <w:tcPr>
            <w:tcW w:w="1277" w:type="dxa"/>
            <w:tcBorders>
              <w:top w:val="single" w:color="595959" w:sz="6" w:space="0"/>
              <w:left w:val="single" w:color="595959" w:sz="12" w:space="0"/>
              <w:bottom w:val="single" w:color="595959" w:sz="12" w:space="0"/>
              <w:right w:val="single" w:color="595959" w:sz="6" w:space="0"/>
            </w:tcBorders>
            <w:shd w:val="clear" w:color="auto" w:fill="auto"/>
            <w:tcMar>
              <w:top w:w="80" w:type="dxa"/>
              <w:left w:w="80" w:type="dxa"/>
              <w:bottom w:w="80" w:type="dxa"/>
              <w:right w:w="80" w:type="dxa"/>
            </w:tcMar>
            <w:vAlign w:val="center"/>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ＣＦＯ财务总监</w:t>
            </w:r>
          </w:p>
        </w:tc>
        <w:tc>
          <w:tcPr>
            <w:tcW w:w="2268" w:type="dxa"/>
            <w:tcBorders>
              <w:top w:val="single" w:color="595959" w:sz="6" w:space="0"/>
              <w:left w:val="single" w:color="595959" w:sz="6" w:space="0"/>
              <w:bottom w:val="single" w:color="595959" w:sz="12"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政府关系良好、融资合格、能合理制订财务制度并实施</w:t>
            </w:r>
          </w:p>
        </w:tc>
        <w:tc>
          <w:tcPr>
            <w:tcW w:w="1985" w:type="dxa"/>
            <w:tcBorders>
              <w:top w:val="single" w:color="595959" w:sz="6" w:space="0"/>
              <w:left w:val="single" w:color="595959" w:sz="6" w:space="0"/>
              <w:bottom w:val="single" w:color="595959" w:sz="12"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1</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）具有财务理论系统及制度建设的能力</w:t>
            </w:r>
          </w:p>
          <w:p>
            <w:pPr>
              <w:framePr w:w="0" w:hRule="auto" w:wrap="auto" w:vAnchor="margin" w:hAnchor="text" w:yAlign="inline"/>
              <w:bidi w:val="0"/>
              <w:spacing w:line="280" w:lineRule="exact"/>
              <w:ind w:left="0" w:right="0" w:firstLine="0"/>
              <w:jc w:val="both"/>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2</w:t>
            </w:r>
            <w:r>
              <w:rPr>
                <w:rFonts w:hint="eastAsia"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）具有战略财务思想能力</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en-US"/>
              </w:rPr>
              <w:t>3</w:t>
            </w: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）独立管理集团公司财务的能力</w:t>
            </w:r>
          </w:p>
        </w:tc>
        <w:tc>
          <w:tcPr>
            <w:tcW w:w="1417" w:type="dxa"/>
            <w:tcBorders>
              <w:top w:val="single" w:color="595959" w:sz="6" w:space="0"/>
              <w:left w:val="single" w:color="595959" w:sz="6" w:space="0"/>
              <w:bottom w:val="single" w:color="595959" w:sz="12"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培养经理１名，培养管理人员７名</w:t>
            </w:r>
          </w:p>
        </w:tc>
        <w:tc>
          <w:tcPr>
            <w:tcW w:w="1559" w:type="dxa"/>
            <w:tcBorders>
              <w:top w:val="single" w:color="595959" w:sz="6" w:space="0"/>
              <w:left w:val="single" w:color="595959" w:sz="6" w:space="0"/>
              <w:bottom w:val="single" w:color="595959" w:sz="12" w:space="0"/>
              <w:right w:val="single" w:color="595959" w:sz="6"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Pr>
            </w:pP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管理满意度</w:t>
            </w: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en-US"/>
              </w:rPr>
              <w:t>80%</w:t>
            </w:r>
            <w:r>
              <w:rPr>
                <w:rFonts w:hint="eastAsia"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以上</w:t>
            </w:r>
          </w:p>
          <w:p>
            <w:pPr>
              <w:framePr w:w="0" w:hRule="auto" w:wrap="auto" w:vAnchor="margin" w:hAnchor="text" w:yAlign="inline"/>
              <w:bidi w:val="0"/>
              <w:spacing w:line="280" w:lineRule="exact"/>
              <w:ind w:left="0" w:right="0" w:firstLine="0"/>
              <w:jc w:val="both"/>
              <w:rPr>
                <w:rtl w:val="0"/>
              </w:rPr>
            </w:pPr>
            <w:r>
              <w:rPr>
                <w:rFonts w:ascii="微软雅黑" w:hAnsi="微软雅黑" w:eastAsia="微软雅黑" w:cs="微软雅黑"/>
                <w:caps w:val="0"/>
                <w:smallCaps w:val="0"/>
                <w:strike w:val="0"/>
                <w:dstrike w:val="0"/>
                <w:outline w:val="0"/>
                <w:color w:val="000000"/>
                <w:spacing w:val="0"/>
                <w:kern w:val="2"/>
                <w:position w:val="0"/>
                <w:sz w:val="21"/>
                <w:szCs w:val="21"/>
                <w:u w:val="none" w:color="000000"/>
                <w:vertAlign w:val="baseline"/>
                <w:rtl w:val="0"/>
                <w:lang w:val="zh-TW" w:eastAsia="zh-TW"/>
              </w:rPr>
              <w:t>财务系统建设完善并落地执行</w:t>
            </w:r>
          </w:p>
        </w:tc>
        <w:tc>
          <w:tcPr>
            <w:tcW w:w="1559" w:type="dxa"/>
            <w:tcBorders>
              <w:top w:val="single" w:color="595959" w:sz="6" w:space="0"/>
              <w:left w:val="single" w:color="595959" w:sz="6" w:space="0"/>
              <w:bottom w:val="single" w:color="595959" w:sz="12" w:space="0"/>
              <w:right w:val="single" w:color="595959" w:sz="12" w:space="0"/>
            </w:tcBorders>
            <w:shd w:val="clear" w:color="auto" w:fill="auto"/>
            <w:tcMar>
              <w:top w:w="80" w:type="dxa"/>
              <w:left w:w="80" w:type="dxa"/>
              <w:bottom w:w="80" w:type="dxa"/>
              <w:right w:w="80" w:type="dxa"/>
            </w:tcMar>
            <w:vAlign w:val="top"/>
          </w:tcPr>
          <w:p>
            <w:pPr>
              <w:framePr w:w="0" w:hRule="auto" w:wrap="auto" w:vAnchor="margin" w:hAnchor="text" w:yAlign="inline"/>
              <w:spacing w:line="280" w:lineRule="exact"/>
            </w:pPr>
            <w:r>
              <w:rPr>
                <w:rFonts w:ascii="微软雅黑" w:hAnsi="微软雅黑" w:eastAsia="微软雅黑" w:cs="微软雅黑"/>
                <w:caps w:val="0"/>
                <w:smallCaps w:val="0"/>
                <w:strike w:val="0"/>
                <w:dstrike w:val="0"/>
                <w:outline w:val="0"/>
                <w:color w:val="000000"/>
                <w:spacing w:val="0"/>
                <w:kern w:val="0"/>
                <w:position w:val="0"/>
                <w:sz w:val="21"/>
                <w:szCs w:val="21"/>
                <w:u w:val="none" w:color="000000"/>
                <w:vertAlign w:val="baseline"/>
                <w:rtl w:val="0"/>
                <w:lang w:val="zh-TW" w:eastAsia="zh-TW"/>
              </w:rPr>
              <w:t>财务运作良好、无财务现金差错，预算成熟、公司对财务部工作满意</w:t>
            </w:r>
          </w:p>
        </w:tc>
      </w:tr>
    </w:tbl>
    <w:p>
      <w:pPr>
        <w:framePr w:w="0" w:hRule="auto" w:wrap="auto" w:vAnchor="margin" w:hAnchor="text" w:yAlign="inline"/>
        <w:ind w:left="108" w:hanging="108"/>
        <w:rPr>
          <w:rFonts w:ascii="微软雅黑" w:hAnsi="微软雅黑" w:eastAsia="微软雅黑" w:cs="微软雅黑"/>
          <w:b/>
          <w:bCs/>
          <w:kern w:val="0"/>
          <w:sz w:val="24"/>
          <w:szCs w:val="24"/>
          <w:lang w:val="zh-TW" w:eastAsia="zh-TW"/>
        </w:rPr>
      </w:pPr>
    </w:p>
    <w:p>
      <w:pPr>
        <w:framePr w:w="0" w:hRule="auto" w:wrap="auto" w:vAnchor="margin" w:hAnchor="text" w:yAlign="inline"/>
        <w:rPr>
          <w:rFonts w:ascii="微软雅黑" w:hAnsi="微软雅黑" w:eastAsia="微软雅黑" w:cs="微软雅黑"/>
          <w:b/>
          <w:bCs/>
          <w:kern w:val="0"/>
          <w:sz w:val="24"/>
          <w:szCs w:val="24"/>
        </w:rPr>
      </w:pPr>
    </w:p>
    <w:p>
      <w:pPr>
        <w:framePr w:w="0" w:hRule="auto" w:wrap="auto" w:vAnchor="margin" w:hAnchor="text" w:yAlign="inline"/>
      </w:pPr>
      <w:r>
        <w:rPr>
          <w:rFonts w:ascii="微软雅黑" w:hAnsi="微软雅黑" w:eastAsia="微软雅黑" w:cs="微软雅黑"/>
          <w:sz w:val="24"/>
          <w:szCs w:val="24"/>
        </w:rPr>
        <w:br w:type="textWrapping"/>
      </w:r>
    </w:p>
    <w:sectPr>
      <w:headerReference r:id="rId3" w:type="default"/>
      <w:footerReference r:id="rId4" w:type="default"/>
      <w:pgSz w:w="11900" w:h="16840"/>
      <w:pgMar w:top="1440" w:right="1080" w:bottom="1440" w:left="108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5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roman"/>
    <w:pitch w:val="default"/>
    <w:sig w:usb0="80000287" w:usb1="280F3C52" w:usb2="00000016" w:usb3="00000000" w:csb0="0004001F" w:csb1="00000000"/>
  </w:font>
  <w:font w:name="Helvetica Neue">
    <w:altName w:val="KswHannyaotamesi"/>
    <w:panose1 w:val="00000000000000000000"/>
    <w:charset w:val="00"/>
    <w:family w:val="roman"/>
    <w:pitch w:val="default"/>
    <w:sig w:usb0="00000000" w:usb1="00000000" w:usb2="00000000" w:usb3="00000000" w:csb0="00000000" w:csb1="00000000"/>
  </w:font>
  <w:font w:name="Helvetica">
    <w:altName w:val="Arial"/>
    <w:panose1 w:val="00000000000000000000"/>
    <w:charset w:val="00"/>
    <w:family w:val="roman"/>
    <w:pitch w:val="default"/>
    <w:sig w:usb0="00000000" w:usb1="00000000" w:usb2="00000000" w:usb3="00000000" w:csb0="00000000" w:csb1="00000000"/>
  </w:font>
  <w:font w:name="KswHannyaotamesi">
    <w:panose1 w:val="02000609000000000000"/>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0" w:hRule="auto" w:wrap="auto" w:vAnchor="margin" w:hAnchor="text" w:yAlign="inline"/>
      <w:bidi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0" w:hRule="auto" w:wrap="auto" w:vAnchor="margin" w:hAnchor="text" w:yAlign="inline"/>
      <w:jc w:val="left"/>
    </w:pPr>
    <w:r>
      <w:rPr>
        <w:rFonts w:ascii="微软雅黑" w:hAnsi="微软雅黑" w:eastAsia="微软雅黑" w:cs="微软雅黑"/>
        <w:rtl w:val="0"/>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052F7"/>
    <w:multiLevelType w:val="multilevel"/>
    <w:tmpl w:val="598052F7"/>
    <w:lvl w:ilvl="0" w:tentative="0">
      <w:start w:val="1"/>
      <w:numFmt w:val="decimal"/>
      <w:lvlText w:val="%1."/>
      <w:lvlJc w:val="left"/>
      <w:pPr>
        <w:ind w:left="360" w:hanging="360"/>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entative="0">
      <w:start w:val="1"/>
      <w:numFmt w:val="lowerLetter"/>
      <w:lvlText w:val="%2)"/>
      <w:lvlJc w:val="left"/>
      <w:pPr>
        <w:tabs>
          <w:tab w:val="left" w:pos="360"/>
        </w:tabs>
        <w:ind w:left="788" w:hanging="368"/>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entative="0">
      <w:start w:val="1"/>
      <w:numFmt w:val="lowerRoman"/>
      <w:lvlText w:val="%3."/>
      <w:lvlJc w:val="left"/>
      <w:pPr>
        <w:tabs>
          <w:tab w:val="left" w:pos="360"/>
        </w:tabs>
        <w:ind w:left="1193" w:hanging="469"/>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entative="0">
      <w:start w:val="1"/>
      <w:numFmt w:val="decimal"/>
      <w:lvlText w:val="%4."/>
      <w:lvlJc w:val="left"/>
      <w:pPr>
        <w:tabs>
          <w:tab w:val="left" w:pos="360"/>
        </w:tabs>
        <w:ind w:left="1628" w:hanging="368"/>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entative="0">
      <w:start w:val="1"/>
      <w:numFmt w:val="lowerLetter"/>
      <w:lvlText w:val="%5)"/>
      <w:lvlJc w:val="left"/>
      <w:pPr>
        <w:tabs>
          <w:tab w:val="left" w:pos="360"/>
        </w:tabs>
        <w:ind w:left="2048" w:hanging="368"/>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entative="0">
      <w:start w:val="1"/>
      <w:numFmt w:val="lowerRoman"/>
      <w:lvlText w:val="%6."/>
      <w:lvlJc w:val="left"/>
      <w:pPr>
        <w:tabs>
          <w:tab w:val="left" w:pos="360"/>
        </w:tabs>
        <w:ind w:left="2453" w:hanging="469"/>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entative="0">
      <w:start w:val="1"/>
      <w:numFmt w:val="decimal"/>
      <w:lvlText w:val="%7."/>
      <w:lvlJc w:val="left"/>
      <w:pPr>
        <w:tabs>
          <w:tab w:val="left" w:pos="360"/>
        </w:tabs>
        <w:ind w:left="2888" w:hanging="368"/>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entative="0">
      <w:start w:val="1"/>
      <w:numFmt w:val="lowerLetter"/>
      <w:lvlText w:val="%8)"/>
      <w:lvlJc w:val="left"/>
      <w:pPr>
        <w:tabs>
          <w:tab w:val="left" w:pos="360"/>
        </w:tabs>
        <w:ind w:left="3308" w:hanging="368"/>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entative="0">
      <w:start w:val="1"/>
      <w:numFmt w:val="lowerRoman"/>
      <w:lvlText w:val="%9."/>
      <w:lvlJc w:val="left"/>
      <w:pPr>
        <w:tabs>
          <w:tab w:val="left" w:pos="360"/>
        </w:tabs>
        <w:ind w:left="3713" w:hanging="469"/>
      </w:pPr>
      <w:rPr>
        <w:rFonts w:ascii="Helvetica" w:hAnsi="Helvetica" w:eastAsia="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noLineBreaksAfter w:lang="zh-CN" w:val="‘“(〔[{〈《「『【⦅〘〖«〝︵︷︹︻︽︿﹁﹃﹇﹙﹛﹝｢"/>
  <w:noLineBreaksBefore w:lang="zh-CN" w:val="’”)〕]}〉"/>
  <w:compat>
    <w:useFELayout/>
    <w:compatSetting w:name="compatibilityMode" w:uri="http://schemas.microsoft.com/office/word" w:val="15"/>
  </w:compat>
  <w:rsids>
    <w:rsidRoot w:val="00000000"/>
    <w:rsid w:val="70975F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hRule="auto"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2"/>
      <w:position w:val="0"/>
      <w:sz w:val="21"/>
      <w:szCs w:val="21"/>
      <w:u w:val="none" w:color="000000"/>
      <w:vertAlign w:val="baseline"/>
      <w:lang w:val="en-US"/>
    </w:rPr>
  </w:style>
  <w:style w:type="character" w:default="1" w:styleId="4">
    <w:name w:val="Default Paragraph Font"/>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header"/>
    <w:qFormat/>
    <w:uiPriority w:val="0"/>
    <w:pPr>
      <w:keepNext w:val="0"/>
      <w:keepLines w:val="0"/>
      <w:pageBreakBefore w:val="0"/>
      <w:framePr w:w="0" w:hRule="auto"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center"/>
      <w:outlineLvl w:val="9"/>
    </w:pPr>
    <w:rPr>
      <w:rFonts w:ascii="Calibri" w:hAnsi="Calibri" w:eastAsia="Calibri" w:cs="Calibri"/>
      <w:color w:val="000000"/>
      <w:spacing w:val="0"/>
      <w:w w:val="100"/>
      <w:kern w:val="2"/>
      <w:position w:val="0"/>
      <w:sz w:val="18"/>
      <w:szCs w:val="18"/>
      <w:u w:val="none" w:color="000000"/>
      <w:vertAlign w:val="baseline"/>
      <w:lang w:val="en-US"/>
    </w:rPr>
  </w:style>
  <w:style w:type="paragraph" w:styleId="3">
    <w:name w:val="Normal (Web)"/>
    <w:qFormat/>
    <w:uiPriority w:val="0"/>
    <w:pPr>
      <w:keepNext w:val="0"/>
      <w:keepLines w:val="0"/>
      <w:pageBreakBefore w:val="0"/>
      <w:framePr w:w="0" w:hRule="auto"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00" w:beforeAutospacing="0" w:after="100" w:afterAutospacing="0" w:line="240" w:lineRule="auto"/>
      <w:ind w:left="0" w:right="0" w:firstLine="0"/>
      <w:jc w:val="both"/>
      <w:outlineLvl w:val="9"/>
    </w:pPr>
    <w:rPr>
      <w:rFonts w:ascii="宋体" w:hAnsi="宋体" w:eastAsia="宋体" w:cs="宋体"/>
      <w:color w:val="000000"/>
      <w:spacing w:val="0"/>
      <w:w w:val="100"/>
      <w:kern w:val="0"/>
      <w:position w:val="0"/>
      <w:sz w:val="24"/>
      <w:szCs w:val="24"/>
      <w:u w:val="none" w:color="000000"/>
      <w:vertAlign w:val="baseline"/>
      <w:lang w:val="en-US"/>
    </w:rPr>
  </w:style>
  <w:style w:type="character" w:styleId="5">
    <w:name w:val="Hyperlink"/>
    <w:qFormat/>
    <w:uiPriority w:val="0"/>
    <w:rPr>
      <w:u w:val="single"/>
    </w:rPr>
  </w:style>
  <w:style w:type="table" w:customStyle="1" w:styleId="7">
    <w:name w:val="Table Normal"/>
    <w:uiPriority w:val="0"/>
    <w:tblPr>
      <w:tblLayout w:type="fixed"/>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Helvetica Neue" w:cs="Helvetica Neue"/>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kelue</Manager>
  <Pages>17</Pages>
  <Words>6519</Words>
  <Characters>6620</Characters>
  <ScaleCrop>false</ScaleCrop>
  <LinksUpToDate>false</LinksUpToDate>
  <CharactersWithSpaces>7007</CharactersWithSpaces>
  <Application>WPS Office_10.1.0.6690_F1E327BC-269C-435d-A152-05C5408002CA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2017-08-01T09:51:09Z</dcterms:created>
  <dc:creator>Administrator</dc:creator>
  <cp:lastModifiedBy>Administrator</cp:lastModifiedBy>
  <dcterms:modified xsi:type="dcterms:W3CDTF">2017-08-01T09:51:28Z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