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MsoNormal"/>
        <w:spacing w:lineRule="auto" w:line="360" w:before="0" w:after="0"/>
        <w:ind w:start="0" w:end="0" w:hanging="0"/>
        <w:jc w:val="center"/>
        <w:rPr>
          <w:rFonts w:ascii="Calibri" w:hAnsi="Calibri" w:eastAsia="Calibri" w:cs="Calibri"/>
          <w:sz w:val="21"/>
          <w:szCs w:val="21"/>
        </w:rPr>
      </w:pPr>
      <w:r>
        <w:rPr>
          <w:rFonts w:ascii="SimHei" w:hAnsi="SimHei" w:cs="宋体" w:eastAsia="黑体"/>
          <w:b/>
          <w:bCs/>
          <w:color w:val="000000"/>
          <w:sz w:val="32"/>
          <w:szCs w:val="32"/>
        </w:rPr>
        <w:t xml:space="preserve">员工调岗管理规定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1.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目的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ascii="SimHei" w:hAnsi="SimHei" w:cs="宋体" w:eastAsia="黑体"/>
          <w:color w:val="000000"/>
          <w:sz w:val="28"/>
          <w:szCs w:val="28"/>
        </w:rPr>
        <w:t xml:space="preserve">为标准中心所属各车间对本单位生产内部调动岗位的原那么、条件、程序、要求，保障中心生产经营工作的正常运作，特制定本方法。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2.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适用范围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ascii="SimHei" w:hAnsi="SimHei" w:cs="宋体" w:eastAsia="黑体"/>
          <w:color w:val="000000"/>
          <w:sz w:val="28"/>
          <w:szCs w:val="28"/>
        </w:rPr>
        <w:t xml:space="preserve">本方法适用于高速中心所属各车间。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3.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术语和定义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ascii="SimHei" w:hAnsi="SimHei" w:cs="宋体" w:eastAsia="黑体"/>
          <w:color w:val="000000"/>
          <w:sz w:val="28"/>
          <w:szCs w:val="28"/>
        </w:rPr>
        <w:t xml:space="preserve">内部调岗：是指车间或部门内部因岗位调整或业务需要，或为符合员工工作能力和开展意向，而调发开工岗位的管理行为。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4.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内部调岗应坚持的原那么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4.1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坚持员工本人同意的原那么。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4.2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坚持先后上岗的原那么。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4.3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坚持有利于员工本人工作能力发挥的原那么。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4.4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坚持不跨越工种的原那么。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4.5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坚持有利于车间生产的原那么。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4.6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坚持符合员工自身开展意愿的原那么。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5.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内部调岗的方式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5.1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由员工本人提出申请获准后的调动。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5.2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车间因生产需要进行的调动。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6.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内部调岗的条件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6.1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车间生产的需要。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6.2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员工本人不能够承担本职工作。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6.3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员工对自身开展的愿望。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6.4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员工岗前培训成绩不合格。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6.5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员工因质量、平安等原因导致待岗或下岗。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7.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调岗的程序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7.1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员工本人提出调岗的，由员工本人填写《调岗申请表》，经员工的班组长、工段长签字认可后，由员工本人将《调岗申请表》上交到本车间员，由车间人事员上报车间主任签字同意后，再由车间人事员通知车间培训管理人员进行新岗位的岗前培训，培训合格并发上岗证前方可上岗，《调岗申请表》的原件由车间培训管理人员存档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7.2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车间提出调岗的，由车间管理人员填写《调岗申请表》，经由员工本人、班组长、工段长、车间主任签字同意后，由车间人事员通知车间培训管理人员进行培训，《调岗申请表》的原件由车间培训管理人员存档。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7.3</w:t>
      </w:r>
      <w:r>
        <w:rPr>
          <w:rFonts w:ascii="SimHei" w:hAnsi="SimHei" w:cs="宋体" w:eastAsia="黑体"/>
          <w:color w:val="000000"/>
          <w:sz w:val="28"/>
          <w:szCs w:val="28"/>
        </w:rPr>
        <w:t>各车间培训管理人员应将本车间当月《内部调岗人员汇总表》于次月</w:t>
      </w:r>
      <w:r>
        <w:rPr>
          <w:rFonts w:eastAsia="黑体" w:cs="宋体" w:ascii="SimHei" w:hAnsi="SimHei"/>
          <w:color w:val="000000"/>
          <w:sz w:val="28"/>
          <w:szCs w:val="28"/>
        </w:rPr>
        <w:t>10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日前以纸介形式上报中心领导批准后，再将《内部调岗人员汇总表》的电子版和原件转给中心培训干事作为调岗、培训和作证的依据并存档。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8.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相关要求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8.1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员工本人提出调岗的，如不符合调动岗位条件，未被批准，车间要做好思想工作，劝其在原工作岗位好好工作。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8.2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如车间提出调岗的，车间要做好员工思想工作，员工确实不同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ascii="SimHei" w:hAnsi="SimHei" w:cs="宋体" w:eastAsia="黑体"/>
          <w:color w:val="000000"/>
          <w:sz w:val="28"/>
          <w:szCs w:val="28"/>
        </w:rPr>
        <w:t xml:space="preserve">意的，车间要另行选派他人。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9.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相关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9.1</w:t>
      </w:r>
      <w:r>
        <w:rPr>
          <w:rFonts w:ascii="SimHei" w:hAnsi="SimHei" w:cs="宋体" w:eastAsia="黑体"/>
          <w:color w:val="000000"/>
          <w:sz w:val="28"/>
          <w:szCs w:val="28"/>
        </w:rPr>
        <w:t>对于不履行调岗程序任意调岗的车间，中心将对该车间主管领导予以</w:t>
      </w:r>
      <w:r>
        <w:rPr>
          <w:rFonts w:eastAsia="黑体" w:cs="宋体" w:ascii="SimHei" w:hAnsi="SimHei"/>
          <w:color w:val="000000"/>
          <w:sz w:val="28"/>
          <w:szCs w:val="28"/>
        </w:rPr>
        <w:t>500-1000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元的处分。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9.2</w:t>
      </w:r>
      <w:r>
        <w:rPr>
          <w:rFonts w:ascii="SimHei" w:hAnsi="SimHei" w:cs="宋体" w:eastAsia="黑体"/>
          <w:color w:val="000000"/>
          <w:sz w:val="28"/>
          <w:szCs w:val="28"/>
        </w:rPr>
        <w:t>对于不按时上报《调岗汇总表》的车间，中心将对该车间相关负责人员予以</w:t>
      </w:r>
      <w:r>
        <w:rPr>
          <w:rFonts w:eastAsia="黑体" w:cs="宋体" w:ascii="SimHei" w:hAnsi="SimHei"/>
          <w:color w:val="000000"/>
          <w:sz w:val="28"/>
          <w:szCs w:val="28"/>
        </w:rPr>
        <w:t>300-500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元的处分。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9.3</w:t>
      </w:r>
      <w:r>
        <w:rPr>
          <w:rFonts w:ascii="SimHei" w:hAnsi="SimHei" w:cs="宋体" w:eastAsia="黑体"/>
          <w:color w:val="000000"/>
          <w:sz w:val="28"/>
          <w:szCs w:val="28"/>
        </w:rPr>
        <w:t>对于调岗后未进行岗前培训或培训不合格即上岗的，对车间相关负责人予以</w:t>
      </w:r>
      <w:r>
        <w:rPr>
          <w:rFonts w:eastAsia="黑体" w:cs="宋体" w:ascii="SimHei" w:hAnsi="SimHei"/>
          <w:color w:val="000000"/>
          <w:sz w:val="28"/>
          <w:szCs w:val="28"/>
        </w:rPr>
        <w:t>300-500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元的处分。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10.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其他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10.1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本方法由综合部起草并解释。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10.2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本方法自公布之日起执行。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ascii="SimHei" w:hAnsi="SimHei" w:cs="宋体" w:eastAsia="黑体"/>
          <w:color w:val="000000"/>
          <w:sz w:val="28"/>
          <w:szCs w:val="28"/>
        </w:rPr>
        <w:t xml:space="preserve">车间员工调岗与岗位轮换管理方法 </w:t>
      </w:r>
      <w:r>
        <w:rPr>
          <w:rFonts w:eastAsia="黑体" w:cs="宋体" w:ascii="SimHei" w:hAnsi="SimHei"/>
          <w:color w:val="000000"/>
          <w:sz w:val="28"/>
          <w:szCs w:val="28"/>
        </w:rPr>
        <w:t xml:space="preserve">xx-09-14 13:57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1</w:t>
      </w:r>
      <w:r>
        <w:rPr>
          <w:rFonts w:ascii="SimHei" w:hAnsi="SimHei" w:cs="宋体" w:eastAsia="黑体"/>
          <w:color w:val="000000"/>
          <w:sz w:val="28"/>
          <w:szCs w:val="28"/>
        </w:rPr>
        <w:t>．目的</w:t>
      </w:r>
      <w:r>
        <w:rPr>
          <w:rFonts w:eastAsia="黑体" w:cs="宋体" w:ascii="SimHei" w:hAnsi="SimHei"/>
          <w:color w:val="000000"/>
          <w:sz w:val="28"/>
          <w:szCs w:val="28"/>
        </w:rPr>
        <w:t xml:space="preserve">`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ascii="SimHei" w:hAnsi="SimHei" w:cs="宋体" w:eastAsia="黑体"/>
          <w:color w:val="000000"/>
          <w:sz w:val="28"/>
          <w:szCs w:val="28"/>
        </w:rPr>
        <w:t xml:space="preserve">标准公司员工岗位调动的条件、管理、实施程序；目的是通过员工调岗与岗位轮换，以确保公司车间内合理调配车间内资源，保证车间内生产能力平衡。鼓励员工多学新的技能，一专多能，培养员工掌握多项工作技能和业务流程，具有全面独立的工作能力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2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．应用范围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ascii="SimHei" w:hAnsi="SimHei" w:cs="宋体" w:eastAsia="黑体"/>
          <w:color w:val="000000"/>
          <w:sz w:val="28"/>
          <w:szCs w:val="28"/>
        </w:rPr>
        <w:t xml:space="preserve">所有车间一线操作工、辅助工。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ascii="SimHei" w:hAnsi="SimHei" w:cs="宋体" w:eastAsia="黑体"/>
          <w:color w:val="000000"/>
          <w:sz w:val="28"/>
          <w:szCs w:val="28"/>
        </w:rPr>
        <w:t xml:space="preserve">３．职责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3.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１由公司人力资源部负责组织；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 xml:space="preserve">3.2 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由生产部统一调配人员；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宋体" w:ascii="SimHei" w:hAnsi="SimHei"/>
          <w:color w:val="000000"/>
          <w:sz w:val="28"/>
          <w:szCs w:val="28"/>
        </w:rPr>
        <w:t>3.3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由生产车间具体实施。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ascii="SimHei" w:hAnsi="SimHei" w:cs="宋体" w:eastAsia="黑体"/>
          <w:color w:val="000000"/>
          <w:sz w:val="28"/>
          <w:szCs w:val="28"/>
        </w:rPr>
        <w:t xml:space="preserve">４．标准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ascii="SimHei" w:hAnsi="SimHei" w:cs="宋体" w:eastAsia="黑体"/>
          <w:color w:val="000000"/>
          <w:sz w:val="28"/>
          <w:szCs w:val="28"/>
        </w:rPr>
        <w:t>４</w:t>
      </w:r>
      <w:r>
        <w:rPr>
          <w:rFonts w:eastAsia="黑体" w:cs="宋体" w:ascii="SimHei" w:hAnsi="SimHei"/>
          <w:color w:val="000000"/>
          <w:sz w:val="28"/>
          <w:szCs w:val="28"/>
        </w:rPr>
        <w:t>.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１调岗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ascii="SimHei" w:hAnsi="SimHei" w:cs="宋体" w:eastAsia="黑体"/>
          <w:color w:val="000000"/>
          <w:sz w:val="28"/>
          <w:szCs w:val="28"/>
        </w:rPr>
        <w:t xml:space="preserve">因机构调整、业务需要，或为符合员工工作能力和开展意向，可安排员工调岗。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ascii="SimHei" w:hAnsi="SimHei" w:cs="宋体" w:eastAsia="黑体"/>
          <w:color w:val="000000"/>
          <w:sz w:val="28"/>
          <w:szCs w:val="28"/>
        </w:rPr>
        <w:t>４</w:t>
      </w:r>
      <w:r>
        <w:rPr>
          <w:rFonts w:eastAsia="黑体" w:cs="宋体" w:ascii="SimHei" w:hAnsi="SimHei"/>
          <w:color w:val="000000"/>
          <w:sz w:val="28"/>
          <w:szCs w:val="28"/>
        </w:rPr>
        <w:t>.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２岗位轮换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ascii="SimHei" w:hAnsi="SimHei" w:cs="宋体" w:eastAsia="黑体"/>
          <w:color w:val="000000"/>
          <w:sz w:val="28"/>
          <w:szCs w:val="28"/>
        </w:rPr>
        <w:t xml:space="preserve">胜任现有工作岗位，因工作或培养员工一专多能的需要，具备岗位轮换职位的各项条件，可安排员工岗位轮换。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ascii="SimHei" w:hAnsi="SimHei" w:cs="宋体" w:eastAsia="黑体"/>
          <w:color w:val="000000"/>
          <w:sz w:val="28"/>
          <w:szCs w:val="28"/>
        </w:rPr>
        <w:t>５</w:t>
      </w:r>
      <w:r>
        <w:rPr>
          <w:rFonts w:eastAsia="黑体" w:cs="宋体" w:ascii="SimHei" w:hAnsi="SimHei"/>
          <w:color w:val="000000"/>
          <w:sz w:val="28"/>
          <w:szCs w:val="28"/>
        </w:rPr>
        <w:t>.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管理流程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ascii="SimHei" w:hAnsi="SimHei" w:cs="宋体" w:eastAsia="黑体"/>
          <w:color w:val="000000"/>
          <w:sz w:val="28"/>
          <w:szCs w:val="28"/>
        </w:rPr>
        <w:t>５</w:t>
      </w:r>
      <w:r>
        <w:rPr>
          <w:rFonts w:eastAsia="黑体" w:cs="宋体" w:ascii="SimHei" w:hAnsi="SimHei"/>
          <w:color w:val="000000"/>
          <w:sz w:val="28"/>
          <w:szCs w:val="28"/>
        </w:rPr>
        <w:t>.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１调岗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ascii="SimHei" w:hAnsi="SimHei" w:cs="宋体" w:eastAsia="黑体"/>
          <w:color w:val="000000"/>
          <w:sz w:val="28"/>
          <w:szCs w:val="28"/>
        </w:rPr>
        <w:t>５</w:t>
      </w:r>
      <w:r>
        <w:rPr>
          <w:rFonts w:eastAsia="黑体" w:cs="宋体" w:ascii="SimHei" w:hAnsi="SimHei"/>
          <w:color w:val="000000"/>
          <w:sz w:val="28"/>
          <w:szCs w:val="28"/>
        </w:rPr>
        <w:t>.</w:t>
      </w:r>
      <w:r>
        <w:rPr>
          <w:rFonts w:ascii="SimHei" w:hAnsi="SimHei" w:cs="宋体" w:eastAsia="黑体"/>
          <w:color w:val="000000"/>
          <w:sz w:val="28"/>
          <w:szCs w:val="28"/>
        </w:rPr>
        <w:t>１</w:t>
      </w:r>
      <w:r>
        <w:rPr>
          <w:rFonts w:eastAsia="黑体" w:cs="宋体" w:ascii="SimHei" w:hAnsi="SimHei"/>
          <w:color w:val="000000"/>
          <w:sz w:val="28"/>
          <w:szCs w:val="28"/>
        </w:rPr>
        <w:t>.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１调岗是指员工同岗位等级、不同岗位间的流动，表现为生产部内不同车间内的岗位调动。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ascii="SimHei" w:hAnsi="SimHei" w:cs="宋体" w:eastAsia="黑体"/>
          <w:color w:val="000000"/>
          <w:sz w:val="28"/>
          <w:szCs w:val="28"/>
        </w:rPr>
        <w:t>５</w:t>
      </w:r>
      <w:r>
        <w:rPr>
          <w:rFonts w:eastAsia="黑体" w:cs="宋体" w:ascii="SimHei" w:hAnsi="SimHei"/>
          <w:color w:val="000000"/>
          <w:sz w:val="28"/>
          <w:szCs w:val="28"/>
        </w:rPr>
        <w:t>.</w:t>
      </w:r>
      <w:r>
        <w:rPr>
          <w:rFonts w:ascii="SimHei" w:hAnsi="SimHei" w:cs="宋体" w:eastAsia="黑体"/>
          <w:color w:val="000000"/>
          <w:sz w:val="28"/>
          <w:szCs w:val="28"/>
        </w:rPr>
        <w:t>１</w:t>
      </w:r>
      <w:r>
        <w:rPr>
          <w:rFonts w:eastAsia="黑体" w:cs="宋体" w:ascii="SimHei" w:hAnsi="SimHei"/>
          <w:color w:val="000000"/>
          <w:sz w:val="28"/>
          <w:szCs w:val="28"/>
        </w:rPr>
        <w:t>.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２当生产车间内部出现岗位空缺时，可考虑内部员工调动。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ascii="SimHei" w:hAnsi="SimHei" w:cs="宋体" w:eastAsia="黑体"/>
          <w:color w:val="000000"/>
          <w:sz w:val="28"/>
          <w:szCs w:val="28"/>
        </w:rPr>
        <w:t>５</w:t>
      </w:r>
      <w:r>
        <w:rPr>
          <w:rFonts w:eastAsia="黑体" w:cs="宋体" w:ascii="SimHei" w:hAnsi="SimHei"/>
          <w:color w:val="000000"/>
          <w:sz w:val="28"/>
          <w:szCs w:val="28"/>
        </w:rPr>
        <w:t>.</w:t>
      </w:r>
      <w:r>
        <w:rPr>
          <w:rFonts w:ascii="SimHei" w:hAnsi="SimHei" w:cs="宋体" w:eastAsia="黑体"/>
          <w:color w:val="000000"/>
          <w:sz w:val="28"/>
          <w:szCs w:val="28"/>
        </w:rPr>
        <w:t>１</w:t>
      </w:r>
      <w:r>
        <w:rPr>
          <w:rFonts w:eastAsia="黑体" w:cs="宋体" w:ascii="SimHei" w:hAnsi="SimHei"/>
          <w:color w:val="000000"/>
          <w:sz w:val="28"/>
          <w:szCs w:val="28"/>
        </w:rPr>
        <w:t>.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３车间内人员调岗由生产根据生产车间状况，取得调出与调入车间科长的同意后，报人力资源部审查。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ascii="SimHei" w:hAnsi="SimHei" w:cs="宋体" w:eastAsia="黑体"/>
          <w:color w:val="000000"/>
          <w:sz w:val="28"/>
          <w:szCs w:val="28"/>
        </w:rPr>
        <w:t>５</w:t>
      </w:r>
      <w:r>
        <w:rPr>
          <w:rFonts w:eastAsia="黑体" w:cs="宋体" w:ascii="SimHei" w:hAnsi="SimHei"/>
          <w:color w:val="000000"/>
          <w:sz w:val="28"/>
          <w:szCs w:val="28"/>
        </w:rPr>
        <w:t>.</w:t>
      </w:r>
      <w:r>
        <w:rPr>
          <w:rFonts w:ascii="SimHei" w:hAnsi="SimHei" w:cs="宋体" w:eastAsia="黑体"/>
          <w:color w:val="000000"/>
          <w:sz w:val="28"/>
          <w:szCs w:val="28"/>
        </w:rPr>
        <w:t>１</w:t>
      </w:r>
      <w:r>
        <w:rPr>
          <w:rFonts w:eastAsia="黑体" w:cs="宋体" w:ascii="SimHei" w:hAnsi="SimHei"/>
          <w:color w:val="000000"/>
          <w:sz w:val="28"/>
          <w:szCs w:val="28"/>
        </w:rPr>
        <w:t>.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４人力资源部审查后，调岗的员工发出《调任单》，办理员工调岗手续。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ascii="SimHei" w:hAnsi="SimHei" w:cs="宋体" w:eastAsia="黑体"/>
          <w:color w:val="000000"/>
          <w:sz w:val="28"/>
          <w:szCs w:val="28"/>
        </w:rPr>
        <w:t>５</w:t>
      </w:r>
      <w:r>
        <w:rPr>
          <w:rFonts w:eastAsia="黑体" w:cs="宋体" w:ascii="SimHei" w:hAnsi="SimHei"/>
          <w:color w:val="000000"/>
          <w:sz w:val="28"/>
          <w:szCs w:val="28"/>
        </w:rPr>
        <w:t>.</w:t>
      </w:r>
      <w:r>
        <w:rPr>
          <w:rFonts w:ascii="SimHei" w:hAnsi="SimHei" w:cs="宋体" w:eastAsia="黑体"/>
          <w:color w:val="000000"/>
          <w:sz w:val="28"/>
          <w:szCs w:val="28"/>
        </w:rPr>
        <w:t>１</w:t>
      </w:r>
      <w:r>
        <w:rPr>
          <w:rFonts w:eastAsia="黑体" w:cs="宋体" w:ascii="SimHei" w:hAnsi="SimHei"/>
          <w:color w:val="000000"/>
          <w:sz w:val="28"/>
          <w:szCs w:val="28"/>
        </w:rPr>
        <w:t>.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５办理完手续后，调岗人员持《调任单》到新工作部门上岗。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ascii="SimHei" w:hAnsi="SimHei" w:cs="宋体" w:eastAsia="黑体"/>
          <w:color w:val="000000"/>
          <w:sz w:val="28"/>
          <w:szCs w:val="28"/>
        </w:rPr>
        <w:t>５</w:t>
      </w:r>
      <w:r>
        <w:rPr>
          <w:rFonts w:eastAsia="黑体" w:cs="宋体" w:ascii="SimHei" w:hAnsi="SimHei"/>
          <w:color w:val="000000"/>
          <w:sz w:val="28"/>
          <w:szCs w:val="28"/>
        </w:rPr>
        <w:t>.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２岗位轮换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ascii="SimHei" w:hAnsi="SimHei" w:cs="宋体" w:eastAsia="黑体"/>
          <w:color w:val="000000"/>
          <w:sz w:val="28"/>
          <w:szCs w:val="28"/>
        </w:rPr>
        <w:t>５</w:t>
      </w:r>
      <w:r>
        <w:rPr>
          <w:rFonts w:eastAsia="黑体" w:cs="宋体" w:ascii="SimHei" w:hAnsi="SimHei"/>
          <w:color w:val="000000"/>
          <w:sz w:val="28"/>
          <w:szCs w:val="28"/>
        </w:rPr>
        <w:t>.</w:t>
      </w:r>
      <w:r>
        <w:rPr>
          <w:rFonts w:ascii="SimHei" w:hAnsi="SimHei" w:cs="宋体" w:eastAsia="黑体"/>
          <w:color w:val="000000"/>
          <w:sz w:val="28"/>
          <w:szCs w:val="28"/>
        </w:rPr>
        <w:t>２</w:t>
      </w:r>
      <w:r>
        <w:rPr>
          <w:rFonts w:eastAsia="黑体" w:cs="宋体" w:ascii="SimHei" w:hAnsi="SimHei"/>
          <w:color w:val="000000"/>
          <w:sz w:val="28"/>
          <w:szCs w:val="28"/>
        </w:rPr>
        <w:t>.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１根据工作需要，车间员工轮换在各车间内部或跨车间之间进行。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ascii="SimHei" w:hAnsi="SimHei" w:cs="宋体" w:eastAsia="黑体"/>
          <w:color w:val="000000"/>
          <w:sz w:val="28"/>
          <w:szCs w:val="28"/>
        </w:rPr>
        <w:t>５</w:t>
      </w:r>
      <w:r>
        <w:rPr>
          <w:rFonts w:eastAsia="黑体" w:cs="宋体" w:ascii="SimHei" w:hAnsi="SimHei"/>
          <w:color w:val="000000"/>
          <w:sz w:val="28"/>
          <w:szCs w:val="28"/>
        </w:rPr>
        <w:t>.</w:t>
      </w:r>
      <w:r>
        <w:rPr>
          <w:rFonts w:ascii="SimHei" w:hAnsi="SimHei" w:cs="宋体" w:eastAsia="黑体"/>
          <w:color w:val="000000"/>
          <w:sz w:val="28"/>
          <w:szCs w:val="28"/>
        </w:rPr>
        <w:t>２</w:t>
      </w:r>
      <w:r>
        <w:rPr>
          <w:rFonts w:eastAsia="黑体" w:cs="宋体" w:ascii="SimHei" w:hAnsi="SimHei"/>
          <w:color w:val="000000"/>
          <w:sz w:val="28"/>
          <w:szCs w:val="28"/>
        </w:rPr>
        <w:t>.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２轮换期限：根据生产任务的要求，合理安排人员轮换，一般轮换最短时间为１个月。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ascii="SimHei" w:hAnsi="SimHei" w:cs="宋体" w:eastAsia="黑体"/>
          <w:color w:val="000000"/>
          <w:sz w:val="28"/>
          <w:szCs w:val="28"/>
        </w:rPr>
        <w:t>５</w:t>
      </w:r>
      <w:r>
        <w:rPr>
          <w:rFonts w:eastAsia="黑体" w:cs="宋体" w:ascii="SimHei" w:hAnsi="SimHei"/>
          <w:color w:val="000000"/>
          <w:sz w:val="28"/>
          <w:szCs w:val="28"/>
        </w:rPr>
        <w:t>.</w:t>
      </w:r>
      <w:r>
        <w:rPr>
          <w:rFonts w:ascii="SimHei" w:hAnsi="SimHei" w:cs="宋体" w:eastAsia="黑体"/>
          <w:color w:val="000000"/>
          <w:sz w:val="28"/>
          <w:szCs w:val="28"/>
        </w:rPr>
        <w:t>２</w:t>
      </w:r>
      <w:r>
        <w:rPr>
          <w:rFonts w:eastAsia="黑体" w:cs="宋体" w:ascii="SimHei" w:hAnsi="SimHei"/>
          <w:color w:val="000000"/>
          <w:sz w:val="28"/>
          <w:szCs w:val="28"/>
        </w:rPr>
        <w:t>.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３根本程序：由生产部根据生产需要，提出员工轮换意见和理由报人力资源部。最先轮换与业务相似或相近的岗位，或其工作岗位的工作任务不饱满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ascii="SimHei" w:hAnsi="SimHei" w:cs="宋体" w:eastAsia="黑体"/>
          <w:color w:val="000000"/>
          <w:sz w:val="28"/>
          <w:szCs w:val="28"/>
        </w:rPr>
        <w:t>５</w:t>
      </w:r>
      <w:r>
        <w:rPr>
          <w:rFonts w:eastAsia="黑体" w:cs="宋体" w:ascii="SimHei" w:hAnsi="SimHei"/>
          <w:color w:val="000000"/>
          <w:sz w:val="28"/>
          <w:szCs w:val="28"/>
        </w:rPr>
        <w:t>.</w:t>
      </w:r>
      <w:r>
        <w:rPr>
          <w:rFonts w:ascii="SimHei" w:hAnsi="SimHei" w:cs="宋体" w:eastAsia="黑体"/>
          <w:color w:val="000000"/>
          <w:sz w:val="28"/>
          <w:szCs w:val="28"/>
        </w:rPr>
        <w:t>２</w:t>
      </w:r>
      <w:r>
        <w:rPr>
          <w:rFonts w:eastAsia="黑体" w:cs="宋体" w:ascii="SimHei" w:hAnsi="SimHei"/>
          <w:color w:val="000000"/>
          <w:sz w:val="28"/>
          <w:szCs w:val="28"/>
        </w:rPr>
        <w:t>.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４计件车间员工轮换工资结算方式，由于轮换后工程不同员工需要一段适应期限，员工在轮换的第一个月按照计时加产量方式结算工资，一个月后，按计件方式结算。下次轮换时，优先考虑已经轮换此工作岗位的员工，并考虑之前轮换时间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ascii="SimHei" w:hAnsi="SimHei" w:cs="宋体" w:eastAsia="黑体"/>
          <w:color w:val="000000"/>
          <w:sz w:val="28"/>
          <w:szCs w:val="28"/>
        </w:rPr>
        <w:t>５</w:t>
      </w:r>
      <w:r>
        <w:rPr>
          <w:rFonts w:eastAsia="黑体" w:cs="宋体" w:ascii="SimHei" w:hAnsi="SimHei"/>
          <w:color w:val="000000"/>
          <w:sz w:val="28"/>
          <w:szCs w:val="28"/>
        </w:rPr>
        <w:t>.</w:t>
      </w:r>
      <w:r>
        <w:rPr>
          <w:rFonts w:ascii="SimHei" w:hAnsi="SimHei" w:cs="宋体" w:eastAsia="黑体"/>
          <w:color w:val="000000"/>
          <w:sz w:val="28"/>
          <w:szCs w:val="28"/>
        </w:rPr>
        <w:t>２</w:t>
      </w:r>
      <w:r>
        <w:rPr>
          <w:rFonts w:eastAsia="黑体" w:cs="宋体" w:ascii="SimHei" w:hAnsi="SimHei"/>
          <w:color w:val="000000"/>
          <w:sz w:val="28"/>
          <w:szCs w:val="28"/>
        </w:rPr>
        <w:t>.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５员工在新的工作岗位，能很快熟悉工作内容，可优先评选为公司多技能工，并发放多技能工相应的技能补贴。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ascii="SimHei" w:hAnsi="SimHei" w:cs="宋体" w:eastAsia="黑体"/>
          <w:color w:val="000000"/>
          <w:sz w:val="28"/>
          <w:szCs w:val="28"/>
        </w:rPr>
        <w:t>６</w:t>
      </w:r>
      <w:r>
        <w:rPr>
          <w:rFonts w:eastAsia="黑体" w:cs="宋体" w:ascii="SimHei" w:hAnsi="SimHei"/>
          <w:color w:val="000000"/>
          <w:sz w:val="28"/>
          <w:szCs w:val="28"/>
        </w:rPr>
        <w:t>.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附那么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ascii="SimHei" w:hAnsi="SimHei" w:cs="宋体" w:eastAsia="黑体"/>
          <w:color w:val="000000"/>
          <w:sz w:val="28"/>
          <w:szCs w:val="28"/>
        </w:rPr>
        <w:t>６</w:t>
      </w:r>
      <w:r>
        <w:rPr>
          <w:rFonts w:eastAsia="黑体" w:cs="宋体" w:ascii="SimHei" w:hAnsi="SimHei"/>
          <w:color w:val="000000"/>
          <w:sz w:val="28"/>
          <w:szCs w:val="28"/>
        </w:rPr>
        <w:t xml:space="preserve">.1 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本方法由人力资源中心制定，其解释权属人力资源中心。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ascii="SimHei" w:hAnsi="SimHei" w:cs="宋体" w:eastAsia="黑体"/>
          <w:color w:val="000000"/>
          <w:sz w:val="28"/>
          <w:szCs w:val="28"/>
        </w:rPr>
        <w:t>６</w:t>
      </w:r>
      <w:r>
        <w:rPr>
          <w:rFonts w:eastAsia="黑体" w:cs="宋体" w:ascii="SimHei" w:hAnsi="SimHei"/>
          <w:color w:val="000000"/>
          <w:sz w:val="28"/>
          <w:szCs w:val="28"/>
        </w:rPr>
        <w:t xml:space="preserve">.2 </w:t>
      </w:r>
      <w:r>
        <w:rPr>
          <w:rFonts w:ascii="SimHei" w:hAnsi="SimHei" w:cs="宋体" w:eastAsia="黑体"/>
          <w:color w:val="000000"/>
          <w:sz w:val="28"/>
          <w:szCs w:val="28"/>
        </w:rPr>
        <w:t>本方法自</w:t>
      </w:r>
      <w:r>
        <w:rPr>
          <w:rFonts w:eastAsia="黑体" w:cs="宋体" w:ascii="SimHei" w:hAnsi="SimHei"/>
          <w:color w:val="000000"/>
          <w:sz w:val="28"/>
          <w:szCs w:val="28"/>
        </w:rPr>
        <w:t>xx</w:t>
      </w:r>
      <w:r>
        <w:rPr>
          <w:rFonts w:ascii="SimHei" w:hAnsi="SimHei" w:cs="宋体" w:eastAsia="黑体"/>
          <w:color w:val="000000"/>
          <w:sz w:val="28"/>
          <w:szCs w:val="28"/>
        </w:rPr>
        <w:t>年５月</w:t>
      </w:r>
      <w:r>
        <w:rPr>
          <w:rFonts w:eastAsia="黑体" w:cs="宋体" w:ascii="SimHei" w:hAnsi="SimHei"/>
          <w:color w:val="000000"/>
          <w:sz w:val="28"/>
          <w:szCs w:val="28"/>
        </w:rPr>
        <w:t>2</w:t>
      </w:r>
      <w:r>
        <w:rPr>
          <w:rFonts w:ascii="SimHei" w:hAnsi="SimHei" w:cs="宋体" w:eastAsia="黑体"/>
          <w:color w:val="000000"/>
          <w:sz w:val="28"/>
          <w:szCs w:val="28"/>
        </w:rPr>
        <w:t xml:space="preserve">５日起实施，如与上级有关规定矛盾时，按上级规定执行。 </w:t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Calibri" w:ascii="SimHei" w:hAnsi="SimHei"/>
          <w:sz w:val="21"/>
          <w:szCs w:val="21"/>
        </w:rPr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Calibri" w:ascii="SimHei" w:hAnsi="SimHei"/>
          <w:sz w:val="21"/>
          <w:szCs w:val="21"/>
        </w:rPr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Calibri" w:ascii="SimHei" w:hAnsi="SimHei"/>
          <w:sz w:val="21"/>
          <w:szCs w:val="21"/>
        </w:rPr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Calibri" w:ascii="SimHei" w:hAnsi="SimHei"/>
          <w:sz w:val="21"/>
          <w:szCs w:val="21"/>
        </w:rPr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Calibri" w:ascii="SimHei" w:hAnsi="SimHei"/>
          <w:sz w:val="21"/>
          <w:szCs w:val="21"/>
        </w:rPr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Calibri" w:ascii="SimHei" w:hAnsi="SimHei"/>
          <w:sz w:val="21"/>
          <w:szCs w:val="21"/>
        </w:rPr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Calibri" w:ascii="SimHei" w:hAnsi="SimHei"/>
          <w:sz w:val="21"/>
          <w:szCs w:val="21"/>
        </w:rPr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Calibri" w:ascii="SimHei" w:hAnsi="SimHei"/>
          <w:sz w:val="21"/>
          <w:szCs w:val="21"/>
        </w:rPr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Calibri" w:ascii="SimHei" w:hAnsi="SimHei"/>
          <w:sz w:val="21"/>
          <w:szCs w:val="21"/>
        </w:rPr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Calibri" w:ascii="SimHei" w:hAnsi="SimHei"/>
          <w:sz w:val="21"/>
          <w:szCs w:val="21"/>
        </w:rPr>
      </w:r>
    </w:p>
    <w:p>
      <w:pPr>
        <w:pStyle w:val="PMsoNormal"/>
        <w:spacing w:lineRule="auto" w:line="360" w:before="0" w:after="0"/>
        <w:ind w:start="0" w:end="0" w:hanging="0"/>
        <w:jc w:val="start"/>
        <w:rPr>
          <w:rFonts w:ascii="Calibri" w:hAnsi="Calibri" w:eastAsia="Calibri" w:cs="Calibri"/>
          <w:sz w:val="21"/>
          <w:szCs w:val="21"/>
        </w:rPr>
      </w:pPr>
      <w:r>
        <w:rPr>
          <w:rFonts w:eastAsia="黑体" w:cs="Calibri" w:ascii="SimHei" w:hAnsi="SimHei"/>
          <w:sz w:val="21"/>
          <w:szCs w:val="21"/>
        </w:rPr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Calibri">
    <w:charset w:val="00" w:characterSet="windows-1252"/>
    <w:family w:val="auto"/>
    <w:pitch w:val="default"/>
  </w:font>
  <w:font w:name="宋体">
    <w:charset w:val="00" w:characterSet="windows-125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pStyle w:val="Heading5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pStyle w:val="Heading6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n-US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Times New Roman" w:hAnsi="Times New Roman" w:eastAsia="Times New Roman" w:cs="Times New Roman"/>
      <w:b/>
      <w:bCs/>
      <w:i w:val="false"/>
      <w:kern w:val="2"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Times New Roman" w:hAnsi="Times New Roman" w:eastAsia="Times New Roman" w:cs="Times New Roman"/>
      <w:b/>
      <w:bCs/>
      <w:i w:val="false"/>
      <w:iCs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Times New Roman" w:hAnsi="Times New Roman" w:eastAsia="Times New Roman" w:cs="Times New Roman"/>
      <w:b/>
      <w:bCs/>
      <w:i w:val="false"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Times New Roman" w:hAnsi="Times New Roman" w:eastAsia="Times New Roman" w:cs="Times New Roman"/>
      <w:b/>
      <w:bCs/>
      <w:i w:val="false"/>
      <w:sz w:val="24"/>
      <w:szCs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Times New Roman" w:hAnsi="Times New Roman" w:eastAsia="Times New Roman" w:cs="Times New Roman"/>
      <w:b/>
      <w:bCs/>
      <w:i w:val="false"/>
      <w:iCs/>
      <w:sz w:val="20"/>
      <w:szCs w:val="20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eastAsia="Times New Roman" w:cs="Times New Roman"/>
      <w:b/>
      <w:bCs/>
      <w:i w:val="false"/>
      <w:sz w:val="16"/>
      <w:szCs w:val="16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DivSection0">
    <w:name w:val="div_Section0"/>
    <w:basedOn w:val="Normal"/>
    <w:qFormat/>
    <w:pPr/>
    <w:rPr/>
  </w:style>
  <w:style w:type="paragraph" w:styleId="PMsoNormal">
    <w:name w:val="p_MsoNormal"/>
    <w:basedOn w:val="Normal"/>
    <w:qFormat/>
    <w:pPr>
      <w:jc w:val="both"/>
    </w:pPr>
    <w:rPr>
      <w:rFonts w:ascii="Calibri" w:hAnsi="Calibri" w:eastAsia="Calibri" w:cs="Calibri"/>
      <w:sz w:val="21"/>
      <w:szCs w:val="21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